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16DEC3" w14:textId="77777777" w:rsidR="00541A14" w:rsidRDefault="00DD420F">
      <w:pPr>
        <w:pStyle w:val="Default"/>
        <w:framePr w:w="2170" w:wrap="auto" w:vAnchor="page" w:hAnchor="page" w:x="581" w:y="637"/>
        <w:spacing w:after="280"/>
      </w:pPr>
      <w:r>
        <w:rPr>
          <w:noProof/>
        </w:rPr>
        <w:drawing>
          <wp:inline distT="0" distB="0" distL="0" distR="0" wp14:anchorId="0CEA5736" wp14:editId="15206592">
            <wp:extent cx="863600" cy="1181100"/>
            <wp:effectExtent l="0" t="0" r="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63600" cy="1181100"/>
                    </a:xfrm>
                    <a:prstGeom prst="rect">
                      <a:avLst/>
                    </a:prstGeom>
                    <a:noFill/>
                    <a:ln>
                      <a:noFill/>
                    </a:ln>
                  </pic:spPr>
                </pic:pic>
              </a:graphicData>
            </a:graphic>
          </wp:inline>
        </w:drawing>
      </w:r>
    </w:p>
    <w:p w14:paraId="656C9DA1" w14:textId="77777777" w:rsidR="00541A14" w:rsidRDefault="00541A14">
      <w:pPr>
        <w:pStyle w:val="Default"/>
        <w:framePr w:w="2170" w:wrap="auto" w:vAnchor="page" w:hAnchor="page" w:x="581" w:y="637"/>
        <w:spacing w:after="280"/>
      </w:pPr>
    </w:p>
    <w:p w14:paraId="3D05B10C" w14:textId="1E65E6B0" w:rsidR="009E3F25" w:rsidRDefault="009E3F25" w:rsidP="00A450E1">
      <w:pPr>
        <w:pStyle w:val="Default"/>
        <w:jc w:val="right"/>
        <w:rPr>
          <w:rFonts w:cs="Times New Roman"/>
          <w:color w:val="auto"/>
        </w:rPr>
      </w:pPr>
      <w:r>
        <w:rPr>
          <w:rFonts w:cs="Times New Roman"/>
          <w:color w:val="auto"/>
        </w:rPr>
        <w:t>ANM19/20</w:t>
      </w:r>
    </w:p>
    <w:p w14:paraId="12E80B93" w14:textId="32032095" w:rsidR="00541A14" w:rsidRDefault="009E3F25" w:rsidP="00A450E1">
      <w:pPr>
        <w:pStyle w:val="Default"/>
        <w:jc w:val="right"/>
        <w:rPr>
          <w:rFonts w:cs="Times New Roman"/>
          <w:color w:val="auto"/>
        </w:rPr>
      </w:pPr>
      <w:bookmarkStart w:id="0" w:name="_GoBack"/>
      <w:bookmarkEnd w:id="0"/>
      <w:r>
        <w:rPr>
          <w:rFonts w:cs="Times New Roman"/>
          <w:color w:val="auto"/>
        </w:rPr>
        <w:t xml:space="preserve">Formerly </w:t>
      </w:r>
      <w:r w:rsidR="00A450E1">
        <w:rPr>
          <w:rFonts w:cs="Times New Roman"/>
          <w:color w:val="auto"/>
        </w:rPr>
        <w:t>ANM18/WG2/WP1</w:t>
      </w:r>
    </w:p>
    <w:p w14:paraId="6B10BC6C" w14:textId="77777777" w:rsidR="00541A14" w:rsidRDefault="00A450E1">
      <w:pPr>
        <w:pStyle w:val="CM162"/>
        <w:spacing w:after="552"/>
        <w:jc w:val="center"/>
        <w:rPr>
          <w:color w:val="12225F"/>
          <w:sz w:val="144"/>
          <w:szCs w:val="144"/>
        </w:rPr>
      </w:pPr>
      <w:r>
        <w:t xml:space="preserve"> </w:t>
      </w:r>
      <w:r>
        <w:rPr>
          <w:b/>
          <w:bCs/>
          <w:color w:val="12225F"/>
          <w:sz w:val="144"/>
          <w:szCs w:val="144"/>
        </w:rPr>
        <w:t xml:space="preserve">NAVGUIDE </w:t>
      </w:r>
    </w:p>
    <w:p w14:paraId="7C197A02" w14:textId="77777777" w:rsidR="00541A14" w:rsidRDefault="00A450E1">
      <w:pPr>
        <w:pStyle w:val="CM163"/>
        <w:spacing w:after="431"/>
        <w:jc w:val="center"/>
        <w:rPr>
          <w:rFonts w:cs="Dax Condensed"/>
          <w:color w:val="12225F"/>
          <w:sz w:val="64"/>
          <w:szCs w:val="64"/>
        </w:rPr>
      </w:pPr>
      <w:r>
        <w:rPr>
          <w:rFonts w:cs="Dax Condensed"/>
          <w:color w:val="12225F"/>
          <w:sz w:val="64"/>
          <w:szCs w:val="64"/>
        </w:rPr>
        <w:t xml:space="preserve">Aids to Navigation Manual </w:t>
      </w:r>
    </w:p>
    <w:p w14:paraId="786AABD0" w14:textId="77777777" w:rsidR="00541A14" w:rsidRDefault="00DD420F">
      <w:pPr>
        <w:pStyle w:val="Default"/>
        <w:framePr w:w="3050" w:wrap="auto" w:vAnchor="page" w:hAnchor="page" w:x="8953" w:y="3847"/>
        <w:rPr>
          <w:color w:val="12225F"/>
          <w:sz w:val="64"/>
          <w:szCs w:val="64"/>
        </w:rPr>
      </w:pPr>
      <w:r>
        <w:rPr>
          <w:noProof/>
          <w:color w:val="12225F"/>
          <w:sz w:val="64"/>
          <w:szCs w:val="64"/>
        </w:rPr>
        <w:drawing>
          <wp:inline distT="0" distB="0" distL="0" distR="0" wp14:anchorId="16E5594C" wp14:editId="779F887B">
            <wp:extent cx="1408430" cy="7531100"/>
            <wp:effectExtent l="0" t="0" r="0"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08430" cy="7531100"/>
                    </a:xfrm>
                    <a:prstGeom prst="rect">
                      <a:avLst/>
                    </a:prstGeom>
                    <a:noFill/>
                    <a:ln>
                      <a:noFill/>
                    </a:ln>
                  </pic:spPr>
                </pic:pic>
              </a:graphicData>
            </a:graphic>
          </wp:inline>
        </w:drawing>
      </w:r>
    </w:p>
    <w:p w14:paraId="2F4E4BF7" w14:textId="77777777" w:rsidR="00541A14" w:rsidRDefault="00A450E1">
      <w:pPr>
        <w:pStyle w:val="CM1"/>
        <w:jc w:val="center"/>
        <w:rPr>
          <w:rFonts w:cs="Dax Condensed"/>
          <w:color w:val="FFFFFF"/>
          <w:sz w:val="48"/>
          <w:szCs w:val="48"/>
        </w:rPr>
      </w:pPr>
      <w:r>
        <w:rPr>
          <w:rFonts w:cs="Dax Condensed"/>
          <w:color w:val="FFFFFF"/>
          <w:sz w:val="48"/>
          <w:szCs w:val="48"/>
        </w:rPr>
        <w:t xml:space="preserve">2010 Edition </w:t>
      </w:r>
    </w:p>
    <w:p w14:paraId="69C510E1" w14:textId="77777777" w:rsidR="00541A14" w:rsidRDefault="00DD420F">
      <w:pPr>
        <w:pStyle w:val="Default"/>
        <w:pageBreakBefore/>
        <w:framePr w:w="4198" w:wrap="auto" w:vAnchor="page" w:hAnchor="page" w:x="4187" w:y="966"/>
        <w:spacing w:after="1940"/>
        <w:rPr>
          <w:color w:val="FFFFFF"/>
          <w:sz w:val="48"/>
          <w:szCs w:val="48"/>
        </w:rPr>
      </w:pPr>
      <w:r>
        <w:rPr>
          <w:noProof/>
          <w:color w:val="FFFFFF"/>
          <w:sz w:val="48"/>
          <w:szCs w:val="48"/>
        </w:rPr>
        <w:lastRenderedPageBreak/>
        <w:drawing>
          <wp:inline distT="0" distB="0" distL="0" distR="0" wp14:anchorId="3E43C8A6" wp14:editId="49756CC9">
            <wp:extent cx="2146935" cy="2919095"/>
            <wp:effectExtent l="0" t="0" r="1206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46935" cy="2919095"/>
                    </a:xfrm>
                    <a:prstGeom prst="rect">
                      <a:avLst/>
                    </a:prstGeom>
                    <a:noFill/>
                    <a:ln>
                      <a:noFill/>
                    </a:ln>
                  </pic:spPr>
                </pic:pic>
              </a:graphicData>
            </a:graphic>
          </wp:inline>
        </w:drawing>
      </w:r>
    </w:p>
    <w:p w14:paraId="482572E3" w14:textId="77777777" w:rsidR="00541A14" w:rsidRDefault="00A450E1">
      <w:pPr>
        <w:pStyle w:val="Default"/>
        <w:spacing w:after="3882" w:line="528" w:lineRule="atLeast"/>
        <w:ind w:hanging="1950"/>
        <w:rPr>
          <w:rFonts w:ascii="Futura ExtraBold" w:hAnsi="Futura ExtraBold" w:cs="Futura ExtraBold"/>
          <w:sz w:val="44"/>
          <w:szCs w:val="44"/>
        </w:rPr>
      </w:pPr>
      <w:r>
        <w:rPr>
          <w:rFonts w:ascii="Futura ExtraBold" w:hAnsi="Futura ExtraBold" w:cs="Futura ExtraBold"/>
          <w:b/>
          <w:bCs/>
          <w:sz w:val="44"/>
          <w:szCs w:val="44"/>
        </w:rPr>
        <w:t xml:space="preserve">IALA Aids to Navigation Manual NAVGUIDE 2010 </w:t>
      </w:r>
    </w:p>
    <w:p w14:paraId="5FB53E90" w14:textId="77777777" w:rsidR="00541A14" w:rsidRDefault="00A450E1">
      <w:pPr>
        <w:pStyle w:val="CM164"/>
        <w:spacing w:after="1215" w:line="413" w:lineRule="atLeast"/>
        <w:ind w:left="2135" w:right="1305" w:hanging="765"/>
        <w:rPr>
          <w:rFonts w:ascii="Palatino" w:hAnsi="Palatino" w:cs="Palatino"/>
          <w:color w:val="000000"/>
          <w:sz w:val="20"/>
          <w:szCs w:val="20"/>
        </w:rPr>
      </w:pPr>
      <w:r>
        <w:rPr>
          <w:rFonts w:ascii="Palatino" w:hAnsi="Palatino" w:cs="Palatino"/>
          <w:color w:val="000000"/>
          <w:sz w:val="20"/>
          <w:szCs w:val="20"/>
        </w:rPr>
        <w:t xml:space="preserve">AISM-IALA : 20 ter rue Schnapper  - 78100 Saint-Germain en Laye -France                                                    Telephone: + 33 1 34 51 70 01  -fax: + 33 1 34 51 82 05 e-mail : iala-aism@wanadoo.fr -internet: www.iala-aism.org </w:t>
      </w:r>
    </w:p>
    <w:p w14:paraId="472DFAD2" w14:textId="77777777" w:rsidR="00541A14" w:rsidRDefault="00A450E1">
      <w:pPr>
        <w:pStyle w:val="Default"/>
        <w:spacing w:line="413" w:lineRule="atLeast"/>
        <w:jc w:val="center"/>
        <w:rPr>
          <w:rFonts w:ascii="Palatino" w:hAnsi="Palatino" w:cs="Palatino"/>
          <w:sz w:val="20"/>
          <w:szCs w:val="20"/>
        </w:rPr>
      </w:pPr>
      <w:r>
        <w:rPr>
          <w:rFonts w:ascii="Palatino" w:hAnsi="Palatino" w:cs="Palatino"/>
          <w:sz w:val="20"/>
          <w:szCs w:val="20"/>
        </w:rPr>
        <w:t xml:space="preserve">© IALA-AISM 2010 Reproduction for training / educational purposes permitted. </w:t>
      </w:r>
    </w:p>
    <w:p w14:paraId="49FC2254" w14:textId="77777777" w:rsidR="00541A14" w:rsidRDefault="00DD420F">
      <w:pPr>
        <w:pStyle w:val="Default"/>
        <w:pageBreakBefore/>
        <w:framePr w:w="12724" w:wrap="auto" w:vAnchor="page" w:hAnchor="page" w:x="101" w:y="14857"/>
        <w:rPr>
          <w:rFonts w:ascii="Palatino" w:hAnsi="Palatino" w:cs="Palatino"/>
          <w:sz w:val="20"/>
          <w:szCs w:val="20"/>
        </w:rPr>
      </w:pPr>
      <w:r>
        <w:rPr>
          <w:rFonts w:ascii="Palatino" w:hAnsi="Palatino" w:cs="Palatino"/>
          <w:noProof/>
          <w:sz w:val="20"/>
          <w:szCs w:val="20"/>
        </w:rPr>
        <w:drawing>
          <wp:inline distT="0" distB="0" distL="0" distR="0" wp14:anchorId="38DB24C0" wp14:editId="4A1DA966">
            <wp:extent cx="7553960" cy="106946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53960" cy="10694670"/>
                    </a:xfrm>
                    <a:prstGeom prst="rect">
                      <a:avLst/>
                    </a:prstGeom>
                    <a:noFill/>
                    <a:ln>
                      <a:noFill/>
                    </a:ln>
                  </pic:spPr>
                </pic:pic>
              </a:graphicData>
            </a:graphic>
          </wp:inline>
        </w:drawing>
      </w:r>
    </w:p>
    <w:p w14:paraId="68BDDAC3" w14:textId="77777777" w:rsidR="00541A14" w:rsidRDefault="00DD420F">
      <w:pPr>
        <w:pStyle w:val="Default"/>
        <w:pageBreakBefore/>
        <w:framePr w:w="12703" w:wrap="auto" w:vAnchor="page" w:hAnchor="page" w:x="18" w:y="1"/>
        <w:spacing w:after="780"/>
        <w:rPr>
          <w:rFonts w:ascii="Palatino" w:hAnsi="Palatino" w:cs="Palatino"/>
          <w:sz w:val="20"/>
          <w:szCs w:val="20"/>
        </w:rPr>
      </w:pPr>
      <w:r>
        <w:rPr>
          <w:rFonts w:ascii="Palatino" w:hAnsi="Palatino" w:cs="Palatino"/>
          <w:noProof/>
          <w:sz w:val="20"/>
          <w:szCs w:val="20"/>
        </w:rPr>
        <w:drawing>
          <wp:inline distT="0" distB="0" distL="0" distR="0" wp14:anchorId="6EF88B1D" wp14:editId="4FFDC84D">
            <wp:extent cx="7542530" cy="2056130"/>
            <wp:effectExtent l="0" t="0" r="127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42530" cy="2056130"/>
                    </a:xfrm>
                    <a:prstGeom prst="rect">
                      <a:avLst/>
                    </a:prstGeom>
                    <a:noFill/>
                    <a:ln>
                      <a:noFill/>
                    </a:ln>
                  </pic:spPr>
                </pic:pic>
              </a:graphicData>
            </a:graphic>
          </wp:inline>
        </w:drawing>
      </w:r>
    </w:p>
    <w:p w14:paraId="567E5A68"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 IALA NAVGUIDE 2010 will be of interest and assistance to all organisations, training institutions and individuals who are associated with aids to navigation (AtoN).  This sixth edition has been developed over the past four years (2006 – 2010), and represents a continuing commitment to excellence and clarity of presentation. </w:t>
      </w:r>
    </w:p>
    <w:p w14:paraId="485F3361" w14:textId="77777777" w:rsidR="00541A14" w:rsidRDefault="00A450E1">
      <w:pPr>
        <w:pStyle w:val="CM165"/>
        <w:spacing w:after="85" w:line="300" w:lineRule="atLeast"/>
        <w:ind w:right="465"/>
        <w:rPr>
          <w:rFonts w:ascii="Palatino" w:hAnsi="Palatino" w:cs="Palatino"/>
          <w:color w:val="000000"/>
          <w:sz w:val="20"/>
          <w:szCs w:val="20"/>
        </w:rPr>
      </w:pPr>
      <w:r>
        <w:rPr>
          <w:rFonts w:ascii="Palatino" w:hAnsi="Palatino" w:cs="Palatino"/>
          <w:color w:val="000000"/>
          <w:sz w:val="20"/>
          <w:szCs w:val="20"/>
        </w:rPr>
        <w:t xml:space="preserve">A key change from the 2006 version is the focus on e-navigation in recognition of the extensive conceptual work done to date, the central role e-navigation is expected to play in the future work program of IALA and its impact on the way Competent Authorities provide an aids to navigation service to mariners in the longer term. </w:t>
      </w:r>
    </w:p>
    <w:p w14:paraId="0742E3CA"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The IALA Aids to Navigation Management (ANM) Committee has coordinated the review of the IALA NAVGUIDE. All sections have been reviewed and revisions made through expert input from all of the IALA Committees – ANM, Engineering, Environment and Preservation (EEP), e-Navigation </w:t>
      </w:r>
    </w:p>
    <w:p w14:paraId="2C295DC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(e-NAV) and Vessel Traffic Services (VTS).   </w:t>
      </w:r>
    </w:p>
    <w:p w14:paraId="4A005BC3"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This NAVGUIDE is a tribute to professionals already very busy in their own organisations worldwide, who are happy to share their expertise with other members of the international maritime community to assist in reaching the ultimate goal of harmonization of maritime aids to navigation.  It is a testimony to the effort of all the members of the IALA Committees. </w:t>
      </w:r>
    </w:p>
    <w:p w14:paraId="0ACD1CF6" w14:textId="77777777" w:rsidR="00541A14" w:rsidRDefault="00A450E1">
      <w:pPr>
        <w:pStyle w:val="CM162"/>
        <w:spacing w:after="552" w:line="291" w:lineRule="atLeast"/>
        <w:rPr>
          <w:rFonts w:ascii="Palatino" w:hAnsi="Palatino" w:cs="Palatino"/>
          <w:color w:val="000000"/>
          <w:sz w:val="20"/>
          <w:szCs w:val="20"/>
        </w:rPr>
      </w:pPr>
      <w:r>
        <w:rPr>
          <w:rFonts w:ascii="Palatino" w:hAnsi="Palatino" w:cs="Palatino"/>
          <w:color w:val="000000"/>
          <w:sz w:val="20"/>
          <w:szCs w:val="20"/>
        </w:rPr>
        <w:t xml:space="preserve">IALA welcomes feedback about its publications. Readers are invited to send comments or suggestions, which will be taken into account when considering the publication of the next edition. Please forward comments to: iala-aism@wanadoo.fr attention IALA Technical Coordination Manager. </w:t>
      </w:r>
    </w:p>
    <w:p w14:paraId="79DCCA07" w14:textId="77777777" w:rsidR="00541A14" w:rsidRDefault="00A450E1">
      <w:pPr>
        <w:pStyle w:val="Default"/>
        <w:spacing w:after="5030" w:line="300" w:lineRule="atLeast"/>
        <w:ind w:left="8085"/>
        <w:rPr>
          <w:rFonts w:ascii="Palatino" w:hAnsi="Palatino" w:cs="Palatino"/>
          <w:sz w:val="20"/>
          <w:szCs w:val="20"/>
        </w:rPr>
      </w:pPr>
      <w:r>
        <w:rPr>
          <w:rFonts w:ascii="Palatino" w:hAnsi="Palatino" w:cs="Palatino"/>
          <w:i/>
          <w:iCs/>
          <w:sz w:val="20"/>
          <w:szCs w:val="20"/>
        </w:rPr>
        <w:t xml:space="preserve">Torsten Kruuse, IALA Secretary General March 2010 </w:t>
      </w:r>
    </w:p>
    <w:p w14:paraId="263F6562" w14:textId="77777777" w:rsidR="00541A14" w:rsidRDefault="00DD420F">
      <w:pPr>
        <w:pStyle w:val="Default"/>
        <w:framePr w:w="10740" w:wrap="auto" w:vAnchor="page" w:hAnchor="page" w:x="1415" w:y="16344"/>
        <w:rPr>
          <w:rFonts w:ascii="Palatino" w:hAnsi="Palatino" w:cs="Palatino"/>
          <w:sz w:val="20"/>
          <w:szCs w:val="20"/>
        </w:rPr>
      </w:pPr>
      <w:r>
        <w:rPr>
          <w:rFonts w:ascii="Palatino" w:hAnsi="Palatino" w:cs="Palatino"/>
          <w:noProof/>
          <w:sz w:val="20"/>
          <w:szCs w:val="20"/>
        </w:rPr>
        <w:drawing>
          <wp:inline distT="0" distB="0" distL="0" distR="0" wp14:anchorId="55FA1A0C" wp14:editId="76C623A9">
            <wp:extent cx="7553960" cy="3803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53960" cy="380365"/>
                    </a:xfrm>
                    <a:prstGeom prst="rect">
                      <a:avLst/>
                    </a:prstGeom>
                    <a:noFill/>
                    <a:ln>
                      <a:noFill/>
                    </a:ln>
                  </pic:spPr>
                </pic:pic>
              </a:graphicData>
            </a:graphic>
          </wp:inline>
        </w:drawing>
      </w:r>
    </w:p>
    <w:p w14:paraId="6921175F" w14:textId="77777777" w:rsidR="00541A14" w:rsidRDefault="00DD420F">
      <w:pPr>
        <w:pStyle w:val="Default"/>
        <w:pageBreakBefore/>
        <w:framePr w:w="12720" w:wrap="auto" w:vAnchor="page" w:hAnchor="page" w:x="101" w:y="1240"/>
        <w:spacing w:after="4720"/>
        <w:rPr>
          <w:rFonts w:ascii="Palatino" w:hAnsi="Palatino" w:cs="Palatino"/>
          <w:sz w:val="20"/>
          <w:szCs w:val="20"/>
        </w:rPr>
      </w:pPr>
      <w:r>
        <w:rPr>
          <w:rFonts w:ascii="Palatino" w:hAnsi="Palatino" w:cs="Palatino"/>
          <w:noProof/>
          <w:sz w:val="20"/>
          <w:szCs w:val="20"/>
        </w:rPr>
        <w:drawing>
          <wp:inline distT="0" distB="0" distL="0" distR="0" wp14:anchorId="2A52FA6A" wp14:editId="4C5D7D43">
            <wp:extent cx="7553960" cy="205613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53960" cy="2056130"/>
                    </a:xfrm>
                    <a:prstGeom prst="rect">
                      <a:avLst/>
                    </a:prstGeom>
                    <a:noFill/>
                    <a:ln>
                      <a:noFill/>
                    </a:ln>
                  </pic:spPr>
                </pic:pic>
              </a:graphicData>
            </a:graphic>
          </wp:inline>
        </w:drawing>
      </w:r>
    </w:p>
    <w:p w14:paraId="358A8F40" w14:textId="77777777" w:rsidR="00541A14" w:rsidRDefault="00A450E1">
      <w:pPr>
        <w:pStyle w:val="CM166"/>
        <w:spacing w:after="2395"/>
        <w:jc w:val="center"/>
        <w:rPr>
          <w:rFonts w:ascii="Futura ExtraBold" w:hAnsi="Futura ExtraBold" w:cs="Futura ExtraBold"/>
          <w:color w:val="000000"/>
          <w:sz w:val="44"/>
          <w:szCs w:val="44"/>
        </w:rPr>
      </w:pPr>
      <w:r>
        <w:rPr>
          <w:rFonts w:ascii="Futura ExtraBold" w:hAnsi="Futura ExtraBold" w:cs="Futura ExtraBold"/>
          <w:b/>
          <w:bCs/>
          <w:color w:val="000000"/>
          <w:sz w:val="44"/>
          <w:szCs w:val="44"/>
        </w:rPr>
        <w:t xml:space="preserve">AckNowLEDGEMENt </w:t>
      </w:r>
    </w:p>
    <w:p w14:paraId="1FA647C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photographs in this manual were provided by members of the various IALA Committees and Industrial Members of IALA acting either in their capacity as representatives of a member organisation or as private individuals. The photographs were accompanied by permission to publish them in this manual; IALA wishes to acknowledge these donations and the copyright of donors. Donations were received from: </w:t>
      </w:r>
    </w:p>
    <w:p w14:paraId="491C08EA" w14:textId="77777777" w:rsidR="00541A14" w:rsidRDefault="00A450E1">
      <w:pPr>
        <w:pStyle w:val="CM5"/>
        <w:rPr>
          <w:rFonts w:ascii="Palatino" w:hAnsi="Palatino" w:cs="Palatino"/>
          <w:color w:val="000000"/>
          <w:sz w:val="20"/>
          <w:szCs w:val="20"/>
        </w:rPr>
      </w:pPr>
      <w:r>
        <w:rPr>
          <w:rFonts w:ascii="Palatino" w:hAnsi="Palatino" w:cs="Palatino"/>
          <w:color w:val="000000"/>
          <w:sz w:val="20"/>
          <w:szCs w:val="20"/>
        </w:rPr>
        <w:t xml:space="preserve">Australian Maritime Safety Authority Australian Maritime Systems Ltd Canadian Coast Guard China Maritime Safety Administration Commissioners of Irish Lights Force Technology </w:t>
      </w:r>
    </w:p>
    <w:p w14:paraId="538EC343" w14:textId="77777777" w:rsidR="00541A14" w:rsidRDefault="00A450E1">
      <w:pPr>
        <w:pStyle w:val="CM5"/>
        <w:rPr>
          <w:rFonts w:ascii="Palatino" w:hAnsi="Palatino" w:cs="Palatino"/>
          <w:color w:val="000000"/>
          <w:sz w:val="20"/>
          <w:szCs w:val="20"/>
        </w:rPr>
      </w:pPr>
      <w:r>
        <w:rPr>
          <w:rFonts w:ascii="Palatino" w:hAnsi="Palatino" w:cs="Palatino"/>
          <w:color w:val="000000"/>
          <w:sz w:val="20"/>
          <w:szCs w:val="20"/>
        </w:rPr>
        <w:t xml:space="preserve">Instituto Hydrografico (Portugal) </w:t>
      </w:r>
    </w:p>
    <w:p w14:paraId="26E5BB68" w14:textId="77777777" w:rsidR="00541A14" w:rsidRDefault="00A450E1">
      <w:pPr>
        <w:pStyle w:val="CM5"/>
        <w:spacing w:after="4670"/>
        <w:rPr>
          <w:rFonts w:ascii="Palatino" w:hAnsi="Palatino" w:cs="Palatino"/>
          <w:color w:val="000000"/>
          <w:sz w:val="20"/>
          <w:szCs w:val="20"/>
        </w:rPr>
      </w:pPr>
      <w:r>
        <w:rPr>
          <w:rFonts w:ascii="Palatino" w:hAnsi="Palatino" w:cs="Palatino"/>
          <w:color w:val="000000"/>
          <w:sz w:val="20"/>
          <w:szCs w:val="20"/>
        </w:rPr>
        <w:t xml:space="preserve">Mobilis S.A.S Northern Lighthouse Board (Scotland) Sabik Oy Tideland Signal Corporation Trinity House Lighthouse Service (UK) United States Coast Guard Vega Industries Wasser und Schiffahrtsdirektion (Germany) </w:t>
      </w:r>
    </w:p>
    <w:p w14:paraId="565344FE" w14:textId="77777777" w:rsidR="00541A14" w:rsidRDefault="00DD420F">
      <w:pPr>
        <w:pStyle w:val="Default"/>
        <w:framePr w:w="10730" w:wrap="auto" w:vAnchor="page" w:hAnchor="page" w:x="589" w:y="16344"/>
        <w:rPr>
          <w:rFonts w:ascii="Palatino" w:hAnsi="Palatino" w:cs="Palatino"/>
          <w:sz w:val="20"/>
          <w:szCs w:val="20"/>
        </w:rPr>
      </w:pPr>
      <w:r>
        <w:rPr>
          <w:rFonts w:ascii="Palatino" w:hAnsi="Palatino" w:cs="Palatino"/>
          <w:noProof/>
          <w:sz w:val="20"/>
          <w:szCs w:val="20"/>
        </w:rPr>
        <w:drawing>
          <wp:inline distT="0" distB="0" distL="0" distR="0" wp14:anchorId="399B5B7E" wp14:editId="1811B6AF">
            <wp:extent cx="7542530" cy="380365"/>
            <wp:effectExtent l="0" t="0" r="127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42530" cy="380365"/>
                    </a:xfrm>
                    <a:prstGeom prst="rect">
                      <a:avLst/>
                    </a:prstGeom>
                    <a:noFill/>
                    <a:ln>
                      <a:noFill/>
                    </a:ln>
                  </pic:spPr>
                </pic:pic>
              </a:graphicData>
            </a:graphic>
          </wp:inline>
        </w:drawing>
      </w:r>
    </w:p>
    <w:p w14:paraId="538AB7AA" w14:textId="77777777" w:rsidR="00541A14" w:rsidRDefault="00DD420F">
      <w:pPr>
        <w:pStyle w:val="Default"/>
        <w:pageBreakBefore/>
        <w:framePr w:w="12703" w:wrap="auto" w:vAnchor="page" w:hAnchor="page" w:x="18" w:y="1"/>
        <w:spacing w:after="1920"/>
        <w:rPr>
          <w:rFonts w:ascii="Palatino" w:hAnsi="Palatino" w:cs="Palatino"/>
          <w:sz w:val="20"/>
          <w:szCs w:val="20"/>
        </w:rPr>
      </w:pPr>
      <w:r>
        <w:rPr>
          <w:rFonts w:ascii="Palatino" w:hAnsi="Palatino" w:cs="Palatino"/>
          <w:noProof/>
          <w:sz w:val="20"/>
          <w:szCs w:val="20"/>
        </w:rPr>
        <w:drawing>
          <wp:inline distT="0" distB="0" distL="0" distR="0" wp14:anchorId="7A9A1D1B" wp14:editId="055B843B">
            <wp:extent cx="7542530" cy="2056130"/>
            <wp:effectExtent l="0" t="0" r="127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42530" cy="2056130"/>
                    </a:xfrm>
                    <a:prstGeom prst="rect">
                      <a:avLst/>
                    </a:prstGeom>
                    <a:noFill/>
                    <a:ln>
                      <a:noFill/>
                    </a:ln>
                  </pic:spPr>
                </pic:pic>
              </a:graphicData>
            </a:graphic>
          </wp:inline>
        </w:drawing>
      </w:r>
    </w:p>
    <w:p w14:paraId="0BB4C41C" w14:textId="77777777" w:rsidR="00541A14" w:rsidRDefault="00A450E1">
      <w:pPr>
        <w:pStyle w:val="CM167"/>
        <w:spacing w:after="1683"/>
        <w:jc w:val="center"/>
        <w:rPr>
          <w:rFonts w:ascii="Futura ExtraBold" w:hAnsi="Futura ExtraBold" w:cs="Futura ExtraBold"/>
          <w:color w:val="000000"/>
          <w:sz w:val="44"/>
          <w:szCs w:val="44"/>
        </w:rPr>
      </w:pPr>
      <w:r>
        <w:rPr>
          <w:rFonts w:ascii="Futura ExtraBold" w:hAnsi="Futura ExtraBold" w:cs="Futura ExtraBold"/>
          <w:b/>
          <w:bCs/>
          <w:color w:val="000000"/>
          <w:sz w:val="44"/>
          <w:szCs w:val="44"/>
        </w:rPr>
        <w:t xml:space="preserve">coNtENts </w:t>
      </w:r>
    </w:p>
    <w:p w14:paraId="30D4275C" w14:textId="77777777" w:rsidR="00541A14" w:rsidRDefault="00DD420F">
      <w:pPr>
        <w:pStyle w:val="Default"/>
        <w:framePr w:w="12710" w:wrap="auto" w:vAnchor="page" w:hAnchor="page" w:x="101" w:y="15105"/>
        <w:rPr>
          <w:rFonts w:ascii="Futura ExtraBold" w:hAnsi="Futura ExtraBold" w:cs="Futura ExtraBold"/>
          <w:sz w:val="44"/>
          <w:szCs w:val="44"/>
        </w:rPr>
      </w:pPr>
      <w:r>
        <w:rPr>
          <w:rFonts w:ascii="Futura ExtraBold" w:hAnsi="Futura ExtraBold" w:cs="Futura ExtraBold"/>
          <w:noProof/>
          <w:sz w:val="44"/>
          <w:szCs w:val="44"/>
        </w:rPr>
        <w:drawing>
          <wp:inline distT="0" distB="0" distL="0" distR="0" wp14:anchorId="22EC82CF" wp14:editId="6662FB97">
            <wp:extent cx="7553960" cy="85871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553960" cy="8587105"/>
                    </a:xfrm>
                    <a:prstGeom prst="rect">
                      <a:avLst/>
                    </a:prstGeom>
                    <a:noFill/>
                    <a:ln>
                      <a:noFill/>
                    </a:ln>
                  </pic:spPr>
                </pic:pic>
              </a:graphicData>
            </a:graphic>
          </wp:inline>
        </w:drawing>
      </w:r>
    </w:p>
    <w:p w14:paraId="55F6CF4F" w14:textId="77777777" w:rsidR="00541A14" w:rsidRDefault="00DD420F">
      <w:pPr>
        <w:pStyle w:val="Default"/>
        <w:pageBreakBefore/>
        <w:framePr w:w="12722" w:wrap="auto" w:vAnchor="page" w:hAnchor="page" w:x="101" w:y="1"/>
        <w:spacing w:after="220"/>
        <w:rPr>
          <w:rFonts w:ascii="Futura ExtraBold" w:hAnsi="Futura ExtraBold" w:cs="Futura ExtraBold"/>
          <w:sz w:val="44"/>
          <w:szCs w:val="44"/>
        </w:rPr>
      </w:pPr>
      <w:r>
        <w:rPr>
          <w:rFonts w:ascii="Futura ExtraBold" w:hAnsi="Futura ExtraBold" w:cs="Futura ExtraBold"/>
          <w:noProof/>
          <w:sz w:val="44"/>
          <w:szCs w:val="44"/>
        </w:rPr>
        <w:drawing>
          <wp:inline distT="0" distB="0" distL="0" distR="0" wp14:anchorId="7E5AB920" wp14:editId="797D08B1">
            <wp:extent cx="7553960" cy="11531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787BF033"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2.5 Hydrographic Considerations 21 </w:t>
      </w:r>
    </w:p>
    <w:p w14:paraId="45BAC0F3"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2.5.1 Charts 21 </w:t>
      </w:r>
    </w:p>
    <w:p w14:paraId="2888FDD3"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2.5.2 Datum 22 </w:t>
      </w:r>
    </w:p>
    <w:p w14:paraId="2A7E4F6F" w14:textId="77777777" w:rsidR="00541A14" w:rsidRDefault="00A450E1">
      <w:pPr>
        <w:pStyle w:val="CM7"/>
        <w:ind w:left="1140"/>
        <w:jc w:val="both"/>
        <w:rPr>
          <w:rFonts w:ascii="Palatino" w:hAnsi="Palatino" w:cs="Palatino"/>
          <w:color w:val="000000"/>
          <w:sz w:val="20"/>
          <w:szCs w:val="20"/>
        </w:rPr>
      </w:pPr>
      <w:r>
        <w:rPr>
          <w:rFonts w:ascii="Palatino" w:hAnsi="Palatino" w:cs="Palatino"/>
          <w:color w:val="000000"/>
          <w:sz w:val="20"/>
          <w:szCs w:val="20"/>
        </w:rPr>
        <w:t xml:space="preserve">2.5.3 Accuracy of Charts 26 </w:t>
      </w:r>
    </w:p>
    <w:p w14:paraId="4ABA2F9D" w14:textId="77777777" w:rsidR="00541A14" w:rsidRDefault="00A450E1">
      <w:pPr>
        <w:pStyle w:val="CM8"/>
        <w:ind w:firstLine="1140"/>
        <w:jc w:val="both"/>
        <w:rPr>
          <w:rFonts w:ascii="Palatino" w:hAnsi="Palatino" w:cs="Palatino"/>
          <w:color w:val="000000"/>
          <w:sz w:val="20"/>
          <w:szCs w:val="20"/>
        </w:rPr>
      </w:pPr>
      <w:r>
        <w:rPr>
          <w:rFonts w:ascii="Palatino" w:hAnsi="Palatino" w:cs="Palatino"/>
          <w:color w:val="000000"/>
          <w:sz w:val="20"/>
          <w:szCs w:val="20"/>
        </w:rPr>
        <w:t xml:space="preserve">2.5.4 Charted Buoy Positions 26 </w:t>
      </w:r>
      <w:r>
        <w:rPr>
          <w:rFonts w:ascii="Palatino" w:hAnsi="Palatino" w:cs="Palatino"/>
          <w:b/>
          <w:bCs/>
          <w:color w:val="000000"/>
          <w:sz w:val="20"/>
          <w:szCs w:val="20"/>
        </w:rPr>
        <w:t xml:space="preserve">Chapter 3 Aids to Navigation </w:t>
      </w:r>
      <w:r>
        <w:rPr>
          <w:rFonts w:ascii="Palatino" w:hAnsi="Palatino" w:cs="Palatino"/>
          <w:color w:val="000000"/>
          <w:sz w:val="20"/>
          <w:szCs w:val="20"/>
        </w:rPr>
        <w:t xml:space="preserve">27 </w:t>
      </w:r>
    </w:p>
    <w:p w14:paraId="63C16F27"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3.1 Visual Aids to Navigation 27 </w:t>
      </w:r>
    </w:p>
    <w:p w14:paraId="0ED21233"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3.1.1 Signal Colours 29 </w:t>
      </w:r>
    </w:p>
    <w:p w14:paraId="2C10D8A3"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3.1.2 Visibility of a Mark 31 </w:t>
      </w:r>
    </w:p>
    <w:p w14:paraId="1D53C234"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3.1.3 Meteorological Visibility 32 </w:t>
      </w:r>
    </w:p>
    <w:p w14:paraId="314E0854"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3.1.4 Atmospheric Transmissivity 32 </w:t>
      </w:r>
    </w:p>
    <w:p w14:paraId="19A24447"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3.1.5 Atmospheric Refraction 32 </w:t>
      </w:r>
    </w:p>
    <w:p w14:paraId="01220F65"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3.1.6 Contrast 32 </w:t>
      </w:r>
    </w:p>
    <w:p w14:paraId="12B540A1"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3.1.7 Use of Binoculars 33 </w:t>
      </w:r>
    </w:p>
    <w:p w14:paraId="4E7D1709"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3.1.8 Range of a Visual Mark 33 </w:t>
      </w:r>
    </w:p>
    <w:p w14:paraId="2FE9A29A" w14:textId="77777777" w:rsidR="00541A14" w:rsidRDefault="00A450E1">
      <w:pPr>
        <w:pStyle w:val="CM165"/>
        <w:spacing w:after="85" w:line="356" w:lineRule="atLeast"/>
        <w:ind w:left="1137"/>
        <w:jc w:val="both"/>
        <w:rPr>
          <w:rFonts w:ascii="Palatino" w:hAnsi="Palatino" w:cs="Palatino"/>
          <w:color w:val="000000"/>
          <w:sz w:val="20"/>
          <w:szCs w:val="20"/>
        </w:rPr>
      </w:pPr>
      <w:r>
        <w:rPr>
          <w:rFonts w:ascii="Palatino" w:hAnsi="Palatino" w:cs="Palatino"/>
          <w:color w:val="000000"/>
          <w:sz w:val="20"/>
          <w:szCs w:val="20"/>
        </w:rPr>
        <w:t xml:space="preserve">3.1.9 Geographical Range 33 </w:t>
      </w:r>
    </w:p>
    <w:p w14:paraId="310FC683" w14:textId="77777777" w:rsidR="00541A14" w:rsidRDefault="00A450E1">
      <w:pPr>
        <w:pStyle w:val="CM165"/>
        <w:spacing w:after="8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3.2 Aids to Navigation Lights 34 </w:t>
      </w:r>
    </w:p>
    <w:p w14:paraId="453F5DE4"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3.2.1 </w:t>
      </w:r>
    </w:p>
    <w:p w14:paraId="2B01C68D"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3.2.2 </w:t>
      </w:r>
    </w:p>
    <w:p w14:paraId="7E2AD713"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3.2.3 </w:t>
      </w:r>
    </w:p>
    <w:p w14:paraId="4C89FB86"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3.2.4 </w:t>
      </w:r>
    </w:p>
    <w:p w14:paraId="648314D3"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3.2.5 </w:t>
      </w:r>
    </w:p>
    <w:p w14:paraId="13C2D7FE"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3.2.6 </w:t>
      </w:r>
    </w:p>
    <w:p w14:paraId="34E4EFFC"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3.2.7 </w:t>
      </w:r>
    </w:p>
    <w:p w14:paraId="4DD75FAD" w14:textId="77777777" w:rsidR="00541A14" w:rsidRDefault="00A450E1">
      <w:pPr>
        <w:pStyle w:val="CM1"/>
        <w:jc w:val="center"/>
        <w:rPr>
          <w:rFonts w:ascii="Palatino" w:hAnsi="Palatino" w:cs="Palatino"/>
          <w:color w:val="000000"/>
          <w:sz w:val="20"/>
          <w:szCs w:val="20"/>
        </w:rPr>
      </w:pPr>
      <w:r>
        <w:rPr>
          <w:rFonts w:ascii="Palatino" w:hAnsi="Palatino" w:cs="Palatino"/>
          <w:color w:val="000000"/>
          <w:sz w:val="20"/>
          <w:szCs w:val="20"/>
        </w:rPr>
        <w:t xml:space="preserve">3.2.8 </w:t>
      </w:r>
    </w:p>
    <w:p w14:paraId="5A7E547A"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Gas Lights 35 Electric Lights 36 Photometry of Marine Aids to Navigation Signal Lights 44 Rhythms / Character 49 Fixed Aids to Navigation 64 Floating Aids to Navigation 66 Sector Lights and Leading (Range) Lines 73 Integrated Power Supply Lanterns 80 </w:t>
      </w:r>
    </w:p>
    <w:p w14:paraId="3B7BA3FD" w14:textId="77777777" w:rsidR="00541A14" w:rsidRDefault="00A450E1">
      <w:pPr>
        <w:pStyle w:val="CM165"/>
        <w:spacing w:after="85"/>
        <w:jc w:val="both"/>
        <w:rPr>
          <w:rFonts w:ascii="Palatino" w:hAnsi="Palatino" w:cs="Palatino"/>
          <w:color w:val="000000"/>
          <w:sz w:val="20"/>
          <w:szCs w:val="20"/>
        </w:rPr>
      </w:pPr>
      <w:r>
        <w:rPr>
          <w:rFonts w:ascii="Palatino" w:hAnsi="Palatino" w:cs="Palatino"/>
          <w:b/>
          <w:bCs/>
          <w:color w:val="000000"/>
          <w:sz w:val="20"/>
          <w:szCs w:val="20"/>
        </w:rPr>
        <w:t xml:space="preserve">Chapter 4 e-Navigation </w:t>
      </w:r>
      <w:r>
        <w:rPr>
          <w:rFonts w:ascii="Palatino" w:hAnsi="Palatino" w:cs="Palatino"/>
          <w:color w:val="000000"/>
          <w:sz w:val="20"/>
          <w:szCs w:val="20"/>
        </w:rPr>
        <w:t xml:space="preserve">81 </w:t>
      </w:r>
    </w:p>
    <w:p w14:paraId="114EE852"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4.1 Introduction 81 </w:t>
      </w:r>
    </w:p>
    <w:p w14:paraId="1B33493D"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4.2 Definition of e-Navigation 82 </w:t>
      </w:r>
    </w:p>
    <w:p w14:paraId="198D6C86"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4.3 A Vision for e-Navigation 82 </w:t>
      </w:r>
    </w:p>
    <w:p w14:paraId="61890F78"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4.4 Strategy and Implementation 83 </w:t>
      </w:r>
    </w:p>
    <w:p w14:paraId="622350AC"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4.5 IALA’s Role 86 </w:t>
      </w:r>
    </w:p>
    <w:p w14:paraId="7FDACDC4"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4.6 Architecture 86 </w:t>
      </w:r>
    </w:p>
    <w:p w14:paraId="0814DF01" w14:textId="77777777" w:rsidR="00541A14" w:rsidRDefault="00A450E1">
      <w:pPr>
        <w:pStyle w:val="CM6"/>
        <w:ind w:left="617"/>
        <w:jc w:val="both"/>
        <w:rPr>
          <w:rFonts w:ascii="Palatino" w:hAnsi="Palatino" w:cs="Palatino"/>
          <w:color w:val="000000"/>
          <w:sz w:val="20"/>
          <w:szCs w:val="20"/>
        </w:rPr>
      </w:pPr>
      <w:r>
        <w:rPr>
          <w:rFonts w:ascii="Palatino" w:hAnsi="Palatino" w:cs="Palatino"/>
          <w:color w:val="000000"/>
          <w:sz w:val="20"/>
          <w:szCs w:val="20"/>
        </w:rPr>
        <w:t xml:space="preserve">4.7 Technology for e-Navigation 87 </w:t>
      </w:r>
    </w:p>
    <w:p w14:paraId="23BBD426"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4.8 IALA Plan 87 Electronic Position Fixing Systems 87 </w:t>
      </w:r>
    </w:p>
    <w:p w14:paraId="77C684C7" w14:textId="77777777" w:rsidR="00541A14" w:rsidRDefault="00A450E1">
      <w:pPr>
        <w:pStyle w:val="CM165"/>
        <w:spacing w:after="8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4.9 Global Navigation Satellite Systems (GNSS) 87 </w:t>
      </w:r>
    </w:p>
    <w:p w14:paraId="15E0B15E"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4.9.1 </w:t>
      </w:r>
    </w:p>
    <w:p w14:paraId="68012C5A"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4.9.2 </w:t>
      </w:r>
    </w:p>
    <w:p w14:paraId="100F644C"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4.9.3 </w:t>
      </w:r>
    </w:p>
    <w:p w14:paraId="398764CB"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4.9.4 </w:t>
      </w:r>
    </w:p>
    <w:p w14:paraId="1A328788"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4.9.5 </w:t>
      </w:r>
    </w:p>
    <w:p w14:paraId="1F862055" w14:textId="77777777" w:rsidR="00541A14" w:rsidRDefault="00A450E1">
      <w:pPr>
        <w:pStyle w:val="CM1"/>
        <w:jc w:val="center"/>
        <w:rPr>
          <w:rFonts w:ascii="Palatino" w:hAnsi="Palatino" w:cs="Palatino"/>
          <w:color w:val="000000"/>
          <w:sz w:val="20"/>
          <w:szCs w:val="20"/>
        </w:rPr>
      </w:pPr>
      <w:r>
        <w:rPr>
          <w:rFonts w:ascii="Palatino" w:hAnsi="Palatino" w:cs="Palatino"/>
          <w:color w:val="000000"/>
          <w:sz w:val="20"/>
          <w:szCs w:val="20"/>
        </w:rPr>
        <w:t xml:space="preserve">4.9.6 </w:t>
      </w:r>
    </w:p>
    <w:p w14:paraId="779331FF"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GPS 88 GLONASS 88 Galileo 89 Beidou/Compass 89 QzSS 90 IRNSS 90 4.10 Differential GNSS 91 </w:t>
      </w:r>
    </w:p>
    <w:p w14:paraId="64F1EAA9" w14:textId="77777777" w:rsidR="00541A14" w:rsidRDefault="00DD420F">
      <w:pPr>
        <w:pStyle w:val="Default"/>
        <w:framePr w:w="10730" w:wrap="auto" w:vAnchor="page" w:hAnchor="page" w:x="589" w:y="16344"/>
        <w:rPr>
          <w:rFonts w:ascii="Palatino" w:hAnsi="Palatino" w:cs="Palatino"/>
          <w:sz w:val="20"/>
          <w:szCs w:val="20"/>
        </w:rPr>
      </w:pPr>
      <w:r>
        <w:rPr>
          <w:rFonts w:ascii="Palatino" w:hAnsi="Palatino" w:cs="Palatino"/>
          <w:noProof/>
          <w:sz w:val="20"/>
          <w:szCs w:val="20"/>
        </w:rPr>
        <w:drawing>
          <wp:inline distT="0" distB="0" distL="0" distR="0" wp14:anchorId="4CC3691C" wp14:editId="7FA425EB">
            <wp:extent cx="7542530" cy="380365"/>
            <wp:effectExtent l="0" t="0" r="127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542530" cy="380365"/>
                    </a:xfrm>
                    <a:prstGeom prst="rect">
                      <a:avLst/>
                    </a:prstGeom>
                    <a:noFill/>
                    <a:ln>
                      <a:noFill/>
                    </a:ln>
                  </pic:spPr>
                </pic:pic>
              </a:graphicData>
            </a:graphic>
          </wp:inline>
        </w:drawing>
      </w:r>
    </w:p>
    <w:p w14:paraId="2FC44C4F" w14:textId="77777777" w:rsidR="00541A14" w:rsidRDefault="00DD420F">
      <w:pPr>
        <w:pStyle w:val="Default"/>
        <w:pageBreakBefore/>
        <w:framePr w:w="12710" w:wrap="auto" w:vAnchor="page" w:hAnchor="page" w:x="14" w:y="1"/>
        <w:spacing w:after="220"/>
        <w:rPr>
          <w:rFonts w:ascii="Palatino" w:hAnsi="Palatino" w:cs="Palatino"/>
          <w:sz w:val="20"/>
          <w:szCs w:val="20"/>
        </w:rPr>
      </w:pPr>
      <w:r>
        <w:rPr>
          <w:rFonts w:ascii="Palatino" w:hAnsi="Palatino" w:cs="Palatino"/>
          <w:noProof/>
          <w:sz w:val="20"/>
          <w:szCs w:val="20"/>
        </w:rPr>
        <w:drawing>
          <wp:inline distT="0" distB="0" distL="0" distR="0" wp14:anchorId="574FA4E7" wp14:editId="25760790">
            <wp:extent cx="7542530" cy="1153160"/>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542530" cy="1153160"/>
                    </a:xfrm>
                    <a:prstGeom prst="rect">
                      <a:avLst/>
                    </a:prstGeom>
                    <a:noFill/>
                    <a:ln>
                      <a:noFill/>
                    </a:ln>
                  </pic:spPr>
                </pic:pic>
              </a:graphicData>
            </a:graphic>
          </wp:inline>
        </w:drawing>
      </w:r>
    </w:p>
    <w:p w14:paraId="18B0304B"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4.10.1 IALA Beacon DGNSS 91 </w:t>
      </w:r>
    </w:p>
    <w:p w14:paraId="3A396C90"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4.10.2 SBAS 91 </w:t>
      </w:r>
    </w:p>
    <w:p w14:paraId="48069672"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4.11 Receiver Autonomous Integrity Monitoring (RAIM) 93 </w:t>
      </w:r>
    </w:p>
    <w:p w14:paraId="3FC66DDA"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4.12 Terrestrial – eLoran 93 </w:t>
      </w:r>
    </w:p>
    <w:p w14:paraId="3A712740"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4.12.1 Introduction 93 </w:t>
      </w:r>
    </w:p>
    <w:p w14:paraId="21FBA109"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4.12.2 Background 93 </w:t>
      </w:r>
    </w:p>
    <w:p w14:paraId="4D5DA77E"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4.12.3 eLoran Performance 94 </w:t>
      </w:r>
    </w:p>
    <w:p w14:paraId="1CEF62B8"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4.12.4 Core eLoran Elements 94 </w:t>
      </w:r>
    </w:p>
    <w:p w14:paraId="26AAED6F"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4.12.5 Compatibility Between eLoran and Loran-C 95 </w:t>
      </w:r>
    </w:p>
    <w:p w14:paraId="066384D5"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4.12.6 eLoran as a Viable Backup to GNSS 95 </w:t>
      </w:r>
    </w:p>
    <w:p w14:paraId="32EB9A20"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4.13 Radar Aids to Navigation 95 </w:t>
      </w:r>
    </w:p>
    <w:p w14:paraId="138480B0"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4.13.1 New Technology Radars 95 </w:t>
      </w:r>
    </w:p>
    <w:p w14:paraId="5D49A937"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4.13.2 Radar Reflectors 96 </w:t>
      </w:r>
    </w:p>
    <w:p w14:paraId="6DED958B"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4.13.3 Radar Target Enhancers 96 </w:t>
      </w:r>
    </w:p>
    <w:p w14:paraId="4E8EEB48"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4.13.4 Radar Beacon (Racon) 97 </w:t>
      </w:r>
    </w:p>
    <w:p w14:paraId="5BE517AD"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4.13.5 Frequency-Agile Racon 98 </w:t>
      </w:r>
    </w:p>
    <w:p w14:paraId="7ECA1E9C"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4.13.6 Performance Criteria 98 </w:t>
      </w:r>
    </w:p>
    <w:p w14:paraId="2B0553EA"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4.13.7 Technical Considerations 98 </w:t>
      </w:r>
    </w:p>
    <w:p w14:paraId="0670FA9F" w14:textId="77777777" w:rsidR="00541A14" w:rsidRDefault="00A450E1">
      <w:pPr>
        <w:pStyle w:val="CM7"/>
        <w:ind w:left="1140"/>
        <w:jc w:val="both"/>
        <w:rPr>
          <w:rFonts w:ascii="Palatino" w:hAnsi="Palatino" w:cs="Palatino"/>
          <w:color w:val="000000"/>
          <w:sz w:val="20"/>
          <w:szCs w:val="20"/>
        </w:rPr>
      </w:pPr>
      <w:r>
        <w:rPr>
          <w:rFonts w:ascii="Palatino" w:hAnsi="Palatino" w:cs="Palatino"/>
          <w:color w:val="000000"/>
          <w:sz w:val="20"/>
          <w:szCs w:val="20"/>
        </w:rPr>
        <w:t xml:space="preserve">4.13.8 Use With New Technology Radars 99 </w:t>
      </w:r>
    </w:p>
    <w:p w14:paraId="374B6B99" w14:textId="77777777" w:rsidR="00541A14" w:rsidRDefault="00A450E1">
      <w:pPr>
        <w:pStyle w:val="CM8"/>
        <w:ind w:firstLine="1140"/>
        <w:jc w:val="both"/>
        <w:rPr>
          <w:rFonts w:ascii="Palatino" w:hAnsi="Palatino" w:cs="Palatino"/>
          <w:color w:val="000000"/>
          <w:sz w:val="20"/>
          <w:szCs w:val="20"/>
        </w:rPr>
      </w:pPr>
      <w:r>
        <w:rPr>
          <w:rFonts w:ascii="Palatino" w:hAnsi="Palatino" w:cs="Palatino"/>
          <w:color w:val="000000"/>
          <w:sz w:val="20"/>
          <w:szCs w:val="20"/>
        </w:rPr>
        <w:t xml:space="preserve">4.13.9 Non-Radio Positioning (Inertial) 99 Communications 100 </w:t>
      </w:r>
    </w:p>
    <w:p w14:paraId="636B8B25"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4.14 Maritime Radio Communications Plan 100 </w:t>
      </w:r>
    </w:p>
    <w:p w14:paraId="2FC5FDFB" w14:textId="77777777" w:rsidR="00541A14" w:rsidRDefault="00A450E1">
      <w:pPr>
        <w:pStyle w:val="CM13"/>
        <w:jc w:val="both"/>
        <w:rPr>
          <w:rFonts w:ascii="Palatino" w:hAnsi="Palatino" w:cs="Palatino"/>
          <w:color w:val="000000"/>
          <w:sz w:val="20"/>
          <w:szCs w:val="20"/>
        </w:rPr>
      </w:pPr>
      <w:r>
        <w:rPr>
          <w:rFonts w:ascii="Palatino" w:hAnsi="Palatino" w:cs="Palatino"/>
          <w:color w:val="000000"/>
          <w:sz w:val="20"/>
          <w:szCs w:val="20"/>
        </w:rPr>
        <w:t xml:space="preserve">Long Range Identification and Tracking 100 </w:t>
      </w:r>
    </w:p>
    <w:p w14:paraId="59AD6378"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4.15 Introduction 100 </w:t>
      </w:r>
    </w:p>
    <w:p w14:paraId="6BCDD1E6"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4.16 LRIT Concept 100 </w:t>
      </w:r>
    </w:p>
    <w:p w14:paraId="51FA668E" w14:textId="77777777" w:rsidR="00541A14" w:rsidRDefault="00541A14">
      <w:pPr>
        <w:pStyle w:val="Default"/>
        <w:rPr>
          <w:rFonts w:ascii="Palatino" w:hAnsi="Palatino" w:cs="Palatino"/>
          <w:sz w:val="20"/>
          <w:szCs w:val="20"/>
        </w:rPr>
      </w:pPr>
    </w:p>
    <w:p w14:paraId="0E3D351F" w14:textId="77777777" w:rsidR="00541A14" w:rsidRDefault="00A450E1">
      <w:pPr>
        <w:pStyle w:val="CM169"/>
        <w:spacing w:after="65" w:line="356" w:lineRule="atLeast"/>
        <w:ind w:firstLine="620"/>
        <w:jc w:val="both"/>
        <w:rPr>
          <w:rFonts w:ascii="Palatino" w:hAnsi="Palatino" w:cs="Palatino"/>
          <w:color w:val="000000"/>
          <w:sz w:val="20"/>
          <w:szCs w:val="20"/>
        </w:rPr>
      </w:pPr>
      <w:r>
        <w:rPr>
          <w:rFonts w:ascii="Palatino" w:hAnsi="Palatino" w:cs="Palatino"/>
          <w:color w:val="000000"/>
          <w:sz w:val="20"/>
          <w:szCs w:val="20"/>
        </w:rPr>
        <w:t xml:space="preserve">4.17 LRIT Performance Standards And Functional Requirements 101 Automatic Identification System 101 </w:t>
      </w:r>
    </w:p>
    <w:p w14:paraId="5D2BB070"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4.18 Overview 102 </w:t>
      </w:r>
    </w:p>
    <w:p w14:paraId="701CB225"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4.19 Purpose and Function 102 </w:t>
      </w:r>
    </w:p>
    <w:p w14:paraId="17EB2024"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4.20 System Characteristics 103 </w:t>
      </w:r>
    </w:p>
    <w:p w14:paraId="323CD1BB"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4.21 Shipboard AIS 104 </w:t>
      </w:r>
    </w:p>
    <w:p w14:paraId="6246C5CD"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4.22 Shore Based AIS 105 </w:t>
      </w:r>
    </w:p>
    <w:p w14:paraId="501F45A1"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4.23 AIS as an Aid to Navigation 105 </w:t>
      </w:r>
    </w:p>
    <w:p w14:paraId="5ABF0A80"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4.24 Carriage Requirements 106 </w:t>
      </w:r>
    </w:p>
    <w:p w14:paraId="6E02C89C"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4.25 Cautions when using AIS 106 </w:t>
      </w:r>
    </w:p>
    <w:p w14:paraId="7BD6E907"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4.26 Strategic Applications of AIS 106 </w:t>
      </w:r>
    </w:p>
    <w:p w14:paraId="7EB6A228"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4.27 IALA-NET 108 </w:t>
      </w:r>
    </w:p>
    <w:p w14:paraId="3F77D909"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4.28 Electronic Chart Display and Information System (ECDIS) 108 </w:t>
      </w:r>
    </w:p>
    <w:p w14:paraId="73CDF586"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4.29 Maritime Information 109 </w:t>
      </w:r>
    </w:p>
    <w:p w14:paraId="3F510BEB" w14:textId="77777777" w:rsidR="00541A14" w:rsidRDefault="00A450E1">
      <w:pPr>
        <w:pStyle w:val="CM169"/>
        <w:spacing w:after="6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4.30 AtoN Attribute Information 109 </w:t>
      </w:r>
    </w:p>
    <w:p w14:paraId="23430220"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4.31 Meteorological and Hydrological Information 110 </w:t>
      </w:r>
    </w:p>
    <w:p w14:paraId="5CB5519A" w14:textId="77777777" w:rsidR="00541A14" w:rsidRDefault="00A450E1">
      <w:pPr>
        <w:pStyle w:val="CM170"/>
        <w:spacing w:after="887"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4.32 Intergovernmental Oceanographic Commission 110 </w:t>
      </w:r>
    </w:p>
    <w:p w14:paraId="330861D4" w14:textId="77777777" w:rsidR="00541A14" w:rsidRDefault="00DD420F">
      <w:pPr>
        <w:pStyle w:val="Default"/>
        <w:framePr w:w="12705" w:wrap="auto" w:vAnchor="page" w:hAnchor="page" w:x="5" w:y="16132"/>
        <w:rPr>
          <w:rFonts w:ascii="Palatino" w:hAnsi="Palatino" w:cs="Palatino"/>
          <w:sz w:val="20"/>
          <w:szCs w:val="20"/>
        </w:rPr>
      </w:pPr>
      <w:r>
        <w:rPr>
          <w:rFonts w:ascii="Palatino" w:hAnsi="Palatino" w:cs="Palatino"/>
          <w:noProof/>
          <w:sz w:val="20"/>
          <w:szCs w:val="20"/>
        </w:rPr>
        <w:drawing>
          <wp:inline distT="0" distB="0" distL="0" distR="0" wp14:anchorId="3C0CEA64" wp14:editId="5688D851">
            <wp:extent cx="7553960" cy="3917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639DD688" w14:textId="77777777" w:rsidR="00541A14" w:rsidRDefault="00DD420F">
      <w:pPr>
        <w:pStyle w:val="Default"/>
        <w:pageBreakBefore/>
        <w:framePr w:w="12723" w:wrap="auto" w:vAnchor="page" w:hAnchor="page" w:x="101" w:y="1"/>
        <w:spacing w:after="280"/>
        <w:rPr>
          <w:rFonts w:ascii="Palatino" w:hAnsi="Palatino" w:cs="Palatino"/>
          <w:sz w:val="20"/>
          <w:szCs w:val="20"/>
        </w:rPr>
      </w:pPr>
      <w:r>
        <w:rPr>
          <w:rFonts w:ascii="Palatino" w:hAnsi="Palatino" w:cs="Palatino"/>
          <w:noProof/>
          <w:sz w:val="20"/>
          <w:szCs w:val="20"/>
        </w:rPr>
        <w:drawing>
          <wp:inline distT="0" distB="0" distL="0" distR="0" wp14:anchorId="5ADF7B08" wp14:editId="4A7FD96B">
            <wp:extent cx="7553960" cy="1153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393C1B6A" w14:textId="77777777" w:rsidR="00541A14" w:rsidRDefault="00A450E1">
      <w:pPr>
        <w:pStyle w:val="CM165"/>
        <w:spacing w:after="85"/>
        <w:jc w:val="both"/>
        <w:rPr>
          <w:rFonts w:ascii="Palatino" w:hAnsi="Palatino" w:cs="Palatino"/>
          <w:color w:val="000000"/>
          <w:sz w:val="20"/>
          <w:szCs w:val="20"/>
        </w:rPr>
      </w:pPr>
      <w:r>
        <w:rPr>
          <w:rFonts w:ascii="Palatino" w:hAnsi="Palatino" w:cs="Palatino"/>
          <w:b/>
          <w:bCs/>
          <w:color w:val="000000"/>
          <w:sz w:val="20"/>
          <w:szCs w:val="20"/>
        </w:rPr>
        <w:t xml:space="preserve">Chapter 5 Vessel Traffic Services (Vts) </w:t>
      </w:r>
      <w:r>
        <w:rPr>
          <w:rFonts w:ascii="Palatino" w:hAnsi="Palatino" w:cs="Palatino"/>
          <w:color w:val="000000"/>
          <w:sz w:val="20"/>
          <w:szCs w:val="20"/>
        </w:rPr>
        <w:t xml:space="preserve">111 </w:t>
      </w:r>
    </w:p>
    <w:p w14:paraId="51F47C96"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5.1 Definition 111 </w:t>
      </w:r>
    </w:p>
    <w:p w14:paraId="2B5C607C" w14:textId="77777777" w:rsidR="00541A14" w:rsidRDefault="00A450E1">
      <w:pPr>
        <w:pStyle w:val="CM6"/>
        <w:ind w:left="617"/>
        <w:jc w:val="both"/>
        <w:rPr>
          <w:rFonts w:ascii="Palatino" w:hAnsi="Palatino" w:cs="Palatino"/>
          <w:color w:val="000000"/>
          <w:sz w:val="20"/>
          <w:szCs w:val="20"/>
        </w:rPr>
      </w:pPr>
      <w:r>
        <w:rPr>
          <w:rFonts w:ascii="Palatino" w:hAnsi="Palatino" w:cs="Palatino"/>
          <w:color w:val="000000"/>
          <w:sz w:val="20"/>
          <w:szCs w:val="20"/>
        </w:rPr>
        <w:t xml:space="preserve">5.2 Services 111 </w:t>
      </w:r>
    </w:p>
    <w:p w14:paraId="11EE2E4C" w14:textId="77777777" w:rsidR="00541A14" w:rsidRDefault="00A450E1">
      <w:pPr>
        <w:pStyle w:val="CM14"/>
        <w:ind w:firstLine="620"/>
        <w:jc w:val="both"/>
        <w:rPr>
          <w:rFonts w:ascii="Palatino" w:hAnsi="Palatino" w:cs="Palatino"/>
          <w:color w:val="000000"/>
          <w:sz w:val="20"/>
          <w:szCs w:val="20"/>
        </w:rPr>
      </w:pPr>
      <w:r>
        <w:rPr>
          <w:rFonts w:ascii="Palatino" w:hAnsi="Palatino" w:cs="Palatino"/>
          <w:color w:val="000000"/>
          <w:sz w:val="20"/>
          <w:szCs w:val="20"/>
        </w:rPr>
        <w:t xml:space="preserve">5.3 VTS System 112 </w:t>
      </w:r>
      <w:r>
        <w:rPr>
          <w:rFonts w:ascii="Palatino" w:hAnsi="Palatino" w:cs="Palatino"/>
          <w:b/>
          <w:bCs/>
          <w:color w:val="000000"/>
          <w:sz w:val="20"/>
          <w:szCs w:val="20"/>
        </w:rPr>
        <w:t xml:space="preserve">Chapter 6 Other services and Facilities </w:t>
      </w:r>
      <w:r>
        <w:rPr>
          <w:rFonts w:ascii="Palatino" w:hAnsi="Palatino" w:cs="Palatino"/>
          <w:color w:val="000000"/>
          <w:sz w:val="20"/>
          <w:szCs w:val="20"/>
        </w:rPr>
        <w:t xml:space="preserve">113 </w:t>
      </w:r>
    </w:p>
    <w:p w14:paraId="7972C464"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6.1 Pilotage 113 </w:t>
      </w:r>
    </w:p>
    <w:p w14:paraId="42E525AA"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6.1.1 Pilotage as a Service to Navigation 113 </w:t>
      </w:r>
    </w:p>
    <w:p w14:paraId="6BE2D5FA"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6.1.2 Types of Pilotage 114 </w:t>
      </w:r>
    </w:p>
    <w:p w14:paraId="7837D53F"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6.1.3 Other Pilotage Considerations 114 </w:t>
      </w:r>
    </w:p>
    <w:p w14:paraId="10FCD4CA"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6.1.4 Simulation Pilot Training and Certification 114 </w:t>
      </w:r>
    </w:p>
    <w:p w14:paraId="4E7C0972"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6.2 Ships Routeing 116 </w:t>
      </w:r>
    </w:p>
    <w:p w14:paraId="07833FDF"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6.2.1 Objectives 116 </w:t>
      </w:r>
    </w:p>
    <w:p w14:paraId="5135FF3D"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6.2.2 Definitions 117 </w:t>
      </w:r>
    </w:p>
    <w:p w14:paraId="1F8DADF7"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6.2.3 Vessel Manoeuvring 118 </w:t>
      </w:r>
    </w:p>
    <w:p w14:paraId="1957984D"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6.3 Achieving A Minimum Comprehensive Mix of AtoN for Channels and Waterways 119 </w:t>
      </w:r>
    </w:p>
    <w:p w14:paraId="507A84F5"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6.3.1 Design Elements 120 </w:t>
      </w:r>
    </w:p>
    <w:p w14:paraId="074B93AF"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6.3.2 Dredging Considerations 121 </w:t>
      </w:r>
    </w:p>
    <w:p w14:paraId="796D4A88"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6.3.3 Hydrographic Considerations 121 </w:t>
      </w:r>
    </w:p>
    <w:p w14:paraId="70D138D1"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6.3.4 Design Validation and Visualisation and the use of Related Tools 121 </w:t>
      </w:r>
    </w:p>
    <w:p w14:paraId="257D9C0B"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6.3.5 Economic Considerations 122 </w:t>
      </w:r>
    </w:p>
    <w:p w14:paraId="5ED81E0C"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6.4 The Marking of Man-Made Offshore Structures 124 </w:t>
      </w:r>
    </w:p>
    <w:p w14:paraId="24059A36"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6.4.1 Offshore Structures in General (Those not Included in Other Groups) 124 </w:t>
      </w:r>
    </w:p>
    <w:p w14:paraId="05F9DA05"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6.4.2 Offshore Aquaculture Farms 125 </w:t>
      </w:r>
    </w:p>
    <w:p w14:paraId="5D2DA178"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6.4.3 Offshore Wind Farms 125 </w:t>
      </w:r>
    </w:p>
    <w:p w14:paraId="3A986684"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6.4.4 Offshore Wave and Tidal Energy Devices 127 </w:t>
      </w:r>
    </w:p>
    <w:p w14:paraId="03A19B57"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6.5 Sound Signals 128 </w:t>
      </w:r>
    </w:p>
    <w:p w14:paraId="69D113B9"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6.5.1 Considerations on Sound Signals and their Use 129 </w:t>
      </w:r>
    </w:p>
    <w:p w14:paraId="14EE861D"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6.5.2 Considerations on Fog Detectors 129 </w:t>
      </w:r>
    </w:p>
    <w:p w14:paraId="1D9BBB36"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6.5.3 Sound Signals in the World 129 </w:t>
      </w:r>
    </w:p>
    <w:p w14:paraId="7A69D4B0"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6.5.4 Range of a Sound Signal 129 </w:t>
      </w:r>
    </w:p>
    <w:p w14:paraId="49116E7B" w14:textId="77777777" w:rsidR="00541A14" w:rsidRDefault="00A450E1">
      <w:pPr>
        <w:pStyle w:val="CM165"/>
        <w:spacing w:after="8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6.6 Nautical Publications 131 </w:t>
      </w:r>
    </w:p>
    <w:p w14:paraId="3CC838FA"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6.6.1 </w:t>
      </w:r>
    </w:p>
    <w:p w14:paraId="683EB5EB"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6.6.2 </w:t>
      </w:r>
    </w:p>
    <w:p w14:paraId="48D5F62D"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6.6.3 </w:t>
      </w:r>
    </w:p>
    <w:p w14:paraId="5351F536"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6.6.4 </w:t>
      </w:r>
    </w:p>
    <w:p w14:paraId="0A3902CB"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6.6.5 </w:t>
      </w:r>
    </w:p>
    <w:p w14:paraId="482CE7FC" w14:textId="77777777" w:rsidR="00541A14" w:rsidRDefault="00A450E1">
      <w:pPr>
        <w:pStyle w:val="CM1"/>
        <w:jc w:val="center"/>
        <w:rPr>
          <w:rFonts w:ascii="Palatino" w:hAnsi="Palatino" w:cs="Palatino"/>
          <w:color w:val="000000"/>
          <w:sz w:val="20"/>
          <w:szCs w:val="20"/>
        </w:rPr>
      </w:pPr>
      <w:r>
        <w:rPr>
          <w:rFonts w:ascii="Palatino" w:hAnsi="Palatino" w:cs="Palatino"/>
          <w:color w:val="000000"/>
          <w:sz w:val="20"/>
          <w:szCs w:val="20"/>
        </w:rPr>
        <w:t xml:space="preserve">6.6.6 </w:t>
      </w:r>
    </w:p>
    <w:p w14:paraId="7DCC77E6" w14:textId="77777777" w:rsidR="00541A14" w:rsidRDefault="00A450E1">
      <w:pPr>
        <w:pStyle w:val="CM165"/>
        <w:spacing w:after="85" w:line="328" w:lineRule="atLeast"/>
        <w:jc w:val="both"/>
        <w:rPr>
          <w:rFonts w:ascii="Palatino" w:hAnsi="Palatino" w:cs="Palatino"/>
          <w:color w:val="000000"/>
          <w:sz w:val="20"/>
          <w:szCs w:val="20"/>
        </w:rPr>
      </w:pPr>
      <w:r>
        <w:rPr>
          <w:rFonts w:ascii="Palatino" w:hAnsi="Palatino" w:cs="Palatino"/>
          <w:color w:val="000000"/>
          <w:sz w:val="20"/>
          <w:szCs w:val="20"/>
        </w:rPr>
        <w:t xml:space="preserve">Navigational Warnings 131 World-Wide Navigational Warning Service 131 Lists of Aids to Navigation 132 Standard Descriptions 132 Positions 135 Maritime Safety Information 135 </w:t>
      </w:r>
    </w:p>
    <w:p w14:paraId="2820AC17"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6.7 Tide Gauges and Current Meters 136 </w:t>
      </w:r>
    </w:p>
    <w:p w14:paraId="0876B9D0" w14:textId="77777777" w:rsidR="00541A14" w:rsidRDefault="00A450E1">
      <w:pPr>
        <w:pStyle w:val="CM171"/>
        <w:spacing w:after="1167"/>
        <w:jc w:val="center"/>
        <w:rPr>
          <w:rFonts w:ascii="Palatino" w:hAnsi="Palatino" w:cs="Palatino"/>
          <w:color w:val="000000"/>
          <w:sz w:val="20"/>
          <w:szCs w:val="20"/>
        </w:rPr>
      </w:pPr>
      <w:r>
        <w:rPr>
          <w:rFonts w:ascii="Palatino" w:hAnsi="Palatino" w:cs="Palatino"/>
          <w:color w:val="000000"/>
          <w:sz w:val="20"/>
          <w:szCs w:val="20"/>
        </w:rPr>
        <w:t xml:space="preserve">6.8 Under Keel Clearance Management Systems 136 </w:t>
      </w:r>
    </w:p>
    <w:p w14:paraId="4DC310AA" w14:textId="77777777" w:rsidR="00541A14" w:rsidRDefault="00DD420F">
      <w:pPr>
        <w:pStyle w:val="Default"/>
        <w:framePr w:w="10730" w:wrap="auto" w:vAnchor="page" w:hAnchor="page" w:x="589" w:y="16344"/>
        <w:rPr>
          <w:rFonts w:ascii="Palatino" w:hAnsi="Palatino" w:cs="Palatino"/>
          <w:sz w:val="20"/>
          <w:szCs w:val="20"/>
        </w:rPr>
      </w:pPr>
      <w:r>
        <w:rPr>
          <w:rFonts w:ascii="Palatino" w:hAnsi="Palatino" w:cs="Palatino"/>
          <w:noProof/>
          <w:sz w:val="20"/>
          <w:szCs w:val="20"/>
        </w:rPr>
        <w:drawing>
          <wp:inline distT="0" distB="0" distL="0" distR="0" wp14:anchorId="25C4ACD9" wp14:editId="0527C58C">
            <wp:extent cx="7542530" cy="380365"/>
            <wp:effectExtent l="0" t="0" r="127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42530" cy="380365"/>
                    </a:xfrm>
                    <a:prstGeom prst="rect">
                      <a:avLst/>
                    </a:prstGeom>
                    <a:noFill/>
                    <a:ln>
                      <a:noFill/>
                    </a:ln>
                  </pic:spPr>
                </pic:pic>
              </a:graphicData>
            </a:graphic>
          </wp:inline>
        </w:drawing>
      </w:r>
    </w:p>
    <w:p w14:paraId="4F633B20" w14:textId="77777777" w:rsidR="00541A14" w:rsidRDefault="00DD420F">
      <w:pPr>
        <w:pStyle w:val="Default"/>
        <w:pageBreakBefore/>
        <w:framePr w:w="12724" w:wrap="auto" w:vAnchor="page" w:hAnchor="page" w:x="101" w:y="1"/>
        <w:spacing w:after="280"/>
        <w:rPr>
          <w:rFonts w:ascii="Palatino" w:hAnsi="Palatino" w:cs="Palatino"/>
          <w:sz w:val="20"/>
          <w:szCs w:val="20"/>
        </w:rPr>
      </w:pPr>
      <w:r>
        <w:rPr>
          <w:rFonts w:ascii="Palatino" w:hAnsi="Palatino" w:cs="Palatino"/>
          <w:noProof/>
          <w:sz w:val="20"/>
          <w:szCs w:val="20"/>
        </w:rPr>
        <w:drawing>
          <wp:inline distT="0" distB="0" distL="0" distR="0" wp14:anchorId="61D22EA0" wp14:editId="575394C1">
            <wp:extent cx="7553960" cy="11531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2CE00DA6" w14:textId="77777777" w:rsidR="00541A14" w:rsidRDefault="00A450E1">
      <w:pPr>
        <w:pStyle w:val="CM165"/>
        <w:spacing w:after="85"/>
        <w:jc w:val="both"/>
        <w:rPr>
          <w:rFonts w:ascii="Palatino" w:hAnsi="Palatino" w:cs="Palatino"/>
          <w:color w:val="000000"/>
          <w:sz w:val="20"/>
          <w:szCs w:val="20"/>
        </w:rPr>
      </w:pPr>
      <w:r>
        <w:rPr>
          <w:rFonts w:ascii="Palatino" w:hAnsi="Palatino" w:cs="Palatino"/>
          <w:b/>
          <w:bCs/>
          <w:color w:val="000000"/>
          <w:sz w:val="20"/>
          <w:szCs w:val="20"/>
        </w:rPr>
        <w:t xml:space="preserve">Chapter 7 Power supplies </w:t>
      </w:r>
      <w:r>
        <w:rPr>
          <w:rFonts w:ascii="Palatino" w:hAnsi="Palatino" w:cs="Palatino"/>
          <w:color w:val="000000"/>
          <w:sz w:val="20"/>
          <w:szCs w:val="20"/>
        </w:rPr>
        <w:t xml:space="preserve">137 </w:t>
      </w:r>
    </w:p>
    <w:p w14:paraId="2A7856AC"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7.1 Types 139 </w:t>
      </w:r>
    </w:p>
    <w:p w14:paraId="65A1D541"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7.2 Electric - Renewable Energy Sources 140 </w:t>
      </w:r>
    </w:p>
    <w:p w14:paraId="0C7F177A"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7.2.1 Solar Power (Photovoltaic Cell) 140 </w:t>
      </w:r>
    </w:p>
    <w:p w14:paraId="02B45647"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7.2.2 Wind Energy 141 </w:t>
      </w:r>
    </w:p>
    <w:p w14:paraId="5B5E82AF"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7.2.3 Wave Energy 142 </w:t>
      </w:r>
    </w:p>
    <w:p w14:paraId="53C869D0"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7.3 Rechargeable Batteries 142 </w:t>
      </w:r>
    </w:p>
    <w:p w14:paraId="4A90332B"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7.3.1 Principal Types 142 </w:t>
      </w:r>
    </w:p>
    <w:p w14:paraId="1907D3F6"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7.3.2 Primary Cells 143 </w:t>
      </w:r>
    </w:p>
    <w:p w14:paraId="5C5B47F3"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7.3.3 Internal Combustion Engine/Generators 144 </w:t>
      </w:r>
    </w:p>
    <w:p w14:paraId="34E42F56"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7.4 Electrical Loads and Lightning Protection 145 </w:t>
      </w:r>
    </w:p>
    <w:p w14:paraId="30F8CBF6"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7.4.1 Electrical Loads 145 </w:t>
      </w:r>
    </w:p>
    <w:p w14:paraId="53B56E6A" w14:textId="77777777" w:rsidR="00541A14" w:rsidRDefault="00A450E1">
      <w:pPr>
        <w:pStyle w:val="CM7"/>
        <w:ind w:left="1140"/>
        <w:jc w:val="both"/>
        <w:rPr>
          <w:rFonts w:ascii="Palatino" w:hAnsi="Palatino" w:cs="Palatino"/>
          <w:color w:val="000000"/>
          <w:sz w:val="20"/>
          <w:szCs w:val="20"/>
        </w:rPr>
      </w:pPr>
      <w:r>
        <w:rPr>
          <w:rFonts w:ascii="Palatino" w:hAnsi="Palatino" w:cs="Palatino"/>
          <w:color w:val="000000"/>
          <w:sz w:val="20"/>
          <w:szCs w:val="20"/>
        </w:rPr>
        <w:t xml:space="preserve">7.4.2 Lightning Protection 145 </w:t>
      </w:r>
    </w:p>
    <w:p w14:paraId="7259AE5F" w14:textId="77777777" w:rsidR="00541A14" w:rsidRDefault="00A450E1">
      <w:pPr>
        <w:pStyle w:val="CM14"/>
        <w:ind w:firstLine="620"/>
        <w:jc w:val="both"/>
        <w:rPr>
          <w:rFonts w:ascii="Palatino" w:hAnsi="Palatino" w:cs="Palatino"/>
          <w:color w:val="000000"/>
          <w:sz w:val="20"/>
          <w:szCs w:val="20"/>
        </w:rPr>
      </w:pPr>
      <w:r>
        <w:rPr>
          <w:rFonts w:ascii="Palatino" w:hAnsi="Palatino" w:cs="Palatino"/>
          <w:color w:val="000000"/>
          <w:sz w:val="20"/>
          <w:szCs w:val="20"/>
        </w:rPr>
        <w:t xml:space="preserve">7.5 Non-Electric Energy Sources 146 </w:t>
      </w:r>
      <w:r>
        <w:rPr>
          <w:rFonts w:ascii="Palatino" w:hAnsi="Palatino" w:cs="Palatino"/>
          <w:b/>
          <w:bCs/>
          <w:color w:val="000000"/>
          <w:sz w:val="20"/>
          <w:szCs w:val="20"/>
        </w:rPr>
        <w:t xml:space="preserve">Chapter 8 Provision, Design and management of Aids to Navigation </w:t>
      </w:r>
      <w:r>
        <w:rPr>
          <w:rFonts w:ascii="Palatino" w:hAnsi="Palatino" w:cs="Palatino"/>
          <w:color w:val="000000"/>
          <w:sz w:val="20"/>
          <w:szCs w:val="20"/>
        </w:rPr>
        <w:t xml:space="preserve">147 </w:t>
      </w:r>
    </w:p>
    <w:p w14:paraId="758378DB"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8.1 International Criteria 147 </w:t>
      </w:r>
    </w:p>
    <w:p w14:paraId="4FC05D9F"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8.2 Level of Service (LOS) 148 </w:t>
      </w:r>
    </w:p>
    <w:p w14:paraId="21D4848A"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8.2.1 Competent Authority Obligations 149 </w:t>
      </w:r>
    </w:p>
    <w:p w14:paraId="70ED6B8F"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8.2.2 Level of Service Statement for Quantity 149 </w:t>
      </w:r>
    </w:p>
    <w:p w14:paraId="5F444D73"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8.2.3 Level of Service Statements for Quality 151 </w:t>
      </w:r>
    </w:p>
    <w:p w14:paraId="5A5C2265"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8.2.4 Consultation and Review of LOS 152 </w:t>
      </w:r>
    </w:p>
    <w:p w14:paraId="1BA072EE"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8.2.5 Mix of Aids to Navigation (Layers of Service) 152 </w:t>
      </w:r>
    </w:p>
    <w:p w14:paraId="7565E010"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8.3 Risk Management 153 </w:t>
      </w:r>
    </w:p>
    <w:p w14:paraId="6051AA37"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8.3.1 IALA Risk Management Tools 154 </w:t>
      </w:r>
    </w:p>
    <w:p w14:paraId="37FBE91B"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8.3.2 Risk Management Decision Process 155 </w:t>
      </w:r>
    </w:p>
    <w:p w14:paraId="562A8494"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8.3.3 Levels of Risk 156 </w:t>
      </w:r>
    </w:p>
    <w:p w14:paraId="382CFE74"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8.4 Availability Objectives 158 </w:t>
      </w:r>
    </w:p>
    <w:p w14:paraId="312A7611"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8.4.1 Calculation of Availability 158 </w:t>
      </w:r>
    </w:p>
    <w:p w14:paraId="4500406B"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8.4.2 Definition and Comments on Terms 158 </w:t>
      </w:r>
    </w:p>
    <w:p w14:paraId="35B42555"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8.4.3 IALA Categories for Traditional Aids to Navigation 160 </w:t>
      </w:r>
    </w:p>
    <w:p w14:paraId="5B090D43"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8.4.4 Availability and Continuity of Radionavigation Services 160 </w:t>
      </w:r>
    </w:p>
    <w:p w14:paraId="054EA5F3"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8.4.5 Over and Under Achievement Issues 161 </w:t>
      </w:r>
    </w:p>
    <w:p w14:paraId="35411041"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8.4.6 Continuity 162 </w:t>
      </w:r>
    </w:p>
    <w:p w14:paraId="1C195133" w14:textId="77777777" w:rsidR="00541A14" w:rsidRDefault="00A450E1">
      <w:pPr>
        <w:pStyle w:val="CM9"/>
        <w:ind w:left="620"/>
        <w:jc w:val="both"/>
        <w:rPr>
          <w:rFonts w:ascii="Palatino" w:hAnsi="Palatino" w:cs="Palatino"/>
          <w:color w:val="000000"/>
          <w:sz w:val="20"/>
          <w:szCs w:val="20"/>
        </w:rPr>
      </w:pPr>
      <w:r>
        <w:rPr>
          <w:rFonts w:ascii="Palatino" w:hAnsi="Palatino" w:cs="Palatino"/>
          <w:color w:val="000000"/>
          <w:sz w:val="20"/>
          <w:szCs w:val="20"/>
        </w:rPr>
        <w:t xml:space="preserve">8.5 Reviews and Planning 163 </w:t>
      </w:r>
    </w:p>
    <w:p w14:paraId="124CE53A"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8.5.1 Reviews 163 </w:t>
      </w:r>
    </w:p>
    <w:p w14:paraId="2B02916D"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8.5.2 Strategic Plans 164 </w:t>
      </w:r>
    </w:p>
    <w:p w14:paraId="1C91D4A6"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8.5.3 Operational Plans 166 </w:t>
      </w:r>
    </w:p>
    <w:p w14:paraId="219793D0" w14:textId="77777777" w:rsidR="00541A14" w:rsidRDefault="00A450E1">
      <w:pPr>
        <w:pStyle w:val="CM10"/>
        <w:ind w:left="1137"/>
        <w:jc w:val="both"/>
        <w:rPr>
          <w:rFonts w:ascii="Palatino" w:hAnsi="Palatino" w:cs="Palatino"/>
          <w:color w:val="000000"/>
          <w:sz w:val="20"/>
          <w:szCs w:val="20"/>
        </w:rPr>
      </w:pPr>
      <w:r>
        <w:rPr>
          <w:rFonts w:ascii="Palatino" w:hAnsi="Palatino" w:cs="Palatino"/>
          <w:color w:val="000000"/>
          <w:sz w:val="20"/>
          <w:szCs w:val="20"/>
        </w:rPr>
        <w:t xml:space="preserve">8.5.4 Use Of Geographic Information Systems (GIS) In AtoN Planning 166 </w:t>
      </w:r>
    </w:p>
    <w:p w14:paraId="4F0E4C2F" w14:textId="77777777" w:rsidR="00541A14" w:rsidRDefault="00A450E1">
      <w:pPr>
        <w:pStyle w:val="CM165"/>
        <w:spacing w:after="85" w:line="356" w:lineRule="atLeast"/>
        <w:ind w:left="620"/>
        <w:jc w:val="both"/>
        <w:rPr>
          <w:rFonts w:ascii="Palatino" w:hAnsi="Palatino" w:cs="Palatino"/>
          <w:color w:val="000000"/>
          <w:sz w:val="20"/>
          <w:szCs w:val="20"/>
        </w:rPr>
      </w:pPr>
      <w:r>
        <w:rPr>
          <w:rFonts w:ascii="Palatino" w:hAnsi="Palatino" w:cs="Palatino"/>
          <w:color w:val="000000"/>
          <w:sz w:val="20"/>
          <w:szCs w:val="20"/>
        </w:rPr>
        <w:t xml:space="preserve">8.6 Performance Measurement 166 8.7 Quality Management 166 </w:t>
      </w:r>
    </w:p>
    <w:p w14:paraId="728D74B2" w14:textId="77777777" w:rsidR="00541A14" w:rsidRDefault="00DD420F">
      <w:pPr>
        <w:pStyle w:val="Default"/>
        <w:framePr w:w="12705" w:wrap="auto" w:vAnchor="page" w:hAnchor="page" w:x="5" w:y="16132"/>
        <w:rPr>
          <w:rFonts w:ascii="Palatino" w:hAnsi="Palatino" w:cs="Palatino"/>
          <w:sz w:val="20"/>
          <w:szCs w:val="20"/>
        </w:rPr>
      </w:pPr>
      <w:r>
        <w:rPr>
          <w:rFonts w:ascii="Palatino" w:hAnsi="Palatino" w:cs="Palatino"/>
          <w:noProof/>
          <w:sz w:val="20"/>
          <w:szCs w:val="20"/>
        </w:rPr>
        <w:drawing>
          <wp:inline distT="0" distB="0" distL="0" distR="0" wp14:anchorId="3C7E87C8" wp14:editId="5D2BCB10">
            <wp:extent cx="7553960" cy="39179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37C2D7C3" w14:textId="77777777" w:rsidR="00541A14" w:rsidRDefault="00DD420F">
      <w:pPr>
        <w:pStyle w:val="Default"/>
        <w:pageBreakBefore/>
        <w:framePr w:w="12723" w:wrap="auto" w:vAnchor="page" w:hAnchor="page" w:x="101" w:y="1"/>
        <w:spacing w:after="440"/>
        <w:rPr>
          <w:rFonts w:ascii="Palatino" w:hAnsi="Palatino" w:cs="Palatino"/>
          <w:sz w:val="20"/>
          <w:szCs w:val="20"/>
        </w:rPr>
      </w:pPr>
      <w:r>
        <w:rPr>
          <w:rFonts w:ascii="Palatino" w:hAnsi="Palatino" w:cs="Palatino"/>
          <w:noProof/>
          <w:sz w:val="20"/>
          <w:szCs w:val="20"/>
        </w:rPr>
        <w:drawing>
          <wp:inline distT="0" distB="0" distL="0" distR="0" wp14:anchorId="741A029F" wp14:editId="24E3777D">
            <wp:extent cx="7553960" cy="1181100"/>
            <wp:effectExtent l="0" t="0" r="0" b="1270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53960" cy="1181100"/>
                    </a:xfrm>
                    <a:prstGeom prst="rect">
                      <a:avLst/>
                    </a:prstGeom>
                    <a:noFill/>
                    <a:ln>
                      <a:noFill/>
                    </a:ln>
                  </pic:spPr>
                </pic:pic>
              </a:graphicData>
            </a:graphic>
          </wp:inline>
        </w:drawing>
      </w:r>
    </w:p>
    <w:p w14:paraId="48DC1A7F"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8.7.1 International Standards 167 </w:t>
      </w:r>
    </w:p>
    <w:p w14:paraId="3EF15EFE"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8.8 Maintenance 168 </w:t>
      </w:r>
    </w:p>
    <w:p w14:paraId="4CD5FC7B"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8.8.1 Guiding Principles for Maintenance 168 </w:t>
      </w:r>
    </w:p>
    <w:p w14:paraId="4843DC17"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8.8.2 Improving Efficiency 170 </w:t>
      </w:r>
    </w:p>
    <w:p w14:paraId="6E5F3D4A"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8.9 Service Delivery 171 </w:t>
      </w:r>
    </w:p>
    <w:p w14:paraId="56BF1F0A"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8.9.1 Service Delivery Requirements 172 </w:t>
      </w:r>
    </w:p>
    <w:p w14:paraId="7D16B6D8"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8.9.2 Contracting Out 172 </w:t>
      </w:r>
    </w:p>
    <w:p w14:paraId="6B71721B"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8.10 Environment 173 </w:t>
      </w:r>
    </w:p>
    <w:p w14:paraId="7A33568A"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8.10.1 Hazardous Materials 173 </w:t>
      </w:r>
    </w:p>
    <w:p w14:paraId="1E8BD928"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8.11 Preservation of Historic Aids to Navigation 176 </w:t>
      </w:r>
    </w:p>
    <w:p w14:paraId="76169218"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8.11.1 Lens Size and Terminology 178 </w:t>
      </w:r>
    </w:p>
    <w:p w14:paraId="5AEF9642"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8.11.2 Third Party Access to Aids to Navigation Sites 178 </w:t>
      </w:r>
    </w:p>
    <w:p w14:paraId="34643F6A"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8.12 Human Resources Issues 179 </w:t>
      </w:r>
    </w:p>
    <w:p w14:paraId="04E18C65" w14:textId="77777777" w:rsidR="00541A14" w:rsidRDefault="00A450E1">
      <w:pPr>
        <w:pStyle w:val="CM165"/>
        <w:spacing w:after="85"/>
        <w:ind w:left="1140"/>
        <w:jc w:val="both"/>
        <w:rPr>
          <w:rFonts w:ascii="Palatino" w:hAnsi="Palatino" w:cs="Palatino"/>
          <w:color w:val="000000"/>
          <w:sz w:val="20"/>
          <w:szCs w:val="20"/>
        </w:rPr>
      </w:pPr>
      <w:r>
        <w:rPr>
          <w:rFonts w:ascii="Palatino" w:hAnsi="Palatino" w:cs="Palatino"/>
          <w:color w:val="000000"/>
          <w:sz w:val="20"/>
          <w:szCs w:val="20"/>
        </w:rPr>
        <w:t xml:space="preserve">8.12.1 Source of Skills 179 </w:t>
      </w:r>
    </w:p>
    <w:p w14:paraId="5BD3ABB9" w14:textId="77777777" w:rsidR="00541A14" w:rsidRDefault="00A450E1">
      <w:pPr>
        <w:pStyle w:val="CM7"/>
        <w:ind w:left="1140"/>
        <w:jc w:val="both"/>
        <w:rPr>
          <w:rFonts w:ascii="Palatino" w:hAnsi="Palatino" w:cs="Palatino"/>
          <w:color w:val="000000"/>
          <w:sz w:val="20"/>
          <w:szCs w:val="20"/>
        </w:rPr>
      </w:pPr>
      <w:r>
        <w:rPr>
          <w:rFonts w:ascii="Palatino" w:hAnsi="Palatino" w:cs="Palatino"/>
          <w:color w:val="000000"/>
          <w:sz w:val="20"/>
          <w:szCs w:val="20"/>
        </w:rPr>
        <w:t xml:space="preserve">8.12.2 Training for Maintenance Personnel 180 </w:t>
      </w:r>
    </w:p>
    <w:p w14:paraId="626FB86A" w14:textId="77777777" w:rsidR="00541A14" w:rsidRDefault="00A450E1">
      <w:pPr>
        <w:pStyle w:val="CM8"/>
        <w:spacing w:after="6980"/>
        <w:ind w:firstLine="1140"/>
        <w:jc w:val="both"/>
        <w:rPr>
          <w:rFonts w:ascii="Palatino" w:hAnsi="Palatino" w:cs="Palatino"/>
          <w:color w:val="000000"/>
          <w:sz w:val="20"/>
          <w:szCs w:val="20"/>
        </w:rPr>
      </w:pPr>
      <w:r>
        <w:rPr>
          <w:rFonts w:ascii="Palatino" w:hAnsi="Palatino" w:cs="Palatino"/>
          <w:color w:val="000000"/>
          <w:sz w:val="20"/>
          <w:szCs w:val="20"/>
        </w:rPr>
        <w:t xml:space="preserve">8.12.3 IALA World Wide Academy 182 Annex A – IALA Maritime Buoyage System 185 Annex B – List of Tables 210 Annex C– List of Figures 211 </w:t>
      </w:r>
    </w:p>
    <w:p w14:paraId="73029D09" w14:textId="77777777" w:rsidR="00541A14" w:rsidRDefault="00DD420F">
      <w:pPr>
        <w:pStyle w:val="Default"/>
        <w:framePr w:w="10730" w:wrap="auto" w:vAnchor="page" w:hAnchor="page" w:x="589" w:y="16306"/>
        <w:rPr>
          <w:rFonts w:ascii="Palatino" w:hAnsi="Palatino" w:cs="Palatino"/>
          <w:sz w:val="20"/>
          <w:szCs w:val="20"/>
        </w:rPr>
      </w:pPr>
      <w:r>
        <w:rPr>
          <w:rFonts w:ascii="Palatino" w:hAnsi="Palatino" w:cs="Palatino"/>
          <w:noProof/>
          <w:sz w:val="20"/>
          <w:szCs w:val="20"/>
        </w:rPr>
        <w:drawing>
          <wp:inline distT="0" distB="0" distL="0" distR="0" wp14:anchorId="456BB546" wp14:editId="5016277A">
            <wp:extent cx="7542530" cy="40894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42530" cy="408940"/>
                    </a:xfrm>
                    <a:prstGeom prst="rect">
                      <a:avLst/>
                    </a:prstGeom>
                    <a:noFill/>
                    <a:ln>
                      <a:noFill/>
                    </a:ln>
                  </pic:spPr>
                </pic:pic>
              </a:graphicData>
            </a:graphic>
          </wp:inline>
        </w:drawing>
      </w:r>
    </w:p>
    <w:p w14:paraId="464F5D01" w14:textId="77777777" w:rsidR="00541A14" w:rsidRDefault="00DD420F">
      <w:pPr>
        <w:pStyle w:val="Default"/>
        <w:pageBreakBefore/>
        <w:framePr w:w="12711" w:wrap="auto" w:vAnchor="page" w:hAnchor="page" w:x="12" w:y="1"/>
        <w:spacing w:after="820"/>
        <w:rPr>
          <w:rFonts w:ascii="Palatino" w:hAnsi="Palatino" w:cs="Palatino"/>
          <w:sz w:val="20"/>
          <w:szCs w:val="20"/>
        </w:rPr>
      </w:pPr>
      <w:r>
        <w:rPr>
          <w:rFonts w:ascii="Palatino" w:hAnsi="Palatino" w:cs="Palatino"/>
          <w:noProof/>
          <w:sz w:val="20"/>
          <w:szCs w:val="20"/>
        </w:rPr>
        <w:drawing>
          <wp:inline distT="0" distB="0" distL="0" distR="0" wp14:anchorId="7CF5667B" wp14:editId="6D6983DA">
            <wp:extent cx="7542530" cy="2220595"/>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542530" cy="2220595"/>
                    </a:xfrm>
                    <a:prstGeom prst="rect">
                      <a:avLst/>
                    </a:prstGeom>
                    <a:noFill/>
                    <a:ln>
                      <a:noFill/>
                    </a:ln>
                  </pic:spPr>
                </pic:pic>
              </a:graphicData>
            </a:graphic>
          </wp:inline>
        </w:drawing>
      </w:r>
    </w:p>
    <w:p w14:paraId="6DAFB738" w14:textId="77777777" w:rsidR="00541A14" w:rsidRDefault="00A450E1">
      <w:pPr>
        <w:pStyle w:val="CM172"/>
        <w:spacing w:after="202"/>
        <w:rPr>
          <w:rFonts w:ascii="Futura Book" w:hAnsi="Futura Book" w:cs="Futura Book"/>
          <w:color w:val="DEDFE1"/>
          <w:sz w:val="28"/>
          <w:szCs w:val="28"/>
        </w:rPr>
      </w:pPr>
      <w:r>
        <w:rPr>
          <w:rFonts w:ascii="Futura Book" w:hAnsi="Futura Book" w:cs="Futura Book"/>
          <w:b/>
          <w:bCs/>
          <w:color w:val="DEDFE1"/>
          <w:sz w:val="28"/>
          <w:szCs w:val="28"/>
        </w:rPr>
        <w:t xml:space="preserve">1.1 Purpose and Scope </w:t>
      </w:r>
    </w:p>
    <w:p w14:paraId="0914C09B" w14:textId="77777777" w:rsidR="00541A14" w:rsidRDefault="00A450E1">
      <w:pPr>
        <w:pStyle w:val="CM165"/>
        <w:spacing w:after="85"/>
        <w:rPr>
          <w:rFonts w:ascii="Palatino" w:hAnsi="Palatino" w:cs="Palatino"/>
          <w:color w:val="FFFFFF"/>
          <w:sz w:val="20"/>
          <w:szCs w:val="20"/>
        </w:rPr>
      </w:pPr>
      <w:r>
        <w:rPr>
          <w:rFonts w:ascii="Palatino" w:hAnsi="Palatino" w:cs="Palatino"/>
          <w:color w:val="FFFFFF"/>
          <w:sz w:val="20"/>
          <w:szCs w:val="20"/>
        </w:rPr>
        <w:t xml:space="preserve">The purpose of this manual is to assist Aids to Navigation (AtoN) authorities in the harmonisation of </w:t>
      </w:r>
    </w:p>
    <w:p w14:paraId="7C2DA517" w14:textId="77777777" w:rsidR="00541A14" w:rsidRDefault="00A450E1">
      <w:pPr>
        <w:pStyle w:val="CM165"/>
        <w:spacing w:after="85"/>
        <w:rPr>
          <w:rFonts w:ascii="Palatino" w:hAnsi="Palatino" w:cs="Palatino"/>
          <w:color w:val="FFFFFF"/>
          <w:sz w:val="20"/>
          <w:szCs w:val="20"/>
        </w:rPr>
      </w:pPr>
      <w:r>
        <w:rPr>
          <w:rFonts w:ascii="Palatino" w:hAnsi="Palatino" w:cs="Palatino"/>
          <w:color w:val="FFFFFF"/>
          <w:sz w:val="20"/>
          <w:szCs w:val="20"/>
        </w:rPr>
        <w:t xml:space="preserve">marine AtoN by providing a first point of reference on all aspects of providing an AtoN service.  The </w:t>
      </w:r>
    </w:p>
    <w:p w14:paraId="7E2358B1" w14:textId="77777777" w:rsidR="00541A14" w:rsidRDefault="00A450E1">
      <w:pPr>
        <w:pStyle w:val="CM165"/>
        <w:spacing w:after="85"/>
        <w:rPr>
          <w:rFonts w:ascii="Palatino" w:hAnsi="Palatino" w:cs="Palatino"/>
          <w:color w:val="FFFFFF"/>
          <w:sz w:val="20"/>
          <w:szCs w:val="20"/>
        </w:rPr>
      </w:pPr>
      <w:r>
        <w:rPr>
          <w:rFonts w:ascii="Palatino" w:hAnsi="Palatino" w:cs="Palatino"/>
          <w:color w:val="FFFFFF"/>
          <w:sz w:val="20"/>
          <w:szCs w:val="20"/>
        </w:rPr>
        <w:t xml:space="preserve">manual also provides references to more detailed guidance from IALA, IMO and related organisations </w:t>
      </w:r>
    </w:p>
    <w:p w14:paraId="2D0E6986" w14:textId="77777777" w:rsidR="00541A14" w:rsidRDefault="00A450E1">
      <w:pPr>
        <w:pStyle w:val="CM173"/>
        <w:spacing w:after="340"/>
        <w:rPr>
          <w:rFonts w:ascii="Palatino" w:hAnsi="Palatino" w:cs="Palatino"/>
          <w:color w:val="FFFFFF"/>
          <w:sz w:val="20"/>
          <w:szCs w:val="20"/>
        </w:rPr>
      </w:pPr>
      <w:r>
        <w:rPr>
          <w:rFonts w:ascii="Palatino" w:hAnsi="Palatino" w:cs="Palatino"/>
          <w:color w:val="FFFFFF"/>
          <w:sz w:val="20"/>
          <w:szCs w:val="20"/>
        </w:rPr>
        <w:t xml:space="preserve">on specific topics. </w:t>
      </w:r>
    </w:p>
    <w:p w14:paraId="1CF310D3" w14:textId="77777777" w:rsidR="00541A14" w:rsidRDefault="00A450E1">
      <w:pPr>
        <w:pStyle w:val="CM165"/>
        <w:spacing w:after="85"/>
        <w:rPr>
          <w:rFonts w:ascii="Futura Book" w:hAnsi="Futura Book" w:cs="Futura Book"/>
          <w:color w:val="DEDFE1"/>
          <w:sz w:val="28"/>
          <w:szCs w:val="28"/>
        </w:rPr>
      </w:pPr>
      <w:r>
        <w:rPr>
          <w:rFonts w:ascii="Futura Book" w:hAnsi="Futura Book" w:cs="Futura Book"/>
          <w:b/>
          <w:bCs/>
          <w:color w:val="DEDFE1"/>
          <w:sz w:val="28"/>
          <w:szCs w:val="28"/>
        </w:rPr>
        <w:t xml:space="preserve">1.2 Background </w:t>
      </w:r>
    </w:p>
    <w:p w14:paraId="33D92BA5" w14:textId="77777777" w:rsidR="00541A14" w:rsidRDefault="00A450E1">
      <w:pPr>
        <w:pStyle w:val="CM172"/>
        <w:spacing w:after="202" w:line="293" w:lineRule="atLeast"/>
        <w:ind w:right="570"/>
        <w:rPr>
          <w:rFonts w:ascii="Palatino" w:hAnsi="Palatino" w:cs="Palatino"/>
          <w:color w:val="FFFFFF"/>
          <w:sz w:val="20"/>
          <w:szCs w:val="20"/>
        </w:rPr>
      </w:pPr>
      <w:r>
        <w:rPr>
          <w:rFonts w:ascii="Palatino" w:hAnsi="Palatino" w:cs="Palatino"/>
          <w:color w:val="FFFFFF"/>
          <w:sz w:val="20"/>
          <w:szCs w:val="20"/>
        </w:rPr>
        <w:t xml:space="preserve">Shipping is an international industry that is regulated through various organisations.  Nations have recognised that it is both effective and appropriate to regulate and manage shipping on an international basis. These organisations may be inter-governmental (i.e. International Maritime Organization (IMO) or International Telecommunications Union (ITU)) or non-governmental.  </w:t>
      </w:r>
    </w:p>
    <w:p w14:paraId="2D6C2D3D" w14:textId="77777777" w:rsidR="00541A14" w:rsidRDefault="00A450E1">
      <w:pPr>
        <w:pStyle w:val="Default"/>
        <w:rPr>
          <w:rFonts w:ascii="Palatino" w:hAnsi="Palatino" w:cs="Palatino"/>
          <w:color w:val="FFFFFF"/>
          <w:sz w:val="20"/>
          <w:szCs w:val="20"/>
        </w:rPr>
      </w:pPr>
      <w:r>
        <w:rPr>
          <w:rFonts w:ascii="Palatino" w:hAnsi="Palatino" w:cs="Palatino"/>
          <w:color w:val="FFFFFF"/>
          <w:sz w:val="20"/>
          <w:szCs w:val="20"/>
        </w:rPr>
        <w:t>The International Association of Marine Aids to Navigation and Lighthouse Authorities</w:t>
      </w:r>
      <w:r>
        <w:rPr>
          <w:rFonts w:ascii="Palatino" w:hAnsi="Palatino" w:cs="Palatino"/>
          <w:color w:val="FFFFFF"/>
          <w:position w:val="7"/>
          <w:sz w:val="11"/>
          <w:szCs w:val="11"/>
          <w:vertAlign w:val="superscript"/>
        </w:rPr>
        <w:t xml:space="preserve"> 1</w:t>
      </w:r>
      <w:r>
        <w:rPr>
          <w:rFonts w:ascii="Palatino" w:hAnsi="Palatino" w:cs="Palatino"/>
          <w:color w:val="FFFFFF"/>
          <w:sz w:val="20"/>
          <w:szCs w:val="20"/>
        </w:rPr>
        <w:t xml:space="preserve"> (IALA) </w:t>
      </w:r>
    </w:p>
    <w:p w14:paraId="2A103DE6" w14:textId="77777777" w:rsidR="00541A14" w:rsidRDefault="00A450E1">
      <w:pPr>
        <w:pStyle w:val="CM4"/>
        <w:rPr>
          <w:rFonts w:ascii="Palatino" w:hAnsi="Palatino" w:cs="Palatino"/>
          <w:color w:val="FFFFFF"/>
          <w:sz w:val="20"/>
          <w:szCs w:val="20"/>
        </w:rPr>
      </w:pPr>
      <w:r>
        <w:rPr>
          <w:rFonts w:ascii="Palatino" w:hAnsi="Palatino" w:cs="Palatino"/>
          <w:color w:val="FFFFFF"/>
          <w:sz w:val="20"/>
          <w:szCs w:val="20"/>
        </w:rPr>
        <w:t xml:space="preserve">is a non-profit, non-governmental organization devoted to the harmonization of marine aids to </w:t>
      </w:r>
    </w:p>
    <w:p w14:paraId="4C2377FF" w14:textId="77777777" w:rsidR="00541A14" w:rsidRDefault="00A450E1">
      <w:pPr>
        <w:pStyle w:val="CM165"/>
        <w:spacing w:after="85" w:line="293" w:lineRule="atLeast"/>
        <w:ind w:right="327"/>
        <w:rPr>
          <w:rFonts w:ascii="Palatino" w:hAnsi="Palatino" w:cs="Palatino"/>
          <w:color w:val="FFFFFF"/>
          <w:sz w:val="20"/>
          <w:szCs w:val="20"/>
        </w:rPr>
      </w:pPr>
      <w:r>
        <w:rPr>
          <w:rFonts w:ascii="Palatino" w:hAnsi="Palatino" w:cs="Palatino"/>
          <w:color w:val="FFFFFF"/>
          <w:sz w:val="20"/>
          <w:szCs w:val="20"/>
        </w:rPr>
        <w:t xml:space="preserve">navigation. IALA was formed in 1957 as a technical association to provide a framework for aids to navigation authorities, manufacturers and consultants from all parts of the world to work with a common effort to: </w:t>
      </w:r>
    </w:p>
    <w:p w14:paraId="07BF4A81" w14:textId="77777777" w:rsidR="00541A14" w:rsidRDefault="00A450E1">
      <w:pPr>
        <w:pStyle w:val="Default"/>
        <w:numPr>
          <w:ilvl w:val="0"/>
          <w:numId w:val="1"/>
        </w:numPr>
        <w:rPr>
          <w:rFonts w:ascii="Palatino" w:hAnsi="Palatino" w:cs="Palatino"/>
          <w:color w:val="FFFFFF"/>
          <w:sz w:val="20"/>
          <w:szCs w:val="20"/>
        </w:rPr>
      </w:pPr>
      <w:r>
        <w:rPr>
          <w:rFonts w:ascii="Palatino" w:hAnsi="Palatino" w:cs="Palatino"/>
          <w:color w:val="FFFFFF"/>
          <w:sz w:val="20"/>
          <w:szCs w:val="20"/>
        </w:rPr>
        <w:t xml:space="preserve">harmonise standards for aids to navigation systems worldwide; </w:t>
      </w:r>
    </w:p>
    <w:p w14:paraId="5099FAAC" w14:textId="77777777" w:rsidR="00541A14" w:rsidRDefault="00A450E1">
      <w:pPr>
        <w:pStyle w:val="Default"/>
        <w:numPr>
          <w:ilvl w:val="0"/>
          <w:numId w:val="1"/>
        </w:numPr>
        <w:rPr>
          <w:rFonts w:ascii="Palatino" w:hAnsi="Palatino" w:cs="Palatino"/>
          <w:color w:val="FFFFFF"/>
          <w:sz w:val="20"/>
          <w:szCs w:val="20"/>
        </w:rPr>
      </w:pPr>
      <w:r>
        <w:rPr>
          <w:rFonts w:ascii="Palatino" w:hAnsi="Palatino" w:cs="Palatino"/>
          <w:color w:val="FFFFFF"/>
          <w:sz w:val="20"/>
          <w:szCs w:val="20"/>
        </w:rPr>
        <w:t xml:space="preserve">facilitate the safe and efficient movement of shipping, and; </w:t>
      </w:r>
    </w:p>
    <w:p w14:paraId="3E328116" w14:textId="77777777" w:rsidR="00541A14" w:rsidRDefault="00A450E1">
      <w:pPr>
        <w:pStyle w:val="Default"/>
        <w:numPr>
          <w:ilvl w:val="0"/>
          <w:numId w:val="1"/>
        </w:numPr>
        <w:rPr>
          <w:rFonts w:ascii="Palatino" w:hAnsi="Palatino" w:cs="Palatino"/>
          <w:color w:val="FFFFFF"/>
          <w:sz w:val="20"/>
          <w:szCs w:val="20"/>
        </w:rPr>
      </w:pPr>
      <w:r>
        <w:rPr>
          <w:rFonts w:ascii="Palatino" w:hAnsi="Palatino" w:cs="Palatino"/>
          <w:color w:val="FFFFFF"/>
          <w:sz w:val="20"/>
          <w:szCs w:val="20"/>
        </w:rPr>
        <w:t xml:space="preserve">enhance the protection of the maritime environment.  </w:t>
      </w:r>
    </w:p>
    <w:p w14:paraId="328EF259" w14:textId="77777777" w:rsidR="00541A14" w:rsidRDefault="00541A14">
      <w:pPr>
        <w:pStyle w:val="Default"/>
        <w:rPr>
          <w:rFonts w:ascii="Palatino" w:hAnsi="Palatino" w:cs="Palatino"/>
          <w:color w:val="FFFFFF"/>
          <w:sz w:val="20"/>
          <w:szCs w:val="20"/>
        </w:rPr>
      </w:pPr>
    </w:p>
    <w:p w14:paraId="30F41381" w14:textId="77777777" w:rsidR="00541A14" w:rsidRDefault="00A450E1">
      <w:pPr>
        <w:pStyle w:val="CM165"/>
        <w:spacing w:after="85" w:line="291" w:lineRule="atLeast"/>
        <w:rPr>
          <w:rFonts w:ascii="Palatino" w:hAnsi="Palatino" w:cs="Palatino"/>
          <w:color w:val="FFFFFF"/>
          <w:sz w:val="20"/>
          <w:szCs w:val="20"/>
        </w:rPr>
      </w:pPr>
      <w:r>
        <w:rPr>
          <w:rFonts w:ascii="Palatino" w:hAnsi="Palatino" w:cs="Palatino"/>
          <w:color w:val="FFFFFF"/>
          <w:sz w:val="20"/>
          <w:szCs w:val="20"/>
        </w:rPr>
        <w:t xml:space="preserve">The functions of IALA include: </w:t>
      </w:r>
    </w:p>
    <w:p w14:paraId="1E9D072B" w14:textId="77777777" w:rsidR="00541A14" w:rsidRDefault="00A450E1">
      <w:pPr>
        <w:pStyle w:val="CM17"/>
        <w:ind w:left="300" w:hanging="300"/>
        <w:rPr>
          <w:rFonts w:ascii="Palatino" w:hAnsi="Palatino" w:cs="Palatino"/>
          <w:color w:val="FFFFFF"/>
          <w:sz w:val="20"/>
          <w:szCs w:val="20"/>
        </w:rPr>
      </w:pPr>
      <w:r>
        <w:rPr>
          <w:rFonts w:ascii="Palatino" w:hAnsi="Palatino" w:cs="Palatino"/>
          <w:color w:val="FFFFFF"/>
          <w:sz w:val="20"/>
          <w:szCs w:val="20"/>
        </w:rPr>
        <w:t xml:space="preserve">• developing international cooperation by promoting close working relationships and assistance </w:t>
      </w:r>
    </w:p>
    <w:p w14:paraId="0928C528" w14:textId="77777777" w:rsidR="00541A14" w:rsidRDefault="00A450E1">
      <w:pPr>
        <w:pStyle w:val="CM165"/>
        <w:spacing w:after="85" w:line="293" w:lineRule="atLeast"/>
        <w:ind w:left="300"/>
        <w:rPr>
          <w:rFonts w:ascii="Palatino" w:hAnsi="Palatino" w:cs="Palatino"/>
          <w:color w:val="FFFFFF"/>
          <w:sz w:val="20"/>
          <w:szCs w:val="20"/>
        </w:rPr>
      </w:pPr>
      <w:r>
        <w:rPr>
          <w:rFonts w:ascii="Palatino" w:hAnsi="Palatino" w:cs="Palatino"/>
          <w:color w:val="FFFFFF"/>
          <w:sz w:val="20"/>
          <w:szCs w:val="20"/>
        </w:rPr>
        <w:t xml:space="preserve">between members; </w:t>
      </w:r>
    </w:p>
    <w:p w14:paraId="7C203C69" w14:textId="77777777" w:rsidR="00541A14" w:rsidRDefault="00A450E1">
      <w:pPr>
        <w:pStyle w:val="CM17"/>
        <w:ind w:left="300" w:hanging="300"/>
        <w:rPr>
          <w:rFonts w:ascii="Palatino" w:hAnsi="Palatino" w:cs="Palatino"/>
          <w:color w:val="FFFFFF"/>
          <w:sz w:val="20"/>
          <w:szCs w:val="20"/>
        </w:rPr>
      </w:pPr>
      <w:r>
        <w:rPr>
          <w:rFonts w:ascii="Palatino" w:hAnsi="Palatino" w:cs="Palatino"/>
          <w:color w:val="FFFFFF"/>
          <w:sz w:val="20"/>
          <w:szCs w:val="20"/>
        </w:rPr>
        <w:t xml:space="preserve">• collecting and communicating information on recent developments and matters of common interest in regard to aids to navigation including service delivery quality and efficiency, equipment </w:t>
      </w:r>
    </w:p>
    <w:p w14:paraId="7BBA80C7" w14:textId="77777777" w:rsidR="00541A14" w:rsidRDefault="00A450E1">
      <w:pPr>
        <w:pStyle w:val="CM165"/>
        <w:spacing w:after="85" w:line="293" w:lineRule="atLeast"/>
        <w:ind w:left="300"/>
        <w:rPr>
          <w:rFonts w:ascii="Palatino" w:hAnsi="Palatino" w:cs="Palatino"/>
          <w:color w:val="FFFFFF"/>
          <w:sz w:val="20"/>
          <w:szCs w:val="20"/>
        </w:rPr>
      </w:pPr>
      <w:r>
        <w:rPr>
          <w:rFonts w:ascii="Palatino" w:hAnsi="Palatino" w:cs="Palatino"/>
          <w:color w:val="FFFFFF"/>
          <w:sz w:val="20"/>
          <w:szCs w:val="20"/>
        </w:rPr>
        <w:t xml:space="preserve">reliability and contractor performance; </w:t>
      </w:r>
    </w:p>
    <w:p w14:paraId="3CEB3D37" w14:textId="77777777" w:rsidR="00541A14" w:rsidRDefault="00A450E1">
      <w:pPr>
        <w:pStyle w:val="CM17"/>
        <w:ind w:left="300" w:hanging="300"/>
        <w:rPr>
          <w:rFonts w:ascii="Palatino" w:hAnsi="Palatino" w:cs="Palatino"/>
          <w:color w:val="FFFFFF"/>
          <w:sz w:val="20"/>
          <w:szCs w:val="20"/>
        </w:rPr>
      </w:pPr>
      <w:r>
        <w:rPr>
          <w:rFonts w:ascii="Palatino" w:hAnsi="Palatino" w:cs="Palatino"/>
          <w:color w:val="FFFFFF"/>
          <w:sz w:val="20"/>
          <w:szCs w:val="20"/>
        </w:rPr>
        <w:t xml:space="preserve">• liaising with relevant inter-governmental, international and other organisations.  For example, the </w:t>
      </w:r>
    </w:p>
    <w:p w14:paraId="2798489D" w14:textId="77777777" w:rsidR="00541A14" w:rsidRDefault="00A450E1">
      <w:pPr>
        <w:pStyle w:val="CM165"/>
        <w:spacing w:after="85" w:line="293" w:lineRule="atLeast"/>
        <w:ind w:left="300" w:right="205"/>
        <w:rPr>
          <w:rFonts w:ascii="Palatino" w:hAnsi="Palatino" w:cs="Palatino"/>
          <w:color w:val="FFFFFF"/>
          <w:sz w:val="20"/>
          <w:szCs w:val="20"/>
        </w:rPr>
      </w:pPr>
      <w:r>
        <w:rPr>
          <w:rFonts w:ascii="Palatino" w:hAnsi="Palatino" w:cs="Palatino"/>
          <w:color w:val="FFFFFF"/>
          <w:sz w:val="20"/>
          <w:szCs w:val="20"/>
        </w:rPr>
        <w:t xml:space="preserve">International Maritime Organisation (IMO), the International Hydrographic Organisation (IHO), the World Association for Waterborne Transport Infrastructure (PIANC), the Commission on Illumination CIE, and the International Telecommunications Union (ITU); </w:t>
      </w:r>
    </w:p>
    <w:p w14:paraId="18267C84" w14:textId="77777777" w:rsidR="00541A14" w:rsidRDefault="00A450E1">
      <w:pPr>
        <w:pStyle w:val="Default"/>
        <w:numPr>
          <w:ilvl w:val="0"/>
          <w:numId w:val="2"/>
        </w:numPr>
        <w:rPr>
          <w:rFonts w:ascii="Palatino" w:hAnsi="Palatino" w:cs="Palatino"/>
          <w:color w:val="FFFFFF"/>
          <w:sz w:val="20"/>
          <w:szCs w:val="20"/>
        </w:rPr>
      </w:pPr>
      <w:r>
        <w:rPr>
          <w:rFonts w:ascii="Palatino" w:hAnsi="Palatino" w:cs="Palatino"/>
          <w:color w:val="FFFFFF"/>
          <w:sz w:val="20"/>
          <w:szCs w:val="20"/>
        </w:rPr>
        <w:t xml:space="preserve">liaising with organisations representing the aids to navigation users; </w:t>
      </w:r>
    </w:p>
    <w:p w14:paraId="17838063" w14:textId="77777777" w:rsidR="00541A14" w:rsidRDefault="00A450E1">
      <w:pPr>
        <w:pStyle w:val="Default"/>
        <w:numPr>
          <w:ilvl w:val="0"/>
          <w:numId w:val="2"/>
        </w:numPr>
        <w:rPr>
          <w:rFonts w:ascii="Palatino" w:hAnsi="Palatino" w:cs="Palatino"/>
          <w:color w:val="FFFFFF"/>
          <w:sz w:val="20"/>
          <w:szCs w:val="20"/>
        </w:rPr>
      </w:pPr>
      <w:r>
        <w:rPr>
          <w:rFonts w:ascii="Palatino" w:hAnsi="Palatino" w:cs="Palatino"/>
          <w:color w:val="FFFFFF"/>
          <w:sz w:val="20"/>
          <w:szCs w:val="20"/>
        </w:rPr>
        <w:t xml:space="preserve">addressing emerging navigational technologies, hydrographic matters (as reflect aids to navigation issues) and vessel traffic management; </w:t>
      </w:r>
    </w:p>
    <w:p w14:paraId="2AE124CB" w14:textId="77777777" w:rsidR="00541A14" w:rsidRDefault="00541A14">
      <w:pPr>
        <w:pStyle w:val="Default"/>
        <w:rPr>
          <w:rFonts w:ascii="Palatino" w:hAnsi="Palatino" w:cs="Palatino"/>
          <w:color w:val="FFFFFF"/>
          <w:sz w:val="20"/>
          <w:szCs w:val="20"/>
        </w:rPr>
      </w:pPr>
    </w:p>
    <w:p w14:paraId="1A4D3685" w14:textId="77777777" w:rsidR="00541A14" w:rsidRDefault="00A450E1">
      <w:pPr>
        <w:pStyle w:val="CM163"/>
        <w:spacing w:after="642"/>
        <w:jc w:val="center"/>
        <w:rPr>
          <w:rFonts w:ascii="Palatino" w:hAnsi="Palatino" w:cs="Palatino"/>
          <w:color w:val="FFFFFF"/>
          <w:sz w:val="20"/>
          <w:szCs w:val="20"/>
        </w:rPr>
      </w:pPr>
      <w:r>
        <w:rPr>
          <w:rFonts w:ascii="Palatino" w:hAnsi="Palatino" w:cs="Palatino"/>
          <w:color w:val="FFFFFF"/>
          <w:position w:val="6"/>
          <w:sz w:val="20"/>
          <w:szCs w:val="20"/>
          <w:vertAlign w:val="superscript"/>
        </w:rPr>
        <w:t>1</w:t>
      </w:r>
      <w:r>
        <w:rPr>
          <w:rFonts w:ascii="Palatino" w:hAnsi="Palatino" w:cs="Palatino"/>
          <w:color w:val="FFFFFF"/>
          <w:sz w:val="20"/>
          <w:szCs w:val="20"/>
        </w:rPr>
        <w:t xml:space="preserve">Formerly called the International Association of Lighthouse Authorities </w:t>
      </w:r>
    </w:p>
    <w:p w14:paraId="1F315DB1" w14:textId="77777777" w:rsidR="00541A14" w:rsidRDefault="00DD420F">
      <w:pPr>
        <w:pStyle w:val="Default"/>
        <w:framePr w:w="10740" w:wrap="auto" w:vAnchor="page" w:hAnchor="page" w:x="1434" w:y="16298"/>
        <w:rPr>
          <w:rFonts w:ascii="Palatino" w:hAnsi="Palatino" w:cs="Palatino"/>
          <w:color w:val="FFFFFF"/>
          <w:sz w:val="20"/>
          <w:szCs w:val="20"/>
        </w:rPr>
      </w:pPr>
      <w:r>
        <w:rPr>
          <w:rFonts w:ascii="Palatino" w:hAnsi="Palatino" w:cs="Palatino"/>
          <w:noProof/>
          <w:color w:val="FFFFFF"/>
          <w:sz w:val="20"/>
          <w:szCs w:val="20"/>
        </w:rPr>
        <w:drawing>
          <wp:inline distT="0" distB="0" distL="0" distR="0" wp14:anchorId="03F4361D" wp14:editId="4ACCAA03">
            <wp:extent cx="7542530" cy="40894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42530" cy="408940"/>
                    </a:xfrm>
                    <a:prstGeom prst="rect">
                      <a:avLst/>
                    </a:prstGeom>
                    <a:noFill/>
                    <a:ln>
                      <a:noFill/>
                    </a:ln>
                  </pic:spPr>
                </pic:pic>
              </a:graphicData>
            </a:graphic>
          </wp:inline>
        </w:drawing>
      </w:r>
    </w:p>
    <w:p w14:paraId="43E40CD1" w14:textId="77777777" w:rsidR="00541A14" w:rsidRDefault="00DD420F">
      <w:pPr>
        <w:pStyle w:val="Default"/>
        <w:pageBreakBefore/>
        <w:framePr w:w="24781" w:wrap="auto" w:vAnchor="page" w:hAnchor="page" w:x="101" w:y="1"/>
        <w:spacing w:after="980"/>
        <w:rPr>
          <w:rFonts w:ascii="Palatino" w:hAnsi="Palatino" w:cs="Palatino"/>
          <w:color w:val="FFFFFF"/>
          <w:sz w:val="20"/>
          <w:szCs w:val="20"/>
        </w:rPr>
      </w:pPr>
      <w:r>
        <w:rPr>
          <w:rFonts w:ascii="Palatino" w:hAnsi="Palatino" w:cs="Palatino"/>
          <w:noProof/>
          <w:color w:val="FFFFFF"/>
          <w:sz w:val="20"/>
          <w:szCs w:val="20"/>
        </w:rPr>
        <w:drawing>
          <wp:inline distT="0" distB="0" distL="0" distR="0" wp14:anchorId="28A306C3" wp14:editId="1147403C">
            <wp:extent cx="7553960" cy="97663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53960" cy="976630"/>
                    </a:xfrm>
                    <a:prstGeom prst="rect">
                      <a:avLst/>
                    </a:prstGeom>
                    <a:noFill/>
                    <a:ln>
                      <a:noFill/>
                    </a:ln>
                  </pic:spPr>
                </pic:pic>
              </a:graphicData>
            </a:graphic>
          </wp:inline>
        </w:drawing>
      </w:r>
    </w:p>
    <w:p w14:paraId="1ECC8CA3" w14:textId="77777777" w:rsidR="00541A14" w:rsidRDefault="00A450E1">
      <w:pPr>
        <w:pStyle w:val="CM165"/>
        <w:spacing w:after="85"/>
        <w:ind w:left="300" w:hanging="300"/>
        <w:rPr>
          <w:rFonts w:ascii="Palatino" w:hAnsi="Palatino" w:cs="Palatino"/>
          <w:color w:val="000000"/>
          <w:sz w:val="20"/>
          <w:szCs w:val="20"/>
        </w:rPr>
      </w:pPr>
      <w:r>
        <w:rPr>
          <w:rFonts w:ascii="Palatino" w:hAnsi="Palatino" w:cs="Palatino"/>
          <w:color w:val="000000"/>
          <w:sz w:val="20"/>
          <w:szCs w:val="20"/>
        </w:rPr>
        <w:t xml:space="preserve">• providing specialist advice or assistance on aids to navigation issues (including technical, </w:t>
      </w:r>
    </w:p>
    <w:p w14:paraId="283C1378"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 xml:space="preserve">organisational or training matters); </w:t>
      </w:r>
    </w:p>
    <w:p w14:paraId="23C3BCA9" w14:textId="77777777" w:rsidR="00541A14" w:rsidRDefault="00A450E1">
      <w:pPr>
        <w:pStyle w:val="CM165"/>
        <w:spacing w:after="85"/>
        <w:ind w:left="300" w:hanging="300"/>
        <w:rPr>
          <w:rFonts w:ascii="Palatino" w:hAnsi="Palatino" w:cs="Palatino"/>
          <w:color w:val="000000"/>
          <w:sz w:val="20"/>
          <w:szCs w:val="20"/>
        </w:rPr>
      </w:pPr>
      <w:r>
        <w:rPr>
          <w:rFonts w:ascii="Palatino" w:hAnsi="Palatino" w:cs="Palatino"/>
          <w:color w:val="000000"/>
          <w:sz w:val="20"/>
          <w:szCs w:val="20"/>
        </w:rPr>
        <w:t xml:space="preserve">• establishing Committees or Working Groups to: </w:t>
      </w:r>
    </w:p>
    <w:p w14:paraId="27295F9C" w14:textId="77777777" w:rsidR="00541A14" w:rsidRDefault="00A450E1">
      <w:pPr>
        <w:pStyle w:val="Default"/>
        <w:numPr>
          <w:ilvl w:val="0"/>
          <w:numId w:val="3"/>
        </w:numPr>
        <w:rPr>
          <w:rFonts w:ascii="Palatino" w:hAnsi="Palatino" w:cs="Palatino"/>
          <w:sz w:val="20"/>
          <w:szCs w:val="20"/>
        </w:rPr>
      </w:pPr>
      <w:r>
        <w:rPr>
          <w:rFonts w:ascii="Palatino" w:hAnsi="Palatino" w:cs="Palatino"/>
          <w:sz w:val="20"/>
          <w:szCs w:val="20"/>
        </w:rPr>
        <w:t xml:space="preserve">formulate and publish appropriate IALA recommendations and guidelines; </w:t>
      </w:r>
    </w:p>
    <w:p w14:paraId="7945B0B2" w14:textId="77777777" w:rsidR="00541A14" w:rsidRDefault="00A450E1">
      <w:pPr>
        <w:pStyle w:val="Default"/>
        <w:numPr>
          <w:ilvl w:val="0"/>
          <w:numId w:val="3"/>
        </w:numPr>
        <w:rPr>
          <w:rFonts w:ascii="Palatino" w:hAnsi="Palatino" w:cs="Palatino"/>
          <w:sz w:val="20"/>
          <w:szCs w:val="20"/>
        </w:rPr>
      </w:pPr>
      <w:r>
        <w:rPr>
          <w:rFonts w:ascii="Palatino" w:hAnsi="Palatino" w:cs="Palatino"/>
          <w:sz w:val="20"/>
          <w:szCs w:val="20"/>
        </w:rPr>
        <w:t xml:space="preserve">contribute to the development of international standards and regulations; </w:t>
      </w:r>
    </w:p>
    <w:p w14:paraId="01989261" w14:textId="77777777" w:rsidR="00541A14" w:rsidRDefault="00A450E1">
      <w:pPr>
        <w:pStyle w:val="Default"/>
        <w:numPr>
          <w:ilvl w:val="0"/>
          <w:numId w:val="3"/>
        </w:numPr>
        <w:rPr>
          <w:rFonts w:ascii="Palatino" w:hAnsi="Palatino" w:cs="Palatino"/>
          <w:sz w:val="20"/>
          <w:szCs w:val="20"/>
        </w:rPr>
      </w:pPr>
      <w:r>
        <w:rPr>
          <w:rFonts w:ascii="Palatino" w:hAnsi="Palatino" w:cs="Palatino"/>
          <w:sz w:val="20"/>
          <w:szCs w:val="20"/>
        </w:rPr>
        <w:t xml:space="preserve">study specific issues; </w:t>
      </w:r>
    </w:p>
    <w:p w14:paraId="55345480" w14:textId="77777777" w:rsidR="00541A14" w:rsidRDefault="00541A14">
      <w:pPr>
        <w:pStyle w:val="Default"/>
        <w:rPr>
          <w:rFonts w:ascii="Palatino" w:hAnsi="Palatino" w:cs="Palatino"/>
          <w:sz w:val="20"/>
          <w:szCs w:val="20"/>
        </w:rPr>
      </w:pPr>
    </w:p>
    <w:p w14:paraId="539A945B" w14:textId="77777777" w:rsidR="00541A14" w:rsidRDefault="00A450E1">
      <w:pPr>
        <w:pStyle w:val="CM165"/>
        <w:spacing w:after="85"/>
        <w:ind w:left="300" w:hanging="300"/>
        <w:rPr>
          <w:rFonts w:ascii="Palatino" w:hAnsi="Palatino" w:cs="Palatino"/>
          <w:color w:val="000000"/>
          <w:sz w:val="20"/>
          <w:szCs w:val="20"/>
        </w:rPr>
      </w:pPr>
      <w:r>
        <w:rPr>
          <w:rFonts w:ascii="Palatino" w:hAnsi="Palatino" w:cs="Palatino"/>
          <w:color w:val="000000"/>
          <w:sz w:val="20"/>
          <w:szCs w:val="20"/>
        </w:rPr>
        <w:t xml:space="preserve">• encouraging IALA members to develop policies that address the social and environmental issues </w:t>
      </w:r>
    </w:p>
    <w:p w14:paraId="6C3A54E7"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 xml:space="preserve">associated with establishing and operating aids to navigation, including issues such as: </w:t>
      </w:r>
    </w:p>
    <w:p w14:paraId="14D806B3" w14:textId="77777777" w:rsidR="00541A14" w:rsidRDefault="00A450E1">
      <w:pPr>
        <w:pStyle w:val="Default"/>
        <w:numPr>
          <w:ilvl w:val="0"/>
          <w:numId w:val="4"/>
        </w:numPr>
        <w:rPr>
          <w:rFonts w:ascii="Palatino" w:hAnsi="Palatino" w:cs="Palatino"/>
          <w:sz w:val="20"/>
          <w:szCs w:val="20"/>
        </w:rPr>
      </w:pPr>
      <w:r>
        <w:rPr>
          <w:rFonts w:ascii="Palatino" w:hAnsi="Palatino" w:cs="Palatino"/>
          <w:sz w:val="20"/>
          <w:szCs w:val="20"/>
        </w:rPr>
        <w:t xml:space="preserve">preservation of historic lighthouses, and; </w:t>
      </w:r>
    </w:p>
    <w:p w14:paraId="3E85C058" w14:textId="77777777" w:rsidR="00541A14" w:rsidRDefault="00A450E1">
      <w:pPr>
        <w:pStyle w:val="Default"/>
        <w:numPr>
          <w:ilvl w:val="0"/>
          <w:numId w:val="4"/>
        </w:numPr>
        <w:rPr>
          <w:rFonts w:ascii="Palatino" w:hAnsi="Palatino" w:cs="Palatino"/>
          <w:sz w:val="20"/>
          <w:szCs w:val="20"/>
        </w:rPr>
      </w:pPr>
      <w:r>
        <w:rPr>
          <w:rFonts w:ascii="Palatino" w:hAnsi="Palatino" w:cs="Palatino"/>
          <w:sz w:val="20"/>
          <w:szCs w:val="20"/>
        </w:rPr>
        <w:t xml:space="preserve">use of aids to navigation as a base for the collection of data for other governmental or commercial services; </w:t>
      </w:r>
    </w:p>
    <w:p w14:paraId="2C30B61A" w14:textId="77777777" w:rsidR="00541A14" w:rsidRDefault="00541A14">
      <w:pPr>
        <w:pStyle w:val="Default"/>
        <w:rPr>
          <w:rFonts w:ascii="Palatino" w:hAnsi="Palatino" w:cs="Palatino"/>
          <w:sz w:val="20"/>
          <w:szCs w:val="20"/>
        </w:rPr>
      </w:pPr>
    </w:p>
    <w:p w14:paraId="63C6DDE2"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organising Conferences, Symposiums, Seminars, Workshops and other events relevant to aids to </w:t>
      </w:r>
    </w:p>
    <w:p w14:paraId="5F3B0A28" w14:textId="77777777" w:rsidR="00541A14" w:rsidRDefault="00A450E1">
      <w:pPr>
        <w:pStyle w:val="CM175"/>
        <w:spacing w:after="267" w:line="293" w:lineRule="atLeast"/>
        <w:ind w:left="300"/>
        <w:rPr>
          <w:rFonts w:ascii="Palatino" w:hAnsi="Palatino" w:cs="Palatino"/>
          <w:color w:val="000000"/>
          <w:sz w:val="20"/>
          <w:szCs w:val="20"/>
        </w:rPr>
      </w:pPr>
      <w:r>
        <w:rPr>
          <w:rFonts w:ascii="Palatino" w:hAnsi="Palatino" w:cs="Palatino"/>
          <w:color w:val="000000"/>
          <w:sz w:val="20"/>
          <w:szCs w:val="20"/>
        </w:rPr>
        <w:t xml:space="preserve">navigation activities. </w:t>
      </w:r>
    </w:p>
    <w:p w14:paraId="77017F50"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1.3 Membership </w:t>
      </w:r>
    </w:p>
    <w:p w14:paraId="0F7E17A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IALA has four types of members: </w:t>
      </w:r>
    </w:p>
    <w:p w14:paraId="735E113F"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b/>
          <w:bCs/>
          <w:color w:val="000000"/>
          <w:sz w:val="20"/>
          <w:szCs w:val="20"/>
        </w:rPr>
        <w:t>National membership:</w:t>
      </w:r>
      <w:r>
        <w:rPr>
          <w:rFonts w:ascii="Palatino" w:hAnsi="Palatino" w:cs="Palatino"/>
          <w:color w:val="000000"/>
          <w:sz w:val="20"/>
          <w:szCs w:val="20"/>
        </w:rPr>
        <w:t xml:space="preserve"> applicable to the national authority of any country that is legally responsible for the provision, management, maintenance or operation of marine aids to navigation; </w:t>
      </w:r>
    </w:p>
    <w:p w14:paraId="7AC884D6" w14:textId="77777777" w:rsidR="00541A14" w:rsidRDefault="00A450E1">
      <w:pPr>
        <w:pStyle w:val="CM4"/>
        <w:rPr>
          <w:rFonts w:ascii="Palatino" w:hAnsi="Palatino" w:cs="Palatino"/>
          <w:color w:val="000000"/>
          <w:sz w:val="20"/>
          <w:szCs w:val="20"/>
        </w:rPr>
      </w:pPr>
      <w:r>
        <w:rPr>
          <w:rFonts w:ascii="Palatino" w:hAnsi="Palatino" w:cs="Palatino"/>
          <w:b/>
          <w:bCs/>
          <w:color w:val="000000"/>
          <w:sz w:val="20"/>
          <w:szCs w:val="20"/>
        </w:rPr>
        <w:t>Associate membership:</w:t>
      </w:r>
      <w:r>
        <w:rPr>
          <w:rFonts w:ascii="Palatino" w:hAnsi="Palatino" w:cs="Palatino"/>
          <w:color w:val="000000"/>
          <w:sz w:val="20"/>
          <w:szCs w:val="20"/>
        </w:rPr>
        <w:t xml:space="preserve"> applicable to any other service, organisation or scientific agency concerned </w:t>
      </w:r>
    </w:p>
    <w:p w14:paraId="799CF5C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with aids to navigation or related matters; </w:t>
      </w:r>
    </w:p>
    <w:p w14:paraId="158D0299"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b/>
          <w:bCs/>
          <w:color w:val="000000"/>
          <w:sz w:val="20"/>
          <w:szCs w:val="20"/>
        </w:rPr>
        <w:t>Industrial membership:</w:t>
      </w:r>
      <w:r>
        <w:rPr>
          <w:rFonts w:ascii="Palatino" w:hAnsi="Palatino" w:cs="Palatino"/>
          <w:color w:val="000000"/>
          <w:sz w:val="20"/>
          <w:szCs w:val="20"/>
        </w:rPr>
        <w:t xml:space="preserve"> applicable to manufacturers and distributors of marine aids to navigation equipment for sale, or organisations providing aids to marine navigation services or technical advice under contract; </w:t>
      </w:r>
    </w:p>
    <w:p w14:paraId="5DA96971" w14:textId="77777777" w:rsidR="00541A14" w:rsidRDefault="00A450E1">
      <w:pPr>
        <w:pStyle w:val="CM16"/>
        <w:spacing w:after="5287"/>
        <w:ind w:right="327"/>
        <w:rPr>
          <w:rFonts w:ascii="Palatino" w:hAnsi="Palatino" w:cs="Palatino"/>
          <w:color w:val="000000"/>
          <w:sz w:val="20"/>
          <w:szCs w:val="20"/>
        </w:rPr>
      </w:pPr>
      <w:r>
        <w:rPr>
          <w:rFonts w:ascii="Palatino" w:hAnsi="Palatino" w:cs="Palatino"/>
          <w:b/>
          <w:bCs/>
          <w:color w:val="000000"/>
          <w:sz w:val="20"/>
          <w:szCs w:val="20"/>
        </w:rPr>
        <w:t>Honorary membership:</w:t>
      </w:r>
      <w:r>
        <w:rPr>
          <w:rFonts w:ascii="Palatino" w:hAnsi="Palatino" w:cs="Palatino"/>
          <w:color w:val="000000"/>
          <w:sz w:val="20"/>
          <w:szCs w:val="20"/>
        </w:rPr>
        <w:t xml:space="preserve"> may be conferred for life by the IALA Council to any individual who is considered to have made an important contribution to the work of IALA. </w:t>
      </w:r>
    </w:p>
    <w:p w14:paraId="473F074A" w14:textId="77777777" w:rsidR="00541A14" w:rsidRDefault="00DD420F">
      <w:pPr>
        <w:pStyle w:val="Default"/>
        <w:framePr w:w="10730" w:wrap="auto" w:vAnchor="page" w:hAnchor="page" w:x="608" w:y="16298"/>
        <w:rPr>
          <w:rFonts w:ascii="Palatino" w:hAnsi="Palatino" w:cs="Palatino"/>
          <w:sz w:val="20"/>
          <w:szCs w:val="20"/>
        </w:rPr>
      </w:pPr>
      <w:r>
        <w:rPr>
          <w:rFonts w:ascii="Palatino" w:hAnsi="Palatino" w:cs="Palatino"/>
          <w:noProof/>
          <w:sz w:val="20"/>
          <w:szCs w:val="20"/>
        </w:rPr>
        <w:drawing>
          <wp:inline distT="0" distB="0" distL="0" distR="0" wp14:anchorId="7577E5A8" wp14:editId="13B25026">
            <wp:extent cx="7553960" cy="40894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553960" cy="408940"/>
                    </a:xfrm>
                    <a:prstGeom prst="rect">
                      <a:avLst/>
                    </a:prstGeom>
                    <a:noFill/>
                    <a:ln>
                      <a:noFill/>
                    </a:ln>
                  </pic:spPr>
                </pic:pic>
              </a:graphicData>
            </a:graphic>
          </wp:inline>
        </w:drawing>
      </w:r>
    </w:p>
    <w:p w14:paraId="580789A8" w14:textId="77777777" w:rsidR="00541A14" w:rsidRDefault="00DD420F">
      <w:pPr>
        <w:pStyle w:val="Default"/>
        <w:pageBreakBefore/>
        <w:framePr w:w="12875" w:wrap="auto" w:vAnchor="page" w:hAnchor="page" w:x="101" w:y="13769"/>
        <w:spacing w:after="180"/>
        <w:rPr>
          <w:rFonts w:ascii="Palatino" w:hAnsi="Palatino" w:cs="Palatino"/>
          <w:sz w:val="20"/>
          <w:szCs w:val="20"/>
        </w:rPr>
      </w:pPr>
      <w:r>
        <w:rPr>
          <w:rFonts w:ascii="Palatino" w:hAnsi="Palatino" w:cs="Palatino"/>
          <w:noProof/>
          <w:sz w:val="20"/>
          <w:szCs w:val="20"/>
        </w:rPr>
        <w:drawing>
          <wp:inline distT="0" distB="0" distL="0" distR="0" wp14:anchorId="3AB98DDC" wp14:editId="7B83F268">
            <wp:extent cx="7553960" cy="9996170"/>
            <wp:effectExtent l="0" t="0" r="0" b="114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553960" cy="9996170"/>
                    </a:xfrm>
                    <a:prstGeom prst="rect">
                      <a:avLst/>
                    </a:prstGeom>
                    <a:noFill/>
                    <a:ln>
                      <a:noFill/>
                    </a:ln>
                  </pic:spPr>
                </pic:pic>
              </a:graphicData>
            </a:graphic>
          </wp:inline>
        </w:drawing>
      </w:r>
    </w:p>
    <w:p w14:paraId="3438E1D3" w14:textId="77777777" w:rsidR="00541A14" w:rsidRDefault="00DD420F">
      <w:pPr>
        <w:pStyle w:val="Default"/>
        <w:framePr w:w="10739" w:wrap="auto" w:vAnchor="page" w:hAnchor="page" w:x="1434" w:y="16298"/>
        <w:rPr>
          <w:rFonts w:ascii="Palatino" w:hAnsi="Palatino" w:cs="Palatino"/>
          <w:sz w:val="20"/>
          <w:szCs w:val="20"/>
        </w:rPr>
      </w:pPr>
      <w:r>
        <w:rPr>
          <w:rFonts w:ascii="Palatino" w:hAnsi="Palatino" w:cs="Palatino"/>
          <w:noProof/>
          <w:sz w:val="20"/>
          <w:szCs w:val="20"/>
        </w:rPr>
        <w:drawing>
          <wp:inline distT="0" distB="0" distL="0" distR="0" wp14:anchorId="0FF7768C" wp14:editId="238B8897">
            <wp:extent cx="7542530" cy="408940"/>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42530" cy="408940"/>
                    </a:xfrm>
                    <a:prstGeom prst="rect">
                      <a:avLst/>
                    </a:prstGeom>
                    <a:noFill/>
                    <a:ln>
                      <a:noFill/>
                    </a:ln>
                  </pic:spPr>
                </pic:pic>
              </a:graphicData>
            </a:graphic>
          </wp:inline>
        </w:drawing>
      </w:r>
    </w:p>
    <w:p w14:paraId="053C35CC" w14:textId="77777777" w:rsidR="00541A14" w:rsidRDefault="00DD420F">
      <w:pPr>
        <w:pStyle w:val="Default"/>
        <w:pageBreakBefore/>
        <w:framePr w:w="24781" w:wrap="auto" w:vAnchor="page" w:hAnchor="page" w:x="101" w:y="1"/>
        <w:spacing w:after="960"/>
        <w:rPr>
          <w:rFonts w:ascii="Palatino" w:hAnsi="Palatino" w:cs="Palatino"/>
          <w:sz w:val="20"/>
          <w:szCs w:val="20"/>
        </w:rPr>
      </w:pPr>
      <w:r>
        <w:rPr>
          <w:rFonts w:ascii="Palatino" w:hAnsi="Palatino" w:cs="Palatino"/>
          <w:noProof/>
          <w:sz w:val="20"/>
          <w:szCs w:val="20"/>
        </w:rPr>
        <w:drawing>
          <wp:inline distT="0" distB="0" distL="0" distR="0" wp14:anchorId="3B03D762" wp14:editId="1D6A8BDE">
            <wp:extent cx="7553960" cy="9766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53960" cy="976630"/>
                    </a:xfrm>
                    <a:prstGeom prst="rect">
                      <a:avLst/>
                    </a:prstGeom>
                    <a:noFill/>
                    <a:ln>
                      <a:noFill/>
                    </a:ln>
                  </pic:spPr>
                </pic:pic>
              </a:graphicData>
            </a:graphic>
          </wp:inline>
        </w:drawing>
      </w:r>
    </w:p>
    <w:p w14:paraId="71E873ED" w14:textId="77777777" w:rsidR="00541A14" w:rsidRDefault="00A450E1">
      <w:pPr>
        <w:pStyle w:val="CM172"/>
        <w:spacing w:after="202"/>
        <w:rPr>
          <w:rFonts w:ascii="Futura Book" w:hAnsi="Futura Book" w:cs="Futura Book"/>
          <w:color w:val="2C5062"/>
          <w:sz w:val="28"/>
          <w:szCs w:val="28"/>
        </w:rPr>
      </w:pPr>
      <w:r>
        <w:rPr>
          <w:rFonts w:ascii="Futura Book" w:hAnsi="Futura Book" w:cs="Futura Book"/>
          <w:b/>
          <w:bCs/>
          <w:color w:val="2C5062"/>
          <w:sz w:val="28"/>
          <w:szCs w:val="28"/>
        </w:rPr>
        <w:t xml:space="preserve">1.4 IALA Structure </w:t>
      </w:r>
    </w:p>
    <w:p w14:paraId="7DB43A5D" w14:textId="77777777" w:rsidR="00541A14" w:rsidRDefault="00A450E1">
      <w:pPr>
        <w:pStyle w:val="CM173"/>
        <w:spacing w:after="340"/>
        <w:rPr>
          <w:rFonts w:ascii="Palatino" w:hAnsi="Palatino" w:cs="Palatino"/>
          <w:color w:val="000000"/>
          <w:sz w:val="20"/>
          <w:szCs w:val="20"/>
        </w:rPr>
      </w:pPr>
      <w:r>
        <w:rPr>
          <w:rFonts w:ascii="Palatino" w:hAnsi="Palatino" w:cs="Palatino"/>
          <w:color w:val="000000"/>
          <w:sz w:val="20"/>
          <w:szCs w:val="20"/>
        </w:rPr>
        <w:t xml:space="preserve">The organisational structure of IALA is shown in Figure 2. </w:t>
      </w:r>
    </w:p>
    <w:p w14:paraId="062FF7F3"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1.4.1 IALA Council </w:t>
      </w:r>
    </w:p>
    <w:p w14:paraId="7947E9FC"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IALA is administered by a Council of up to twenty-two elected and two non-elected councillors: </w:t>
      </w:r>
    </w:p>
    <w:p w14:paraId="56E8580A"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The elected positions are determined by a ballot of all national members attending a General Assembly. Only one national member from any country may be elected to the Council and there is a general aim to draw councillors from different parts of the world to achieve a broad representation on the Council. </w:t>
      </w:r>
    </w:p>
    <w:p w14:paraId="2A865C43"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The non-elected positions are held by the head of the national authority that will host the next IALA Conference and the head of the national authority that hosted the last IALA Conference. </w:t>
      </w:r>
    </w:p>
    <w:p w14:paraId="7F8E4E0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Council members elect a President, Vice President and a Financial Advisory Committee for the 4 (four) year term between Conferences. The Council also appoints a Secretary General to act as legal representative and chief executive of IALA. </w:t>
      </w:r>
    </w:p>
    <w:p w14:paraId="11536A23"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The Council meets at least once each year and can be convened by either the President, the Vice President, the Secretary General, or at the request of any two councillors. </w:t>
      </w:r>
    </w:p>
    <w:p w14:paraId="481B783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functions of the Council are to: </w:t>
      </w:r>
    </w:p>
    <w:p w14:paraId="60E0867D" w14:textId="77777777" w:rsidR="00541A14" w:rsidRDefault="00A450E1">
      <w:pPr>
        <w:pStyle w:val="Default"/>
        <w:numPr>
          <w:ilvl w:val="0"/>
          <w:numId w:val="5"/>
        </w:numPr>
        <w:rPr>
          <w:rFonts w:ascii="Palatino" w:hAnsi="Palatino" w:cs="Palatino"/>
          <w:sz w:val="20"/>
          <w:szCs w:val="20"/>
        </w:rPr>
      </w:pPr>
      <w:r>
        <w:rPr>
          <w:rFonts w:ascii="Palatino" w:hAnsi="Palatino" w:cs="Palatino"/>
          <w:sz w:val="20"/>
          <w:szCs w:val="20"/>
        </w:rPr>
        <w:t xml:space="preserve">implement the overall policy of IALA as defined by its aims or by the General Assembly; </w:t>
      </w:r>
    </w:p>
    <w:p w14:paraId="20944A72" w14:textId="77777777" w:rsidR="00541A14" w:rsidRDefault="00A450E1">
      <w:pPr>
        <w:pStyle w:val="Default"/>
        <w:numPr>
          <w:ilvl w:val="0"/>
          <w:numId w:val="5"/>
        </w:numPr>
        <w:rPr>
          <w:rFonts w:ascii="Palatino" w:hAnsi="Palatino" w:cs="Palatino"/>
          <w:sz w:val="20"/>
          <w:szCs w:val="20"/>
        </w:rPr>
      </w:pPr>
      <w:r>
        <w:rPr>
          <w:rFonts w:ascii="Palatino" w:hAnsi="Palatino" w:cs="Palatino"/>
          <w:sz w:val="20"/>
          <w:szCs w:val="20"/>
        </w:rPr>
        <w:t xml:space="preserve">establish Committees relevant to the aims of IALA and approve the positions of Chairman and </w:t>
      </w:r>
    </w:p>
    <w:p w14:paraId="73F8B381" w14:textId="77777777" w:rsidR="00541A14" w:rsidRDefault="00541A14">
      <w:pPr>
        <w:pStyle w:val="Default"/>
        <w:rPr>
          <w:rFonts w:ascii="Palatino" w:hAnsi="Palatino" w:cs="Palatino"/>
          <w:sz w:val="20"/>
          <w:szCs w:val="20"/>
        </w:rPr>
      </w:pPr>
    </w:p>
    <w:p w14:paraId="270B4FA1"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Vice Chairman on each Committee; </w:t>
      </w:r>
    </w:p>
    <w:p w14:paraId="77FA9F63" w14:textId="77777777" w:rsidR="00541A14" w:rsidRDefault="00A450E1">
      <w:pPr>
        <w:pStyle w:val="Default"/>
        <w:numPr>
          <w:ilvl w:val="0"/>
          <w:numId w:val="6"/>
        </w:numPr>
        <w:rPr>
          <w:rFonts w:ascii="Palatino" w:hAnsi="Palatino" w:cs="Palatino"/>
          <w:sz w:val="20"/>
          <w:szCs w:val="20"/>
        </w:rPr>
      </w:pPr>
      <w:r>
        <w:rPr>
          <w:rFonts w:ascii="Palatino" w:hAnsi="Palatino" w:cs="Palatino"/>
          <w:sz w:val="20"/>
          <w:szCs w:val="20"/>
        </w:rPr>
        <w:t xml:space="preserve">determine rules of procedure for Committees and their terms of reference; </w:t>
      </w:r>
    </w:p>
    <w:p w14:paraId="64C1993D" w14:textId="77777777" w:rsidR="00541A14" w:rsidRDefault="00A450E1">
      <w:pPr>
        <w:pStyle w:val="Default"/>
        <w:numPr>
          <w:ilvl w:val="0"/>
          <w:numId w:val="6"/>
        </w:numPr>
        <w:rPr>
          <w:rFonts w:ascii="Palatino" w:hAnsi="Palatino" w:cs="Palatino"/>
          <w:sz w:val="20"/>
          <w:szCs w:val="20"/>
        </w:rPr>
      </w:pPr>
      <w:r>
        <w:rPr>
          <w:rFonts w:ascii="Palatino" w:hAnsi="Palatino" w:cs="Palatino"/>
          <w:sz w:val="20"/>
          <w:szCs w:val="20"/>
        </w:rPr>
        <w:t xml:space="preserve">determine and review the strategic direction of IALA; </w:t>
      </w:r>
    </w:p>
    <w:p w14:paraId="7220B829" w14:textId="77777777" w:rsidR="00541A14" w:rsidRDefault="00A450E1">
      <w:pPr>
        <w:pStyle w:val="Default"/>
        <w:numPr>
          <w:ilvl w:val="0"/>
          <w:numId w:val="6"/>
        </w:numPr>
        <w:rPr>
          <w:rFonts w:ascii="Palatino" w:hAnsi="Palatino" w:cs="Palatino"/>
          <w:sz w:val="20"/>
          <w:szCs w:val="20"/>
        </w:rPr>
      </w:pPr>
      <w:r>
        <w:rPr>
          <w:rFonts w:ascii="Palatino" w:hAnsi="Palatino" w:cs="Palatino"/>
          <w:sz w:val="20"/>
          <w:szCs w:val="20"/>
        </w:rPr>
        <w:t xml:space="preserve">approve IALA recommendations, guidelines and manuals; </w:t>
      </w:r>
    </w:p>
    <w:p w14:paraId="6C45F886" w14:textId="77777777" w:rsidR="00541A14" w:rsidRDefault="00A450E1">
      <w:pPr>
        <w:pStyle w:val="Default"/>
        <w:numPr>
          <w:ilvl w:val="0"/>
          <w:numId w:val="6"/>
        </w:numPr>
        <w:rPr>
          <w:rFonts w:ascii="Palatino" w:hAnsi="Palatino" w:cs="Palatino"/>
          <w:sz w:val="20"/>
          <w:szCs w:val="20"/>
        </w:rPr>
      </w:pPr>
      <w:r>
        <w:rPr>
          <w:rFonts w:ascii="Palatino" w:hAnsi="Palatino" w:cs="Palatino"/>
          <w:sz w:val="20"/>
          <w:szCs w:val="20"/>
        </w:rPr>
        <w:t xml:space="preserve">decide the venue and the year of the next IALA Conference; </w:t>
      </w:r>
    </w:p>
    <w:p w14:paraId="535C21CB" w14:textId="77777777" w:rsidR="00541A14" w:rsidRDefault="00A450E1">
      <w:pPr>
        <w:pStyle w:val="Default"/>
        <w:numPr>
          <w:ilvl w:val="0"/>
          <w:numId w:val="6"/>
        </w:numPr>
        <w:rPr>
          <w:rFonts w:ascii="Palatino" w:hAnsi="Palatino" w:cs="Palatino"/>
          <w:sz w:val="20"/>
          <w:szCs w:val="20"/>
        </w:rPr>
      </w:pPr>
      <w:r>
        <w:rPr>
          <w:rFonts w:ascii="Palatino" w:hAnsi="Palatino" w:cs="Palatino"/>
          <w:sz w:val="20"/>
          <w:szCs w:val="20"/>
        </w:rPr>
        <w:t xml:space="preserve">establish rules for participation in IALA Conferences; </w:t>
      </w:r>
    </w:p>
    <w:p w14:paraId="10893EFE" w14:textId="77777777" w:rsidR="00541A14" w:rsidRDefault="00A450E1">
      <w:pPr>
        <w:pStyle w:val="Default"/>
        <w:numPr>
          <w:ilvl w:val="0"/>
          <w:numId w:val="6"/>
        </w:numPr>
        <w:rPr>
          <w:rFonts w:ascii="Palatino" w:hAnsi="Palatino" w:cs="Palatino"/>
          <w:sz w:val="20"/>
          <w:szCs w:val="20"/>
        </w:rPr>
      </w:pPr>
      <w:r>
        <w:rPr>
          <w:rFonts w:ascii="Palatino" w:hAnsi="Palatino" w:cs="Palatino"/>
          <w:sz w:val="20"/>
          <w:szCs w:val="20"/>
        </w:rPr>
        <w:t xml:space="preserve">convene General Assemblies; </w:t>
      </w:r>
    </w:p>
    <w:p w14:paraId="7C424C5E" w14:textId="77777777" w:rsidR="00541A14" w:rsidRDefault="00A450E1">
      <w:pPr>
        <w:pStyle w:val="Default"/>
        <w:numPr>
          <w:ilvl w:val="0"/>
          <w:numId w:val="6"/>
        </w:numPr>
        <w:rPr>
          <w:rFonts w:ascii="Palatino" w:hAnsi="Palatino" w:cs="Palatino"/>
          <w:sz w:val="20"/>
          <w:szCs w:val="20"/>
        </w:rPr>
      </w:pPr>
      <w:r>
        <w:rPr>
          <w:rFonts w:ascii="Palatino" w:hAnsi="Palatino" w:cs="Palatino"/>
          <w:sz w:val="20"/>
          <w:szCs w:val="20"/>
        </w:rPr>
        <w:t xml:space="preserve">approve the annual budget and accounts; </w:t>
      </w:r>
    </w:p>
    <w:p w14:paraId="1678B7E6" w14:textId="77777777" w:rsidR="00541A14" w:rsidRDefault="00A450E1">
      <w:pPr>
        <w:pStyle w:val="Default"/>
        <w:numPr>
          <w:ilvl w:val="0"/>
          <w:numId w:val="6"/>
        </w:numPr>
        <w:rPr>
          <w:rFonts w:ascii="Palatino" w:hAnsi="Palatino" w:cs="Palatino"/>
          <w:sz w:val="20"/>
          <w:szCs w:val="20"/>
        </w:rPr>
      </w:pPr>
      <w:r>
        <w:rPr>
          <w:rFonts w:ascii="Palatino" w:hAnsi="Palatino" w:cs="Palatino"/>
          <w:sz w:val="20"/>
          <w:szCs w:val="20"/>
        </w:rPr>
        <w:t xml:space="preserve">decide membership matters; and </w:t>
      </w:r>
    </w:p>
    <w:p w14:paraId="3033AEE0" w14:textId="77777777" w:rsidR="00541A14" w:rsidRDefault="00A450E1">
      <w:pPr>
        <w:pStyle w:val="Default"/>
        <w:numPr>
          <w:ilvl w:val="0"/>
          <w:numId w:val="6"/>
        </w:numPr>
        <w:rPr>
          <w:rFonts w:ascii="Palatino" w:hAnsi="Palatino" w:cs="Palatino"/>
          <w:sz w:val="20"/>
          <w:szCs w:val="20"/>
        </w:rPr>
      </w:pPr>
      <w:r>
        <w:rPr>
          <w:rFonts w:ascii="Palatino" w:hAnsi="Palatino" w:cs="Palatino"/>
          <w:sz w:val="20"/>
          <w:szCs w:val="20"/>
        </w:rPr>
        <w:t xml:space="preserve">determine the rate of subscriptions. </w:t>
      </w:r>
    </w:p>
    <w:p w14:paraId="49C88351" w14:textId="77777777" w:rsidR="00541A14" w:rsidRDefault="00541A14">
      <w:pPr>
        <w:pStyle w:val="Default"/>
        <w:rPr>
          <w:rFonts w:ascii="Palatino" w:hAnsi="Palatino" w:cs="Palatino"/>
          <w:sz w:val="20"/>
          <w:szCs w:val="20"/>
        </w:rPr>
      </w:pPr>
    </w:p>
    <w:p w14:paraId="2C62A041"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1.4.2 General Assembly </w:t>
      </w:r>
    </w:p>
    <w:p w14:paraId="5EAAB1AE"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 General Assembly of the members of IALA is convened by the IALA Council and is normally concurrent with IALA Conferences, held every 4 yrs (Section 1.4.5 refers). </w:t>
      </w:r>
    </w:p>
    <w:p w14:paraId="556F58C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General Assembly, among other things, decides the overall policy of IALA and its Constitution and elects the members of the Council. </w:t>
      </w:r>
    </w:p>
    <w:p w14:paraId="2BAD615F" w14:textId="77777777" w:rsidR="00541A14" w:rsidRDefault="00A450E1">
      <w:pPr>
        <w:pStyle w:val="CM176"/>
        <w:spacing w:after="1320" w:line="291" w:lineRule="atLeast"/>
        <w:rPr>
          <w:rFonts w:ascii="Palatino" w:hAnsi="Palatino" w:cs="Palatino"/>
          <w:color w:val="000000"/>
          <w:sz w:val="20"/>
          <w:szCs w:val="20"/>
        </w:rPr>
      </w:pPr>
      <w:r>
        <w:rPr>
          <w:rFonts w:ascii="Palatino" w:hAnsi="Palatino" w:cs="Palatino"/>
          <w:color w:val="000000"/>
          <w:sz w:val="20"/>
          <w:szCs w:val="20"/>
        </w:rPr>
        <w:t xml:space="preserve">National Members have voting rights at a General Assembly. </w:t>
      </w:r>
    </w:p>
    <w:p w14:paraId="357D5141" w14:textId="77777777" w:rsidR="00541A14" w:rsidRDefault="00DD420F">
      <w:pPr>
        <w:pStyle w:val="Default"/>
        <w:framePr w:w="10730" w:wrap="auto" w:vAnchor="page" w:hAnchor="page" w:x="608" w:y="16298"/>
        <w:rPr>
          <w:rFonts w:ascii="Palatino" w:hAnsi="Palatino" w:cs="Palatino"/>
          <w:sz w:val="20"/>
          <w:szCs w:val="20"/>
        </w:rPr>
      </w:pPr>
      <w:r>
        <w:rPr>
          <w:rFonts w:ascii="Palatino" w:hAnsi="Palatino" w:cs="Palatino"/>
          <w:noProof/>
          <w:sz w:val="20"/>
          <w:szCs w:val="20"/>
        </w:rPr>
        <w:drawing>
          <wp:inline distT="0" distB="0" distL="0" distR="0" wp14:anchorId="1B847F25" wp14:editId="450E6A76">
            <wp:extent cx="7553960" cy="4089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553960" cy="408940"/>
                    </a:xfrm>
                    <a:prstGeom prst="rect">
                      <a:avLst/>
                    </a:prstGeom>
                    <a:noFill/>
                    <a:ln>
                      <a:noFill/>
                    </a:ln>
                  </pic:spPr>
                </pic:pic>
              </a:graphicData>
            </a:graphic>
          </wp:inline>
        </w:drawing>
      </w:r>
    </w:p>
    <w:p w14:paraId="23A2F8FE" w14:textId="77777777" w:rsidR="00541A14" w:rsidRDefault="00A450E1">
      <w:pPr>
        <w:pStyle w:val="Default"/>
        <w:pageBreakBefore/>
        <w:spacing w:after="3752"/>
        <w:ind w:left="4525" w:right="432"/>
        <w:jc w:val="both"/>
        <w:rPr>
          <w:rFonts w:ascii="Myriad Pro" w:hAnsi="Myriad Pro" w:cs="Myriad Pro"/>
          <w:color w:val="FFFFFF"/>
          <w:sz w:val="18"/>
          <w:szCs w:val="18"/>
        </w:rPr>
      </w:pPr>
      <w:r>
        <w:rPr>
          <w:rFonts w:ascii="Myriad Pro" w:hAnsi="Myriad Pro" w:cs="Myriad Pro"/>
          <w:b/>
          <w:bCs/>
          <w:color w:val="FFFFFF"/>
          <w:sz w:val="18"/>
          <w:szCs w:val="18"/>
        </w:rPr>
        <w:t xml:space="preserve">WORKING GROUPS </w:t>
      </w:r>
    </w:p>
    <w:p w14:paraId="3E36DB9A" w14:textId="77777777" w:rsidR="00541A14" w:rsidRDefault="00A450E1">
      <w:pPr>
        <w:pStyle w:val="Default"/>
        <w:spacing w:after="2785" w:line="180" w:lineRule="atLeast"/>
        <w:ind w:left="5170" w:right="432"/>
        <w:jc w:val="both"/>
        <w:rPr>
          <w:rFonts w:ascii="Myriad Pro" w:hAnsi="Myriad Pro" w:cs="Myriad Pro"/>
          <w:color w:val="FFFFFF"/>
          <w:sz w:val="15"/>
          <w:szCs w:val="15"/>
        </w:rPr>
      </w:pPr>
      <w:r>
        <w:rPr>
          <w:rFonts w:ascii="Myriad Pro" w:hAnsi="Myriad Pro" w:cs="Myriad Pro"/>
          <w:b/>
          <w:bCs/>
          <w:color w:val="FFFFFF"/>
          <w:sz w:val="15"/>
          <w:szCs w:val="15"/>
        </w:rPr>
        <w:t xml:space="preserve">IALA Representative at IMO </w:t>
      </w:r>
    </w:p>
    <w:p w14:paraId="599366AE" w14:textId="77777777" w:rsidR="00541A14" w:rsidRDefault="00A450E1">
      <w:pPr>
        <w:pStyle w:val="Default"/>
        <w:ind w:left="6432"/>
        <w:jc w:val="both"/>
        <w:rPr>
          <w:rFonts w:ascii="Times New Roman" w:hAnsi="Times New Roman" w:cs="Times New Roman"/>
          <w:sz w:val="22"/>
          <w:szCs w:val="22"/>
        </w:rPr>
      </w:pPr>
      <w:r>
        <w:rPr>
          <w:rFonts w:ascii="Times New Roman" w:hAnsi="Times New Roman" w:cs="Times New Roman"/>
          <w:sz w:val="22"/>
          <w:szCs w:val="22"/>
        </w:rPr>
        <w:t xml:space="preserve"> </w:t>
      </w:r>
    </w:p>
    <w:p w14:paraId="06D702D9" w14:textId="77777777" w:rsidR="00541A14" w:rsidRDefault="00A450E1">
      <w:pPr>
        <w:pStyle w:val="CM177"/>
        <w:spacing w:after="3442"/>
        <w:jc w:val="both"/>
        <w:rPr>
          <w:rFonts w:ascii="Palatino" w:hAnsi="Palatino" w:cs="Palatino"/>
          <w:color w:val="000000"/>
          <w:sz w:val="20"/>
          <w:szCs w:val="20"/>
        </w:rPr>
      </w:pPr>
      <w:r>
        <w:rPr>
          <w:rFonts w:ascii="Palatino" w:hAnsi="Palatino" w:cs="Palatino"/>
          <w:i/>
          <w:iCs/>
          <w:color w:val="000000"/>
          <w:sz w:val="20"/>
          <w:szCs w:val="20"/>
        </w:rPr>
        <w:t xml:space="preserve">Figure 2 – IALA Organisational Structure </w:t>
      </w:r>
    </w:p>
    <w:p w14:paraId="0194E5F3" w14:textId="77777777" w:rsidR="00541A14" w:rsidRDefault="00A450E1">
      <w:pPr>
        <w:pStyle w:val="Default"/>
        <w:rPr>
          <w:rFonts w:ascii="Palatino" w:hAnsi="Palatino" w:cs="Palatino"/>
          <w:color w:val="FFFFFF"/>
          <w:sz w:val="20"/>
          <w:szCs w:val="20"/>
        </w:rPr>
      </w:pPr>
      <w:r>
        <w:rPr>
          <w:rFonts w:ascii="Palatino" w:hAnsi="Palatino" w:cs="Palatino"/>
          <w:i/>
          <w:iCs/>
          <w:color w:val="FFFFFF"/>
          <w:sz w:val="20"/>
          <w:szCs w:val="20"/>
        </w:rPr>
        <w:t xml:space="preserve">NAVGUIDE 2010  </w:t>
      </w:r>
    </w:p>
    <w:p w14:paraId="484647B6" w14:textId="77777777" w:rsidR="00541A14" w:rsidRDefault="00DD420F">
      <w:pPr>
        <w:pStyle w:val="Default"/>
        <w:pageBreakBefore/>
        <w:framePr w:w="24781" w:wrap="auto" w:vAnchor="page" w:hAnchor="page" w:x="101" w:y="1"/>
        <w:spacing w:after="1000"/>
        <w:rPr>
          <w:rFonts w:ascii="Palatino" w:hAnsi="Palatino" w:cs="Palatino"/>
          <w:color w:val="FFFFFF"/>
          <w:sz w:val="20"/>
          <w:szCs w:val="20"/>
        </w:rPr>
      </w:pPr>
      <w:r>
        <w:rPr>
          <w:rFonts w:ascii="Palatino" w:hAnsi="Palatino" w:cs="Palatino"/>
          <w:noProof/>
          <w:color w:val="FFFFFF"/>
          <w:sz w:val="20"/>
          <w:szCs w:val="20"/>
        </w:rPr>
        <w:drawing>
          <wp:inline distT="0" distB="0" distL="0" distR="0" wp14:anchorId="5516F74C" wp14:editId="6D1A14EB">
            <wp:extent cx="7553960" cy="9766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53960" cy="976630"/>
                    </a:xfrm>
                    <a:prstGeom prst="rect">
                      <a:avLst/>
                    </a:prstGeom>
                    <a:noFill/>
                    <a:ln>
                      <a:noFill/>
                    </a:ln>
                  </pic:spPr>
                </pic:pic>
              </a:graphicData>
            </a:graphic>
          </wp:inline>
        </w:drawing>
      </w:r>
    </w:p>
    <w:p w14:paraId="4B39DFF1"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1.4.3 Policy Advisory Panel </w:t>
      </w:r>
    </w:p>
    <w:p w14:paraId="06510928"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The Policy Advisory Panel (PAP) is a group that comprises the Secretary General, Technical Director, the Chairs and vice-Chairs of each Committee and special advisors to IALA. The Panel meets at least once a year to review the work being done by the Committees. </w:t>
      </w:r>
    </w:p>
    <w:p w14:paraId="6DD8E68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role of the PAP is to: </w:t>
      </w:r>
    </w:p>
    <w:p w14:paraId="351075DA"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identify any overlap of work between the Committees and to ensure that the work of the </w:t>
      </w:r>
    </w:p>
    <w:p w14:paraId="5385F7A6"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Committees is on schedule; </w:t>
      </w:r>
    </w:p>
    <w:p w14:paraId="557A71C5" w14:textId="77777777" w:rsidR="00541A14" w:rsidRDefault="00A450E1">
      <w:pPr>
        <w:pStyle w:val="Default"/>
        <w:numPr>
          <w:ilvl w:val="0"/>
          <w:numId w:val="7"/>
        </w:numPr>
        <w:rPr>
          <w:rFonts w:ascii="Palatino" w:hAnsi="Palatino" w:cs="Palatino"/>
          <w:sz w:val="20"/>
          <w:szCs w:val="20"/>
        </w:rPr>
      </w:pPr>
      <w:r>
        <w:rPr>
          <w:rFonts w:ascii="Palatino" w:hAnsi="Palatino" w:cs="Palatino"/>
          <w:sz w:val="20"/>
          <w:szCs w:val="20"/>
        </w:rPr>
        <w:t xml:space="preserve">review the general operation of the Committees, and </w:t>
      </w:r>
    </w:p>
    <w:p w14:paraId="556B83EF" w14:textId="77777777" w:rsidR="00541A14" w:rsidRDefault="00A450E1">
      <w:pPr>
        <w:pStyle w:val="Default"/>
        <w:numPr>
          <w:ilvl w:val="0"/>
          <w:numId w:val="7"/>
        </w:numPr>
        <w:rPr>
          <w:rFonts w:ascii="Palatino" w:hAnsi="Palatino" w:cs="Palatino"/>
          <w:sz w:val="20"/>
          <w:szCs w:val="20"/>
        </w:rPr>
      </w:pPr>
      <w:r>
        <w:rPr>
          <w:rFonts w:ascii="Palatino" w:hAnsi="Palatino" w:cs="Palatino"/>
          <w:sz w:val="20"/>
          <w:szCs w:val="20"/>
        </w:rPr>
        <w:t xml:space="preserve">advise the IALA Council about the facilities at the Headquarters. </w:t>
      </w:r>
    </w:p>
    <w:p w14:paraId="18B13AD9" w14:textId="77777777" w:rsidR="00541A14" w:rsidRDefault="00541A14">
      <w:pPr>
        <w:pStyle w:val="Default"/>
        <w:rPr>
          <w:rFonts w:ascii="Palatino" w:hAnsi="Palatino" w:cs="Palatino"/>
          <w:sz w:val="20"/>
          <w:szCs w:val="20"/>
        </w:rPr>
      </w:pPr>
    </w:p>
    <w:p w14:paraId="622B5432"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1.4.4 Committees </w:t>
      </w:r>
    </w:p>
    <w:p w14:paraId="3349F94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Committees are established by the Council to study a range of issues, as determined by the General Assembly, with the aim of preparing recommendations and guidelines for IALA members. In addition, the Committees prepare submissions to International Organisations. A Committee </w:t>
      </w:r>
    </w:p>
    <w:p w14:paraId="37EDD17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may also be asked to provide continuous monitoring of elements of subjects that could influence </w:t>
      </w:r>
    </w:p>
    <w:p w14:paraId="3989C1E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decisions concerning the provision of Aids to Navigation, including VTS. </w:t>
      </w:r>
    </w:p>
    <w:p w14:paraId="74E0CEE6"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The Council develops terms of reference for each Committee when it is established. The Council then reviews and amends terms of reference, as necessary, immediately prior to each Conference. </w:t>
      </w:r>
    </w:p>
    <w:p w14:paraId="6F6E43C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Committees meet regularly and are important to the work of IALA because they keep abreast of developments, including technological developments, relating to their area of expertise and prepare, review and revise relevant IALA publications in accordance with their approved Work Programme. The programmes for the Committees generally cover a 4-year study period, from one Conference to the next. </w:t>
      </w:r>
    </w:p>
    <w:p w14:paraId="742B8E7F"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The documents created by the Committees address topics relating to management, operations, engineering, emerging technologies and training, and must be approved by the IALA Council. </w:t>
      </w:r>
    </w:p>
    <w:p w14:paraId="4606908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All IALA members are invited to participate in the IALA Committees. </w:t>
      </w:r>
    </w:p>
    <w:p w14:paraId="04E45927" w14:textId="77777777" w:rsidR="00541A14" w:rsidRDefault="00A450E1">
      <w:pPr>
        <w:pStyle w:val="CM165"/>
        <w:spacing w:after="85" w:line="291" w:lineRule="atLeast"/>
        <w:ind w:right="777"/>
        <w:rPr>
          <w:rFonts w:ascii="Palatino" w:hAnsi="Palatino" w:cs="Palatino"/>
          <w:color w:val="000000"/>
          <w:sz w:val="20"/>
          <w:szCs w:val="20"/>
        </w:rPr>
      </w:pPr>
      <w:r>
        <w:rPr>
          <w:rFonts w:ascii="Palatino" w:hAnsi="Palatino" w:cs="Palatino"/>
          <w:color w:val="000000"/>
          <w:sz w:val="20"/>
          <w:szCs w:val="20"/>
        </w:rPr>
        <w:t xml:space="preserve">The IALA Committees that have operated over the four years leading up to the 2010 IALA Conference were: </w:t>
      </w:r>
    </w:p>
    <w:p w14:paraId="473CDE2C" w14:textId="77777777" w:rsidR="00541A14" w:rsidRDefault="00A450E1">
      <w:pPr>
        <w:pStyle w:val="Default"/>
        <w:numPr>
          <w:ilvl w:val="0"/>
          <w:numId w:val="8"/>
        </w:numPr>
        <w:rPr>
          <w:rFonts w:ascii="Palatino" w:hAnsi="Palatino" w:cs="Palatino"/>
          <w:sz w:val="20"/>
          <w:szCs w:val="20"/>
        </w:rPr>
      </w:pPr>
      <w:r>
        <w:rPr>
          <w:rFonts w:ascii="Palatino" w:hAnsi="Palatino" w:cs="Palatino"/>
          <w:sz w:val="20"/>
          <w:szCs w:val="20"/>
        </w:rPr>
        <w:t xml:space="preserve">Engineering, Environment and Preservation (EEP); </w:t>
      </w:r>
    </w:p>
    <w:p w14:paraId="05240FE3" w14:textId="77777777" w:rsidR="00541A14" w:rsidRDefault="00A450E1">
      <w:pPr>
        <w:pStyle w:val="Default"/>
        <w:numPr>
          <w:ilvl w:val="0"/>
          <w:numId w:val="8"/>
        </w:numPr>
        <w:rPr>
          <w:rFonts w:ascii="Palatino" w:hAnsi="Palatino" w:cs="Palatino"/>
          <w:sz w:val="20"/>
          <w:szCs w:val="20"/>
        </w:rPr>
      </w:pPr>
      <w:r>
        <w:rPr>
          <w:rFonts w:ascii="Palatino" w:hAnsi="Palatino" w:cs="Palatino"/>
          <w:sz w:val="20"/>
          <w:szCs w:val="20"/>
        </w:rPr>
        <w:t xml:space="preserve">Aids to Navigation Management (ANM); </w:t>
      </w:r>
    </w:p>
    <w:p w14:paraId="53821908" w14:textId="77777777" w:rsidR="00541A14" w:rsidRDefault="00A450E1">
      <w:pPr>
        <w:pStyle w:val="Default"/>
        <w:numPr>
          <w:ilvl w:val="0"/>
          <w:numId w:val="8"/>
        </w:numPr>
        <w:rPr>
          <w:rFonts w:ascii="Palatino" w:hAnsi="Palatino" w:cs="Palatino"/>
          <w:sz w:val="20"/>
          <w:szCs w:val="20"/>
        </w:rPr>
      </w:pPr>
      <w:r>
        <w:rPr>
          <w:rFonts w:ascii="Palatino" w:hAnsi="Palatino" w:cs="Palatino"/>
          <w:sz w:val="20"/>
          <w:szCs w:val="20"/>
        </w:rPr>
        <w:t xml:space="preserve">e-Navigation (e-NAV) (incorporating the former Radionavigation (RNAV) and Automatic Identification System (AIS) Committees; and </w:t>
      </w:r>
    </w:p>
    <w:p w14:paraId="41073022" w14:textId="77777777" w:rsidR="00541A14" w:rsidRDefault="00A450E1">
      <w:pPr>
        <w:pStyle w:val="Default"/>
        <w:numPr>
          <w:ilvl w:val="0"/>
          <w:numId w:val="8"/>
        </w:numPr>
        <w:rPr>
          <w:rFonts w:ascii="Palatino" w:hAnsi="Palatino" w:cs="Palatino"/>
          <w:sz w:val="20"/>
          <w:szCs w:val="20"/>
        </w:rPr>
      </w:pPr>
      <w:r>
        <w:rPr>
          <w:rFonts w:ascii="Palatino" w:hAnsi="Palatino" w:cs="Palatino"/>
          <w:sz w:val="20"/>
          <w:szCs w:val="20"/>
        </w:rPr>
        <w:t xml:space="preserve">Vessel Traffic Services (VTS). </w:t>
      </w:r>
    </w:p>
    <w:p w14:paraId="4BCE553A" w14:textId="77777777" w:rsidR="00541A14" w:rsidRDefault="00541A14">
      <w:pPr>
        <w:pStyle w:val="Default"/>
        <w:rPr>
          <w:rFonts w:ascii="Palatino" w:hAnsi="Palatino" w:cs="Palatino"/>
          <w:sz w:val="20"/>
          <w:szCs w:val="20"/>
        </w:rPr>
      </w:pPr>
    </w:p>
    <w:p w14:paraId="45A879D9"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In addition to the Committees, IALA also convened two new advisory forums during the 2006</w:t>
      </w:r>
      <w:r>
        <w:rPr>
          <w:rFonts w:ascii="Palatino" w:hAnsi="Palatino" w:cs="Palatino"/>
          <w:color w:val="000000"/>
          <w:sz w:val="20"/>
          <w:szCs w:val="20"/>
        </w:rPr>
        <w:softHyphen/>
        <w:t xml:space="preserve">2010 period: </w:t>
      </w:r>
    </w:p>
    <w:p w14:paraId="6B574342" w14:textId="77777777" w:rsidR="00541A14" w:rsidRDefault="00A450E1">
      <w:pPr>
        <w:pStyle w:val="CM165"/>
        <w:spacing w:after="85" w:line="298" w:lineRule="atLeast"/>
        <w:ind w:left="300" w:right="557" w:hanging="300"/>
        <w:rPr>
          <w:rFonts w:ascii="Palatino" w:hAnsi="Palatino" w:cs="Palatino"/>
          <w:color w:val="000000"/>
          <w:sz w:val="20"/>
          <w:szCs w:val="20"/>
        </w:rPr>
      </w:pPr>
      <w:r>
        <w:rPr>
          <w:rFonts w:ascii="Palatino" w:hAnsi="Palatino" w:cs="Palatino"/>
          <w:color w:val="000000"/>
          <w:sz w:val="20"/>
          <w:szCs w:val="20"/>
        </w:rPr>
        <w:t xml:space="preserve">• </w:t>
      </w:r>
      <w:r>
        <w:rPr>
          <w:rFonts w:ascii="Palatino" w:hAnsi="Palatino" w:cs="Palatino"/>
          <w:b/>
          <w:bCs/>
          <w:color w:val="000000"/>
          <w:sz w:val="20"/>
          <w:szCs w:val="20"/>
        </w:rPr>
        <w:t>Legal Advisory Panel (LAP)</w:t>
      </w:r>
      <w:r>
        <w:rPr>
          <w:rFonts w:ascii="Palatino" w:hAnsi="Palatino" w:cs="Palatino"/>
          <w:color w:val="000000"/>
          <w:sz w:val="20"/>
          <w:szCs w:val="20"/>
        </w:rPr>
        <w:t xml:space="preserve"> - LAP is a group that comprises a chairperson (as appointed by the Council), IALA members with interest in legal affairs, representatives of relevant international organisations (as approved by the Secretary-General), and experts (as appointed by the Secretary-General). The role of LAP is to: </w:t>
      </w:r>
    </w:p>
    <w:p w14:paraId="0DBC3B7B" w14:textId="77777777" w:rsidR="00541A14" w:rsidRDefault="00DD420F">
      <w:pPr>
        <w:pStyle w:val="Default"/>
        <w:framePr w:w="10730" w:wrap="auto" w:vAnchor="page" w:hAnchor="page" w:x="608" w:y="16298"/>
        <w:rPr>
          <w:rFonts w:ascii="Palatino" w:hAnsi="Palatino" w:cs="Palatino"/>
          <w:sz w:val="20"/>
          <w:szCs w:val="20"/>
        </w:rPr>
      </w:pPr>
      <w:r>
        <w:rPr>
          <w:rFonts w:ascii="Palatino" w:hAnsi="Palatino" w:cs="Palatino"/>
          <w:noProof/>
          <w:sz w:val="20"/>
          <w:szCs w:val="20"/>
        </w:rPr>
        <w:drawing>
          <wp:inline distT="0" distB="0" distL="0" distR="0" wp14:anchorId="1CA1744F" wp14:editId="78F7B4C4">
            <wp:extent cx="7553960" cy="4089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553960" cy="408940"/>
                    </a:xfrm>
                    <a:prstGeom prst="rect">
                      <a:avLst/>
                    </a:prstGeom>
                    <a:noFill/>
                    <a:ln>
                      <a:noFill/>
                    </a:ln>
                  </pic:spPr>
                </pic:pic>
              </a:graphicData>
            </a:graphic>
          </wp:inline>
        </w:drawing>
      </w:r>
    </w:p>
    <w:p w14:paraId="0942A4F2" w14:textId="77777777" w:rsidR="00541A14" w:rsidRDefault="00DD420F">
      <w:pPr>
        <w:pStyle w:val="Default"/>
        <w:pageBreakBefore/>
        <w:framePr w:w="12875" w:wrap="auto" w:vAnchor="page" w:hAnchor="page" w:x="101" w:y="1"/>
        <w:spacing w:after="940"/>
        <w:rPr>
          <w:rFonts w:ascii="Palatino" w:hAnsi="Palatino" w:cs="Palatino"/>
          <w:sz w:val="20"/>
          <w:szCs w:val="20"/>
        </w:rPr>
      </w:pPr>
      <w:r>
        <w:rPr>
          <w:rFonts w:ascii="Palatino" w:hAnsi="Palatino" w:cs="Palatino"/>
          <w:noProof/>
          <w:sz w:val="20"/>
          <w:szCs w:val="20"/>
        </w:rPr>
        <w:drawing>
          <wp:inline distT="0" distB="0" distL="0" distR="0" wp14:anchorId="51DEBAA3" wp14:editId="68AAEDBB">
            <wp:extent cx="7553960" cy="97663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53960" cy="976630"/>
                    </a:xfrm>
                    <a:prstGeom prst="rect">
                      <a:avLst/>
                    </a:prstGeom>
                    <a:noFill/>
                    <a:ln>
                      <a:noFill/>
                    </a:ln>
                  </pic:spPr>
                </pic:pic>
              </a:graphicData>
            </a:graphic>
          </wp:inline>
        </w:drawing>
      </w:r>
    </w:p>
    <w:p w14:paraId="5CBE816C" w14:textId="77777777" w:rsidR="00541A14" w:rsidRDefault="00A450E1">
      <w:pPr>
        <w:pStyle w:val="Default"/>
        <w:numPr>
          <w:ilvl w:val="0"/>
          <w:numId w:val="9"/>
        </w:numPr>
        <w:rPr>
          <w:rFonts w:ascii="Palatino" w:hAnsi="Palatino" w:cs="Palatino"/>
          <w:sz w:val="20"/>
          <w:szCs w:val="20"/>
        </w:rPr>
      </w:pPr>
      <w:r>
        <w:rPr>
          <w:rFonts w:ascii="Palatino" w:hAnsi="Palatino" w:cs="Palatino"/>
          <w:sz w:val="20"/>
          <w:szCs w:val="20"/>
        </w:rPr>
        <w:t xml:space="preserve">provide support to IALA on legal issues affecting IALA national members; </w:t>
      </w:r>
    </w:p>
    <w:p w14:paraId="1377FE34" w14:textId="77777777" w:rsidR="00541A14" w:rsidRDefault="00A450E1">
      <w:pPr>
        <w:pStyle w:val="Default"/>
        <w:numPr>
          <w:ilvl w:val="0"/>
          <w:numId w:val="9"/>
        </w:numPr>
        <w:rPr>
          <w:rFonts w:ascii="Palatino" w:hAnsi="Palatino" w:cs="Palatino"/>
          <w:sz w:val="20"/>
          <w:szCs w:val="20"/>
        </w:rPr>
      </w:pPr>
      <w:r>
        <w:rPr>
          <w:rFonts w:ascii="Palatino" w:hAnsi="Palatino" w:cs="Palatino"/>
          <w:sz w:val="20"/>
          <w:szCs w:val="20"/>
        </w:rPr>
        <w:t xml:space="preserve">provide support to IALA as an organisation on legal issues; and </w:t>
      </w:r>
    </w:p>
    <w:p w14:paraId="7D5FCEEE" w14:textId="77777777" w:rsidR="00541A14" w:rsidRDefault="00A450E1">
      <w:pPr>
        <w:pStyle w:val="Default"/>
        <w:numPr>
          <w:ilvl w:val="0"/>
          <w:numId w:val="9"/>
        </w:numPr>
        <w:rPr>
          <w:rFonts w:ascii="Palatino" w:hAnsi="Palatino" w:cs="Palatino"/>
          <w:sz w:val="20"/>
          <w:szCs w:val="20"/>
        </w:rPr>
      </w:pPr>
      <w:r>
        <w:rPr>
          <w:rFonts w:ascii="Palatino" w:hAnsi="Palatino" w:cs="Palatino"/>
          <w:sz w:val="20"/>
          <w:szCs w:val="20"/>
        </w:rPr>
        <w:t xml:space="preserve">provide guidance to the membership on best practices in the provision of aids to navigation </w:t>
      </w:r>
    </w:p>
    <w:p w14:paraId="5F926995" w14:textId="77777777" w:rsidR="00541A14" w:rsidRDefault="00541A14">
      <w:pPr>
        <w:pStyle w:val="Default"/>
        <w:rPr>
          <w:rFonts w:ascii="Palatino" w:hAnsi="Palatino" w:cs="Palatino"/>
          <w:sz w:val="20"/>
          <w:szCs w:val="20"/>
        </w:rPr>
      </w:pPr>
    </w:p>
    <w:p w14:paraId="0EE97357" w14:textId="77777777" w:rsidR="00541A14" w:rsidRDefault="00A450E1">
      <w:pPr>
        <w:pStyle w:val="CM165"/>
        <w:spacing w:after="85" w:line="331" w:lineRule="atLeast"/>
        <w:ind w:firstLine="600"/>
        <w:rPr>
          <w:rFonts w:ascii="Palatino" w:hAnsi="Palatino" w:cs="Palatino"/>
          <w:color w:val="000000"/>
          <w:sz w:val="20"/>
          <w:szCs w:val="20"/>
        </w:rPr>
      </w:pPr>
      <w:r>
        <w:rPr>
          <w:rFonts w:ascii="Palatino" w:hAnsi="Palatino" w:cs="Palatino"/>
          <w:color w:val="000000"/>
          <w:sz w:val="20"/>
          <w:szCs w:val="20"/>
        </w:rPr>
        <w:t xml:space="preserve">services. LAP is providing a forum to discuss legal matters of common interest with regards to the provision of aids to navigation services and identify where external legal advice may be needed. </w:t>
      </w:r>
    </w:p>
    <w:p w14:paraId="2CFA8DE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LAP is responding to issues and concerns that may be raised through the IALA Secretariat with respect to the development and providing guidance on the provision of aids to navigation services; </w:t>
      </w:r>
    </w:p>
    <w:p w14:paraId="23227A5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Furthermore LAP is identifying and maintaining a work programme to respond to changing issues within the aids to navigation environment. </w:t>
      </w:r>
    </w:p>
    <w:p w14:paraId="7CBCF20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Pilotage Authority Forum (PAF) - PAF is a group that comprises a chairperson (as appointed </w:t>
      </w:r>
    </w:p>
    <w:p w14:paraId="779E4292" w14:textId="77777777" w:rsidR="00541A14" w:rsidRDefault="00A450E1">
      <w:pPr>
        <w:pStyle w:val="CM165"/>
        <w:spacing w:after="85" w:line="286" w:lineRule="atLeast"/>
        <w:ind w:left="300" w:right="95"/>
        <w:rPr>
          <w:rFonts w:ascii="Palatino" w:hAnsi="Palatino" w:cs="Palatino"/>
          <w:color w:val="000000"/>
          <w:sz w:val="20"/>
          <w:szCs w:val="20"/>
        </w:rPr>
      </w:pPr>
      <w:r>
        <w:rPr>
          <w:rFonts w:ascii="Palatino" w:hAnsi="Palatino" w:cs="Palatino"/>
          <w:color w:val="000000"/>
          <w:sz w:val="20"/>
          <w:szCs w:val="20"/>
        </w:rPr>
        <w:t xml:space="preserve">by the Council), IALA members, competent pilotage authorities (as invited by the Secretary-General), representatives of relevant international organisations (as approved by the Secretary-General) and the Secretary-General of IMPA (observer status). The role of PAF is to: </w:t>
      </w:r>
    </w:p>
    <w:p w14:paraId="0D6CCC42" w14:textId="77777777" w:rsidR="00541A14" w:rsidRDefault="00A450E1">
      <w:pPr>
        <w:pStyle w:val="Default"/>
        <w:numPr>
          <w:ilvl w:val="0"/>
          <w:numId w:val="10"/>
        </w:numPr>
        <w:rPr>
          <w:rFonts w:ascii="Palatino" w:hAnsi="Palatino" w:cs="Palatino"/>
          <w:sz w:val="20"/>
          <w:szCs w:val="20"/>
        </w:rPr>
      </w:pPr>
      <w:r>
        <w:rPr>
          <w:rFonts w:ascii="Palatino" w:hAnsi="Palatino" w:cs="Palatino"/>
          <w:sz w:val="20"/>
          <w:szCs w:val="20"/>
        </w:rPr>
        <w:t xml:space="preserve">identify IALA members who have responsibility for pilotage services; </w:t>
      </w:r>
    </w:p>
    <w:p w14:paraId="21E4C523" w14:textId="77777777" w:rsidR="00541A14" w:rsidRDefault="00A450E1">
      <w:pPr>
        <w:pStyle w:val="Default"/>
        <w:numPr>
          <w:ilvl w:val="0"/>
          <w:numId w:val="10"/>
        </w:numPr>
        <w:rPr>
          <w:rFonts w:ascii="Palatino" w:hAnsi="Palatino" w:cs="Palatino"/>
          <w:sz w:val="20"/>
          <w:szCs w:val="20"/>
        </w:rPr>
      </w:pPr>
      <w:r>
        <w:rPr>
          <w:rFonts w:ascii="Palatino" w:hAnsi="Palatino" w:cs="Palatino"/>
          <w:sz w:val="20"/>
          <w:szCs w:val="20"/>
        </w:rPr>
        <w:t xml:space="preserve">provide a forum for competent pilotage authorities in order to discuss pilot matters; and </w:t>
      </w:r>
    </w:p>
    <w:p w14:paraId="606B9C4A" w14:textId="77777777" w:rsidR="00541A14" w:rsidRDefault="00A450E1">
      <w:pPr>
        <w:pStyle w:val="Default"/>
        <w:numPr>
          <w:ilvl w:val="0"/>
          <w:numId w:val="10"/>
        </w:numPr>
        <w:rPr>
          <w:rFonts w:ascii="Palatino" w:hAnsi="Palatino" w:cs="Palatino"/>
          <w:sz w:val="20"/>
          <w:szCs w:val="20"/>
        </w:rPr>
      </w:pPr>
      <w:r>
        <w:rPr>
          <w:rFonts w:ascii="Palatino" w:hAnsi="Palatino" w:cs="Palatino"/>
          <w:sz w:val="20"/>
          <w:szCs w:val="20"/>
        </w:rPr>
        <w:t xml:space="preserve">list key issues of common concern for competent pilotage authorities. PAF is providing a forum for competent pilotage authorities to discuss pilotage matters with an aim to harmonize pilotage services on an international basis. PAF is identifying an action </w:t>
      </w:r>
    </w:p>
    <w:p w14:paraId="1B57B527" w14:textId="77777777" w:rsidR="00541A14" w:rsidRDefault="00541A14">
      <w:pPr>
        <w:pStyle w:val="Default"/>
        <w:rPr>
          <w:rFonts w:ascii="Palatino" w:hAnsi="Palatino" w:cs="Palatino"/>
          <w:sz w:val="20"/>
          <w:szCs w:val="20"/>
        </w:rPr>
      </w:pPr>
    </w:p>
    <w:p w14:paraId="0ECD4CB9" w14:textId="77777777" w:rsidR="00541A14" w:rsidRDefault="00A450E1">
      <w:pPr>
        <w:pStyle w:val="CM30"/>
        <w:ind w:left="290"/>
        <w:rPr>
          <w:rFonts w:ascii="Palatino" w:hAnsi="Palatino" w:cs="Palatino"/>
          <w:color w:val="000000"/>
          <w:sz w:val="20"/>
          <w:szCs w:val="20"/>
        </w:rPr>
      </w:pPr>
      <w:r>
        <w:rPr>
          <w:rFonts w:ascii="Palatino" w:hAnsi="Palatino" w:cs="Palatino"/>
          <w:color w:val="000000"/>
          <w:sz w:val="20"/>
          <w:szCs w:val="20"/>
        </w:rPr>
        <w:t xml:space="preserve">plan to work proactively with related international organisations to promote harmonization of service delivery. ‘Competent pilotage authority means the national or regional governments legally responsible </w:t>
      </w:r>
    </w:p>
    <w:p w14:paraId="7505077B" w14:textId="77777777" w:rsidR="00541A14" w:rsidRDefault="00A450E1">
      <w:pPr>
        <w:pStyle w:val="CM175"/>
        <w:spacing w:after="267" w:line="333" w:lineRule="atLeast"/>
        <w:ind w:left="290"/>
        <w:rPr>
          <w:rFonts w:ascii="Palatino" w:hAnsi="Palatino" w:cs="Palatino"/>
          <w:color w:val="000000"/>
          <w:sz w:val="20"/>
          <w:szCs w:val="20"/>
        </w:rPr>
      </w:pPr>
      <w:r>
        <w:rPr>
          <w:rFonts w:ascii="Palatino" w:hAnsi="Palatino" w:cs="Palatino"/>
          <w:color w:val="000000"/>
          <w:sz w:val="20"/>
          <w:szCs w:val="20"/>
        </w:rPr>
        <w:t xml:space="preserve">for the provision of a pilotage system.’ </w:t>
      </w:r>
    </w:p>
    <w:p w14:paraId="5CFCF550"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1.4.5 Conferences, Symposiums and Exhibitions </w:t>
      </w:r>
    </w:p>
    <w:p w14:paraId="6F5BF32C" w14:textId="77777777" w:rsidR="00541A14" w:rsidRDefault="00A450E1">
      <w:pPr>
        <w:pStyle w:val="CM165"/>
        <w:spacing w:after="85" w:line="300" w:lineRule="atLeast"/>
        <w:ind w:right="2890"/>
        <w:rPr>
          <w:rFonts w:ascii="Palatino" w:hAnsi="Palatino" w:cs="Palatino"/>
          <w:color w:val="000000"/>
          <w:sz w:val="20"/>
          <w:szCs w:val="20"/>
        </w:rPr>
      </w:pPr>
      <w:r>
        <w:rPr>
          <w:rFonts w:ascii="Palatino" w:hAnsi="Palatino" w:cs="Palatino"/>
          <w:color w:val="000000"/>
          <w:sz w:val="20"/>
          <w:szCs w:val="20"/>
        </w:rPr>
        <w:t xml:space="preserve">IALA holds a general aids to navigation Conference every four (4) years. These Conferences may be attended by IALA members and also by non-member aids to navigation authorities. </w:t>
      </w:r>
    </w:p>
    <w:p w14:paraId="358CDB84" w14:textId="77777777" w:rsidR="00541A14" w:rsidRDefault="00A450E1">
      <w:pPr>
        <w:pStyle w:val="CM165"/>
        <w:spacing w:after="85" w:line="300" w:lineRule="atLeast"/>
        <w:ind w:right="3010"/>
        <w:rPr>
          <w:rFonts w:ascii="Palatino" w:hAnsi="Palatino" w:cs="Palatino"/>
          <w:color w:val="000000"/>
          <w:sz w:val="20"/>
          <w:szCs w:val="20"/>
        </w:rPr>
      </w:pPr>
      <w:r>
        <w:rPr>
          <w:rFonts w:ascii="Palatino" w:hAnsi="Palatino" w:cs="Palatino"/>
          <w:color w:val="000000"/>
          <w:sz w:val="20"/>
          <w:szCs w:val="20"/>
        </w:rPr>
        <w:t xml:space="preserve">Papers, presentations and discussions address a wide range of marine aids to navigation issues. The work of IALA over the previous four years is also presented.  All members are invited to submit papers for discussion. </w:t>
      </w:r>
    </w:p>
    <w:p w14:paraId="77CE2C98" w14:textId="77777777" w:rsidR="00541A14" w:rsidRDefault="00A450E1">
      <w:pPr>
        <w:pStyle w:val="CM165"/>
        <w:spacing w:after="85" w:line="300" w:lineRule="atLeast"/>
        <w:ind w:right="3210"/>
        <w:rPr>
          <w:rFonts w:ascii="Palatino" w:hAnsi="Palatino" w:cs="Palatino"/>
          <w:color w:val="000000"/>
          <w:sz w:val="20"/>
          <w:szCs w:val="20"/>
        </w:rPr>
      </w:pPr>
      <w:r>
        <w:rPr>
          <w:rFonts w:ascii="Palatino" w:hAnsi="Palatino" w:cs="Palatino"/>
          <w:color w:val="000000"/>
          <w:sz w:val="20"/>
          <w:szCs w:val="20"/>
        </w:rPr>
        <w:t xml:space="preserve">The Industrial Members’ Committee traditionally organizes an Industrial Exhibition in conjunction with the Conference.  </w:t>
      </w:r>
    </w:p>
    <w:p w14:paraId="3B91B4A9" w14:textId="77777777" w:rsidR="00541A14" w:rsidRDefault="00A450E1">
      <w:pPr>
        <w:pStyle w:val="CM178"/>
        <w:spacing w:after="1397" w:line="296" w:lineRule="atLeast"/>
        <w:ind w:right="402"/>
        <w:rPr>
          <w:rFonts w:ascii="Palatino" w:hAnsi="Palatino" w:cs="Palatino"/>
          <w:color w:val="000000"/>
          <w:sz w:val="20"/>
          <w:szCs w:val="20"/>
        </w:rPr>
      </w:pPr>
      <w:r>
        <w:rPr>
          <w:rFonts w:ascii="Palatino" w:hAnsi="Palatino" w:cs="Palatino"/>
          <w:color w:val="000000"/>
          <w:sz w:val="20"/>
          <w:szCs w:val="20"/>
        </w:rPr>
        <w:t xml:space="preserve">IALA traditionally holds the General Assembly in conjunction with the Conference.  The IALA work term traditionally spans the four (4) years between Conferences. </w:t>
      </w:r>
    </w:p>
    <w:p w14:paraId="5FCC9188" w14:textId="77777777" w:rsidR="00541A14" w:rsidRDefault="00DD420F">
      <w:pPr>
        <w:pStyle w:val="Default"/>
        <w:framePr w:w="3521" w:wrap="auto" w:vAnchor="page" w:hAnchor="page" w:x="7767" w:y="11516"/>
        <w:spacing w:after="1800"/>
        <w:rPr>
          <w:rFonts w:ascii="Palatino" w:hAnsi="Palatino" w:cs="Palatino"/>
          <w:sz w:val="20"/>
          <w:szCs w:val="20"/>
        </w:rPr>
      </w:pPr>
      <w:r>
        <w:rPr>
          <w:rFonts w:ascii="Palatino" w:hAnsi="Palatino" w:cs="Palatino"/>
          <w:noProof/>
          <w:sz w:val="20"/>
          <w:szCs w:val="20"/>
        </w:rPr>
        <w:drawing>
          <wp:inline distT="0" distB="0" distL="0" distR="0" wp14:anchorId="006F1C11" wp14:editId="419478B0">
            <wp:extent cx="1726565" cy="1828800"/>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26565" cy="1828800"/>
                    </a:xfrm>
                    <a:prstGeom prst="rect">
                      <a:avLst/>
                    </a:prstGeom>
                    <a:noFill/>
                    <a:ln>
                      <a:noFill/>
                    </a:ln>
                  </pic:spPr>
                </pic:pic>
              </a:graphicData>
            </a:graphic>
          </wp:inline>
        </w:drawing>
      </w:r>
    </w:p>
    <w:p w14:paraId="45F7FBF4" w14:textId="77777777" w:rsidR="00541A14" w:rsidRDefault="00DD420F">
      <w:pPr>
        <w:pStyle w:val="Default"/>
        <w:framePr w:w="10739" w:wrap="auto" w:vAnchor="page" w:hAnchor="page" w:x="1434" w:y="16298"/>
        <w:rPr>
          <w:rFonts w:ascii="Palatino" w:hAnsi="Palatino" w:cs="Palatino"/>
          <w:sz w:val="20"/>
          <w:szCs w:val="20"/>
        </w:rPr>
      </w:pPr>
      <w:r>
        <w:rPr>
          <w:rFonts w:ascii="Palatino" w:hAnsi="Palatino" w:cs="Palatino"/>
          <w:noProof/>
          <w:sz w:val="20"/>
          <w:szCs w:val="20"/>
        </w:rPr>
        <w:drawing>
          <wp:inline distT="0" distB="0" distL="0" distR="0" wp14:anchorId="77E6E0D6" wp14:editId="6F4C626F">
            <wp:extent cx="7542530" cy="40894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42530" cy="408940"/>
                    </a:xfrm>
                    <a:prstGeom prst="rect">
                      <a:avLst/>
                    </a:prstGeom>
                    <a:noFill/>
                    <a:ln>
                      <a:noFill/>
                    </a:ln>
                  </pic:spPr>
                </pic:pic>
              </a:graphicData>
            </a:graphic>
          </wp:inline>
        </w:drawing>
      </w:r>
    </w:p>
    <w:p w14:paraId="5589888B" w14:textId="77777777" w:rsidR="00541A14" w:rsidRDefault="00DD420F">
      <w:pPr>
        <w:pStyle w:val="Default"/>
        <w:pageBreakBefore/>
        <w:framePr w:w="24781" w:wrap="auto" w:vAnchor="page" w:hAnchor="page" w:x="101" w:y="1"/>
        <w:spacing w:after="1000"/>
        <w:rPr>
          <w:rFonts w:ascii="Palatino" w:hAnsi="Palatino" w:cs="Palatino"/>
          <w:sz w:val="20"/>
          <w:szCs w:val="20"/>
        </w:rPr>
      </w:pPr>
      <w:r>
        <w:rPr>
          <w:rFonts w:ascii="Palatino" w:hAnsi="Palatino" w:cs="Palatino"/>
          <w:noProof/>
          <w:sz w:val="20"/>
          <w:szCs w:val="20"/>
        </w:rPr>
        <w:drawing>
          <wp:inline distT="0" distB="0" distL="0" distR="0" wp14:anchorId="60691D5B" wp14:editId="3B980E97">
            <wp:extent cx="7553960" cy="97663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53960" cy="976630"/>
                    </a:xfrm>
                    <a:prstGeom prst="rect">
                      <a:avLst/>
                    </a:prstGeom>
                    <a:noFill/>
                    <a:ln>
                      <a:noFill/>
                    </a:ln>
                  </pic:spPr>
                </pic:pic>
              </a:graphicData>
            </a:graphic>
          </wp:inline>
        </w:drawing>
      </w:r>
    </w:p>
    <w:p w14:paraId="18483296"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sz w:val="20"/>
          <w:szCs w:val="20"/>
        </w:rPr>
        <w:t xml:space="preserve">In addition, IALA may hold a Symposium on a specific topic of interest to the </w:t>
      </w:r>
    </w:p>
    <w:p w14:paraId="24C96229"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sz w:val="20"/>
          <w:szCs w:val="20"/>
        </w:rPr>
        <w:t xml:space="preserve">members. </w:t>
      </w:r>
    </w:p>
    <w:p w14:paraId="5CC7852D" w14:textId="77777777" w:rsidR="00541A14" w:rsidRDefault="00A450E1">
      <w:pPr>
        <w:pStyle w:val="CM173"/>
        <w:spacing w:after="340" w:line="300" w:lineRule="atLeast"/>
        <w:ind w:right="585"/>
        <w:jc w:val="both"/>
        <w:rPr>
          <w:rFonts w:ascii="Palatino" w:hAnsi="Palatino" w:cs="Palatino"/>
          <w:color w:val="000000"/>
          <w:sz w:val="20"/>
          <w:szCs w:val="20"/>
        </w:rPr>
      </w:pPr>
      <w:r>
        <w:rPr>
          <w:rFonts w:ascii="Palatino" w:hAnsi="Palatino" w:cs="Palatino"/>
          <w:color w:val="000000"/>
          <w:sz w:val="20"/>
          <w:szCs w:val="20"/>
        </w:rPr>
        <w:t xml:space="preserve">An example is the IALA VTS Symposium, held every four (4) years, two years separated from the IALA Conference. </w:t>
      </w:r>
    </w:p>
    <w:p w14:paraId="6D4CF7B8"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1.4.6 Workshops and Seminars </w:t>
      </w:r>
    </w:p>
    <w:p w14:paraId="3CC84F05"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IALA convenes Workshops and Seminars to address topics that may arise during the work term. </w:t>
      </w:r>
    </w:p>
    <w:p w14:paraId="6B8C5259"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A </w:t>
      </w:r>
      <w:r>
        <w:rPr>
          <w:rFonts w:ascii="Palatino" w:hAnsi="Palatino" w:cs="Palatino"/>
          <w:b/>
          <w:bCs/>
          <w:color w:val="000000"/>
          <w:sz w:val="20"/>
          <w:szCs w:val="20"/>
        </w:rPr>
        <w:t>Workshop</w:t>
      </w:r>
      <w:r>
        <w:rPr>
          <w:rFonts w:ascii="Palatino" w:hAnsi="Palatino" w:cs="Palatino"/>
          <w:color w:val="000000"/>
          <w:sz w:val="20"/>
          <w:szCs w:val="20"/>
        </w:rPr>
        <w:t xml:space="preserve"> is a special meeting convened for: </w:t>
      </w:r>
    </w:p>
    <w:p w14:paraId="014010E1" w14:textId="77777777" w:rsidR="00541A14" w:rsidRDefault="00A450E1">
      <w:pPr>
        <w:pStyle w:val="Default"/>
        <w:numPr>
          <w:ilvl w:val="0"/>
          <w:numId w:val="11"/>
        </w:numPr>
        <w:rPr>
          <w:rFonts w:ascii="Palatino" w:hAnsi="Palatino" w:cs="Palatino"/>
          <w:sz w:val="20"/>
          <w:szCs w:val="20"/>
        </w:rPr>
      </w:pPr>
      <w:r>
        <w:rPr>
          <w:rFonts w:ascii="Palatino" w:hAnsi="Palatino" w:cs="Palatino"/>
          <w:sz w:val="20"/>
          <w:szCs w:val="20"/>
        </w:rPr>
        <w:t xml:space="preserve">The purpose of making maximum use of the technical expertise of participants to further the work of the Association on a specified subject or topic; or, </w:t>
      </w:r>
    </w:p>
    <w:p w14:paraId="11D434A0" w14:textId="77777777" w:rsidR="00541A14" w:rsidRDefault="00A450E1">
      <w:pPr>
        <w:pStyle w:val="Default"/>
        <w:numPr>
          <w:ilvl w:val="0"/>
          <w:numId w:val="11"/>
        </w:numPr>
        <w:rPr>
          <w:rFonts w:ascii="Palatino" w:hAnsi="Palatino" w:cs="Palatino"/>
          <w:sz w:val="20"/>
          <w:szCs w:val="20"/>
        </w:rPr>
      </w:pPr>
      <w:r>
        <w:rPr>
          <w:rFonts w:ascii="Palatino" w:hAnsi="Palatino" w:cs="Palatino"/>
          <w:sz w:val="20"/>
          <w:szCs w:val="20"/>
        </w:rPr>
        <w:t xml:space="preserve">To enable skills and comprehension of new techniques to be learned by detailed </w:t>
      </w:r>
    </w:p>
    <w:p w14:paraId="14F38A09" w14:textId="77777777" w:rsidR="00541A14" w:rsidRDefault="00541A14">
      <w:pPr>
        <w:pStyle w:val="Default"/>
        <w:rPr>
          <w:rFonts w:ascii="Palatino" w:hAnsi="Palatino" w:cs="Palatino"/>
          <w:sz w:val="20"/>
          <w:szCs w:val="20"/>
        </w:rPr>
      </w:pPr>
    </w:p>
    <w:p w14:paraId="5E034B2E"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lectures combined with simulation or similar “hands on” methods. </w:t>
      </w:r>
    </w:p>
    <w:p w14:paraId="3F6805FB" w14:textId="77777777" w:rsidR="00541A14" w:rsidRDefault="00A450E1">
      <w:pPr>
        <w:pStyle w:val="CM165"/>
        <w:spacing w:after="85" w:line="300" w:lineRule="atLeast"/>
        <w:ind w:right="1207"/>
        <w:rPr>
          <w:rFonts w:ascii="Palatino" w:hAnsi="Palatino" w:cs="Palatino"/>
          <w:color w:val="000000"/>
          <w:sz w:val="20"/>
          <w:szCs w:val="20"/>
        </w:rPr>
      </w:pPr>
      <w:r>
        <w:rPr>
          <w:rFonts w:ascii="Palatino" w:hAnsi="Palatino" w:cs="Palatino"/>
          <w:color w:val="000000"/>
          <w:sz w:val="20"/>
          <w:szCs w:val="20"/>
        </w:rPr>
        <w:t xml:space="preserve">A </w:t>
      </w:r>
      <w:r>
        <w:rPr>
          <w:rFonts w:ascii="Palatino" w:hAnsi="Palatino" w:cs="Palatino"/>
          <w:b/>
          <w:bCs/>
          <w:color w:val="000000"/>
          <w:sz w:val="20"/>
          <w:szCs w:val="20"/>
        </w:rPr>
        <w:t>seminar</w:t>
      </w:r>
      <w:r>
        <w:rPr>
          <w:rFonts w:ascii="Palatino" w:hAnsi="Palatino" w:cs="Palatino"/>
          <w:color w:val="000000"/>
          <w:sz w:val="20"/>
          <w:szCs w:val="20"/>
        </w:rPr>
        <w:t xml:space="preserve"> is a small meeting of specialists on a specified subject or topic convened for the purpose of consultations by means of the presentation of papers on the subject or topic followed by question and answer sessions. </w:t>
      </w:r>
    </w:p>
    <w:p w14:paraId="14BA3D50" w14:textId="77777777" w:rsidR="00541A14" w:rsidRDefault="00A450E1">
      <w:pPr>
        <w:pStyle w:val="CM173"/>
        <w:spacing w:after="340" w:line="300" w:lineRule="atLeast"/>
        <w:ind w:right="1620"/>
        <w:rPr>
          <w:rFonts w:ascii="Palatino" w:hAnsi="Palatino" w:cs="Palatino"/>
          <w:color w:val="000000"/>
          <w:sz w:val="20"/>
          <w:szCs w:val="20"/>
        </w:rPr>
      </w:pPr>
      <w:r>
        <w:rPr>
          <w:rFonts w:ascii="Palatino" w:hAnsi="Palatino" w:cs="Palatino"/>
          <w:color w:val="000000"/>
          <w:sz w:val="20"/>
          <w:szCs w:val="20"/>
        </w:rPr>
        <w:t xml:space="preserve">IALA has published internal guidelines on the preparation of a Workshop or Conference. Approval to convene a Workshop or Seminar may be given by the Council on the recommendation of the Secretary General. </w:t>
      </w:r>
    </w:p>
    <w:p w14:paraId="47CED258"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1.5 IALA Publications </w:t>
      </w:r>
    </w:p>
    <w:p w14:paraId="64686138" w14:textId="77777777" w:rsidR="00541A14" w:rsidRDefault="00A450E1">
      <w:pPr>
        <w:pStyle w:val="CM165"/>
        <w:spacing w:after="85" w:line="300" w:lineRule="atLeast"/>
        <w:ind w:right="1397"/>
        <w:rPr>
          <w:rFonts w:ascii="Palatino" w:hAnsi="Palatino" w:cs="Palatino"/>
          <w:color w:val="000000"/>
          <w:sz w:val="20"/>
          <w:szCs w:val="20"/>
        </w:rPr>
      </w:pPr>
      <w:r>
        <w:rPr>
          <w:rFonts w:ascii="Palatino" w:hAnsi="Palatino" w:cs="Palatino"/>
          <w:color w:val="000000"/>
          <w:sz w:val="20"/>
          <w:szCs w:val="20"/>
        </w:rPr>
        <w:t xml:space="preserve">IALA is responsible to its membership for production of a comprehensive set of publications that have the primary objective of facilitating a uniform approach to marine signalling systems worldwide. The types of publications include: </w:t>
      </w:r>
    </w:p>
    <w:p w14:paraId="136686BA" w14:textId="77777777" w:rsidR="00541A14" w:rsidRDefault="00A450E1">
      <w:pPr>
        <w:pStyle w:val="CM165"/>
        <w:spacing w:after="85" w:line="291" w:lineRule="atLeast"/>
        <w:ind w:right="1095"/>
        <w:rPr>
          <w:rFonts w:ascii="Palatino" w:hAnsi="Palatino" w:cs="Palatino"/>
          <w:color w:val="000000"/>
          <w:sz w:val="20"/>
          <w:szCs w:val="20"/>
        </w:rPr>
      </w:pPr>
      <w:r>
        <w:rPr>
          <w:rFonts w:ascii="Palatino" w:hAnsi="Palatino" w:cs="Palatino"/>
          <w:b/>
          <w:bCs/>
          <w:color w:val="000000"/>
          <w:sz w:val="20"/>
          <w:szCs w:val="20"/>
        </w:rPr>
        <w:t xml:space="preserve">IAlA Recommendations: </w:t>
      </w:r>
      <w:r>
        <w:rPr>
          <w:rFonts w:ascii="Palatino" w:hAnsi="Palatino" w:cs="Palatino"/>
          <w:color w:val="000000"/>
          <w:sz w:val="20"/>
          <w:szCs w:val="20"/>
        </w:rPr>
        <w:t xml:space="preserve">These documents represent the highest level of IALA documentation equivalent to a ‘standard’ in an intergovernmental organization). Recommendations provide direction to IALA members on uniform procedures and processes that will facilitate IALA objectives. IALA recommendations contain information on how members should plan, operate and manage Aids to Navigation. Recommendations may reference relevant International Standards and IALA Guidelines. </w:t>
      </w:r>
    </w:p>
    <w:p w14:paraId="5F4B37D4" w14:textId="77777777" w:rsidR="00541A14" w:rsidRDefault="00A450E1">
      <w:pPr>
        <w:pStyle w:val="CM4"/>
        <w:rPr>
          <w:rFonts w:ascii="Palatino" w:hAnsi="Palatino" w:cs="Palatino"/>
          <w:color w:val="000000"/>
          <w:sz w:val="20"/>
          <w:szCs w:val="20"/>
        </w:rPr>
      </w:pPr>
      <w:r>
        <w:rPr>
          <w:rFonts w:ascii="Palatino" w:hAnsi="Palatino" w:cs="Palatino"/>
          <w:b/>
          <w:bCs/>
          <w:color w:val="000000"/>
          <w:sz w:val="20"/>
          <w:szCs w:val="20"/>
        </w:rPr>
        <w:t>IAlA Guidelines:</w:t>
      </w:r>
      <w:r>
        <w:rPr>
          <w:rFonts w:ascii="Palatino" w:hAnsi="Palatino" w:cs="Palatino"/>
          <w:color w:val="000000"/>
          <w:sz w:val="20"/>
          <w:szCs w:val="20"/>
        </w:rPr>
        <w:t xml:space="preserve"> These documents provide detailed information on an aspect of a specific </w:t>
      </w:r>
    </w:p>
    <w:p w14:paraId="63A9AAF0"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subject, indicating options, best practices and suggestions for implementation. IALA Guidelines relate to planning, operating and managing Aids to Navigation. </w:t>
      </w:r>
    </w:p>
    <w:p w14:paraId="7F0F9ABE" w14:textId="77777777" w:rsidR="00541A14" w:rsidRDefault="00A450E1">
      <w:pPr>
        <w:pStyle w:val="CM179"/>
        <w:spacing w:after="2595" w:line="291" w:lineRule="atLeast"/>
        <w:rPr>
          <w:rFonts w:ascii="Palatino" w:hAnsi="Palatino" w:cs="Palatino"/>
          <w:color w:val="000000"/>
          <w:sz w:val="20"/>
          <w:szCs w:val="20"/>
        </w:rPr>
      </w:pPr>
      <w:r>
        <w:rPr>
          <w:rFonts w:ascii="Palatino" w:hAnsi="Palatino" w:cs="Palatino"/>
          <w:b/>
          <w:bCs/>
          <w:color w:val="000000"/>
          <w:sz w:val="20"/>
          <w:szCs w:val="20"/>
        </w:rPr>
        <w:t>IAlA manuals:</w:t>
      </w:r>
      <w:r>
        <w:rPr>
          <w:rFonts w:ascii="Palatino" w:hAnsi="Palatino" w:cs="Palatino"/>
          <w:color w:val="000000"/>
          <w:sz w:val="20"/>
          <w:szCs w:val="20"/>
        </w:rPr>
        <w:t xml:space="preserve"> These documents provide an overall view of a large subject area. Whilst aimed at introducing a subject to a widely varied readership, reference is also made to IALA Guidelines and IALA Recommendations, as well as other related international documents, as an indicator of further study. </w:t>
      </w:r>
    </w:p>
    <w:p w14:paraId="14B057E6" w14:textId="77777777" w:rsidR="00541A14" w:rsidRDefault="00DD420F">
      <w:pPr>
        <w:pStyle w:val="Default"/>
        <w:framePr w:w="3521" w:wrap="auto" w:vAnchor="page" w:hAnchor="page" w:x="9184" w:y="2559"/>
        <w:spacing w:after="4060"/>
        <w:rPr>
          <w:rFonts w:ascii="Palatino" w:hAnsi="Palatino" w:cs="Palatino"/>
          <w:sz w:val="20"/>
          <w:szCs w:val="20"/>
        </w:rPr>
      </w:pPr>
      <w:r>
        <w:rPr>
          <w:rFonts w:ascii="Palatino" w:hAnsi="Palatino" w:cs="Palatino"/>
          <w:noProof/>
          <w:sz w:val="20"/>
          <w:szCs w:val="20"/>
        </w:rPr>
        <w:drawing>
          <wp:inline distT="0" distB="0" distL="0" distR="0" wp14:anchorId="53748B39" wp14:editId="390DF7C7">
            <wp:extent cx="1726565" cy="608266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26565" cy="6082665"/>
                    </a:xfrm>
                    <a:prstGeom prst="rect">
                      <a:avLst/>
                    </a:prstGeom>
                    <a:noFill/>
                    <a:ln>
                      <a:noFill/>
                    </a:ln>
                  </pic:spPr>
                </pic:pic>
              </a:graphicData>
            </a:graphic>
          </wp:inline>
        </w:drawing>
      </w:r>
    </w:p>
    <w:p w14:paraId="4C28C32F" w14:textId="77777777" w:rsidR="00541A14" w:rsidRDefault="00DD420F">
      <w:pPr>
        <w:pStyle w:val="Default"/>
        <w:framePr w:w="10730" w:wrap="auto" w:vAnchor="page" w:hAnchor="page" w:x="608" w:y="16298"/>
        <w:rPr>
          <w:rFonts w:ascii="Palatino" w:hAnsi="Palatino" w:cs="Palatino"/>
          <w:sz w:val="20"/>
          <w:szCs w:val="20"/>
        </w:rPr>
      </w:pPr>
      <w:r>
        <w:rPr>
          <w:rFonts w:ascii="Palatino" w:hAnsi="Palatino" w:cs="Palatino"/>
          <w:noProof/>
          <w:sz w:val="20"/>
          <w:szCs w:val="20"/>
        </w:rPr>
        <w:drawing>
          <wp:inline distT="0" distB="0" distL="0" distR="0" wp14:anchorId="67E7609C" wp14:editId="32724047">
            <wp:extent cx="7553960" cy="4089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53960" cy="408940"/>
                    </a:xfrm>
                    <a:prstGeom prst="rect">
                      <a:avLst/>
                    </a:prstGeom>
                    <a:noFill/>
                    <a:ln>
                      <a:noFill/>
                    </a:ln>
                  </pic:spPr>
                </pic:pic>
              </a:graphicData>
            </a:graphic>
          </wp:inline>
        </w:drawing>
      </w:r>
    </w:p>
    <w:p w14:paraId="52D4B77E" w14:textId="77777777" w:rsidR="00541A14" w:rsidRDefault="00DD420F">
      <w:pPr>
        <w:pStyle w:val="Default"/>
        <w:pageBreakBefore/>
        <w:framePr w:w="12875" w:wrap="auto" w:vAnchor="page" w:hAnchor="page" w:x="101" w:y="1"/>
        <w:spacing w:after="980"/>
        <w:rPr>
          <w:rFonts w:ascii="Palatino" w:hAnsi="Palatino" w:cs="Palatino"/>
          <w:sz w:val="20"/>
          <w:szCs w:val="20"/>
        </w:rPr>
      </w:pPr>
      <w:r>
        <w:rPr>
          <w:rFonts w:ascii="Palatino" w:hAnsi="Palatino" w:cs="Palatino"/>
          <w:noProof/>
          <w:sz w:val="20"/>
          <w:szCs w:val="20"/>
        </w:rPr>
        <w:drawing>
          <wp:inline distT="0" distB="0" distL="0" distR="0" wp14:anchorId="6418A414" wp14:editId="205B8DA0">
            <wp:extent cx="7553960" cy="97663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53960" cy="976630"/>
                    </a:xfrm>
                    <a:prstGeom prst="rect">
                      <a:avLst/>
                    </a:prstGeom>
                    <a:noFill/>
                    <a:ln>
                      <a:noFill/>
                    </a:ln>
                  </pic:spPr>
                </pic:pic>
              </a:graphicData>
            </a:graphic>
          </wp:inline>
        </w:drawing>
      </w:r>
    </w:p>
    <w:p w14:paraId="4590394F" w14:textId="77777777" w:rsidR="00541A14" w:rsidRDefault="00A450E1">
      <w:pPr>
        <w:pStyle w:val="CM165"/>
        <w:spacing w:after="85" w:line="251" w:lineRule="atLeast"/>
        <w:rPr>
          <w:rFonts w:ascii="Palatino" w:hAnsi="Palatino" w:cs="Palatino"/>
          <w:color w:val="000000"/>
          <w:sz w:val="20"/>
          <w:szCs w:val="20"/>
        </w:rPr>
      </w:pPr>
      <w:r>
        <w:rPr>
          <w:rFonts w:ascii="Palatino" w:hAnsi="Palatino" w:cs="Palatino"/>
          <w:color w:val="000000"/>
          <w:sz w:val="20"/>
          <w:szCs w:val="20"/>
        </w:rPr>
        <w:t xml:space="preserve">IALA publications are governed by a set of principles including: </w:t>
      </w:r>
    </w:p>
    <w:p w14:paraId="48F3720D" w14:textId="77777777" w:rsidR="00541A14" w:rsidRDefault="00A450E1">
      <w:pPr>
        <w:pStyle w:val="CM165"/>
        <w:spacing w:after="85" w:line="268" w:lineRule="atLeast"/>
        <w:ind w:right="250"/>
        <w:rPr>
          <w:rFonts w:ascii="Palatino" w:hAnsi="Palatino" w:cs="Palatino"/>
          <w:color w:val="000000"/>
          <w:sz w:val="20"/>
          <w:szCs w:val="20"/>
        </w:rPr>
      </w:pPr>
      <w:r>
        <w:rPr>
          <w:rFonts w:ascii="Palatino" w:hAnsi="Palatino" w:cs="Palatino"/>
          <w:b/>
          <w:bCs/>
          <w:color w:val="000000"/>
          <w:sz w:val="20"/>
          <w:szCs w:val="20"/>
        </w:rPr>
        <w:t>Usability</w:t>
      </w:r>
      <w:r>
        <w:rPr>
          <w:rFonts w:ascii="Palatino" w:hAnsi="Palatino" w:cs="Palatino"/>
          <w:color w:val="000000"/>
          <w:sz w:val="20"/>
          <w:szCs w:val="20"/>
        </w:rPr>
        <w:t xml:space="preserve"> – the system should be as intuitive as possible, be inclusive for all IALA documents while maintaining the existing numbering scheme for IALA Recommendations; </w:t>
      </w:r>
    </w:p>
    <w:p w14:paraId="3E6B3B35" w14:textId="77777777" w:rsidR="00541A14" w:rsidRDefault="00A450E1">
      <w:pPr>
        <w:pStyle w:val="CM165"/>
        <w:spacing w:after="85" w:line="268" w:lineRule="atLeast"/>
        <w:ind w:right="250"/>
        <w:rPr>
          <w:rFonts w:ascii="Palatino" w:hAnsi="Palatino" w:cs="Palatino"/>
          <w:color w:val="000000"/>
          <w:sz w:val="20"/>
          <w:szCs w:val="20"/>
        </w:rPr>
      </w:pPr>
      <w:r>
        <w:rPr>
          <w:rFonts w:ascii="Palatino" w:hAnsi="Palatino" w:cs="Palatino"/>
          <w:b/>
          <w:bCs/>
          <w:color w:val="000000"/>
          <w:sz w:val="20"/>
          <w:szCs w:val="20"/>
        </w:rPr>
        <w:t xml:space="preserve">Visibility </w:t>
      </w:r>
      <w:r>
        <w:rPr>
          <w:rFonts w:ascii="Palatino" w:hAnsi="Palatino" w:cs="Palatino"/>
          <w:color w:val="000000"/>
          <w:sz w:val="20"/>
          <w:szCs w:val="20"/>
        </w:rPr>
        <w:t xml:space="preserve">- presentation of documents should present a ‘common look and feel’, providing a visual indication of an IALA document, as well as a visual clue as to the type of IALA document; </w:t>
      </w:r>
    </w:p>
    <w:p w14:paraId="32CB3BF8" w14:textId="77777777" w:rsidR="00541A14" w:rsidRDefault="00A450E1">
      <w:pPr>
        <w:pStyle w:val="CM165"/>
        <w:spacing w:after="85" w:line="268" w:lineRule="atLeast"/>
        <w:ind w:right="352"/>
        <w:rPr>
          <w:rFonts w:ascii="Palatino" w:hAnsi="Palatino" w:cs="Palatino"/>
          <w:color w:val="000000"/>
          <w:sz w:val="20"/>
          <w:szCs w:val="20"/>
        </w:rPr>
      </w:pPr>
      <w:r>
        <w:rPr>
          <w:rFonts w:ascii="Palatino" w:hAnsi="Palatino" w:cs="Palatino"/>
          <w:b/>
          <w:bCs/>
          <w:color w:val="000000"/>
          <w:sz w:val="20"/>
          <w:szCs w:val="20"/>
        </w:rPr>
        <w:t>Validity</w:t>
      </w:r>
      <w:r>
        <w:rPr>
          <w:rFonts w:ascii="Palatino" w:hAnsi="Palatino" w:cs="Palatino"/>
          <w:color w:val="000000"/>
          <w:sz w:val="20"/>
          <w:szCs w:val="20"/>
        </w:rPr>
        <w:t xml:space="preserve"> - the date of issue and date of amendment/edition should be clearly visible to ensure that members have the most up-to-date information available; </w:t>
      </w:r>
    </w:p>
    <w:p w14:paraId="39C85928" w14:textId="77777777" w:rsidR="00541A14" w:rsidRDefault="00A450E1">
      <w:pPr>
        <w:pStyle w:val="CM185"/>
        <w:spacing w:after="140" w:line="291" w:lineRule="atLeast"/>
        <w:ind w:right="107"/>
        <w:rPr>
          <w:rFonts w:ascii="Palatino" w:hAnsi="Palatino" w:cs="Palatino"/>
          <w:color w:val="000000"/>
          <w:sz w:val="20"/>
          <w:szCs w:val="20"/>
        </w:rPr>
      </w:pPr>
      <w:r>
        <w:rPr>
          <w:rFonts w:ascii="Palatino" w:hAnsi="Palatino" w:cs="Palatino"/>
          <w:b/>
          <w:bCs/>
          <w:color w:val="000000"/>
          <w:sz w:val="20"/>
          <w:szCs w:val="20"/>
        </w:rPr>
        <w:t>Availability</w:t>
      </w:r>
      <w:r>
        <w:rPr>
          <w:rFonts w:ascii="Palatino" w:hAnsi="Palatino" w:cs="Palatino"/>
          <w:color w:val="000000"/>
          <w:sz w:val="20"/>
          <w:szCs w:val="20"/>
        </w:rPr>
        <w:t xml:space="preserve"> - documentation related to the safety of navigation should ideally be provided to all who have need of the information – i.e. available, in electronic form, at no charge for download from the IALA web. </w:t>
      </w:r>
    </w:p>
    <w:p w14:paraId="561138FC"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For more information refer to internal </w:t>
      </w:r>
      <w:r>
        <w:rPr>
          <w:rFonts w:ascii="Palatino" w:hAnsi="Palatino" w:cs="Palatino"/>
          <w:i/>
          <w:iCs/>
          <w:color w:val="000000"/>
          <w:sz w:val="20"/>
          <w:szCs w:val="20"/>
        </w:rPr>
        <w:t>Recommendation on IALA Documentation Hierarchy</w:t>
      </w:r>
      <w:r>
        <w:rPr>
          <w:rFonts w:ascii="Palatino" w:hAnsi="Palatino" w:cs="Palatino"/>
          <w:color w:val="000000"/>
          <w:sz w:val="20"/>
          <w:szCs w:val="20"/>
        </w:rPr>
        <w:t xml:space="preserve">. </w:t>
      </w:r>
    </w:p>
    <w:p w14:paraId="6DC3F323"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1.5.1 IALA Recommendations </w:t>
      </w:r>
    </w:p>
    <w:p w14:paraId="11536C8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IALA Recommendations represent the highest level of IALA documentation.  Recommendations provide direction to IALA members on uniform procedures and processes that will facilitate IALA objectives. IALA recommendations contain information on how the members should plan, operate and manage Aids to Navigation and may reference relevant International Standards and IALA Guidelines. </w:t>
      </w:r>
    </w:p>
    <w:p w14:paraId="4876E5E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Recommendations are identified by an alphanumeric (hundred series) number: </w:t>
      </w:r>
    </w:p>
    <w:p w14:paraId="145DF874" w14:textId="77777777" w:rsidR="00541A14" w:rsidRDefault="00A450E1">
      <w:pPr>
        <w:pStyle w:val="Default"/>
        <w:numPr>
          <w:ilvl w:val="0"/>
          <w:numId w:val="12"/>
        </w:numPr>
        <w:rPr>
          <w:rFonts w:ascii="Palatino" w:hAnsi="Palatino" w:cs="Palatino"/>
          <w:sz w:val="20"/>
          <w:szCs w:val="20"/>
        </w:rPr>
      </w:pPr>
      <w:r>
        <w:rPr>
          <w:rFonts w:ascii="Palatino" w:hAnsi="Palatino" w:cs="Palatino"/>
          <w:b/>
          <w:bCs/>
          <w:sz w:val="20"/>
          <w:szCs w:val="20"/>
        </w:rPr>
        <w:t>A</w:t>
      </w:r>
      <w:r>
        <w:rPr>
          <w:rFonts w:ascii="Palatino" w:hAnsi="Palatino" w:cs="Palatino"/>
          <w:sz w:val="20"/>
          <w:szCs w:val="20"/>
        </w:rPr>
        <w:t xml:space="preserve">-### representing recommendations relating to AIS issues. </w:t>
      </w:r>
    </w:p>
    <w:p w14:paraId="74113C73" w14:textId="77777777" w:rsidR="00541A14" w:rsidRDefault="00A450E1">
      <w:pPr>
        <w:pStyle w:val="Default"/>
        <w:numPr>
          <w:ilvl w:val="0"/>
          <w:numId w:val="12"/>
        </w:numPr>
        <w:rPr>
          <w:rFonts w:ascii="Palatino" w:hAnsi="Palatino" w:cs="Palatino"/>
          <w:sz w:val="20"/>
          <w:szCs w:val="20"/>
        </w:rPr>
      </w:pPr>
      <w:r>
        <w:rPr>
          <w:rFonts w:ascii="Palatino" w:hAnsi="Palatino" w:cs="Palatino"/>
          <w:b/>
          <w:bCs/>
          <w:sz w:val="20"/>
          <w:szCs w:val="20"/>
        </w:rPr>
        <w:t>E</w:t>
      </w:r>
      <w:r>
        <w:rPr>
          <w:rFonts w:ascii="Palatino" w:hAnsi="Palatino" w:cs="Palatino"/>
          <w:sz w:val="20"/>
          <w:szCs w:val="20"/>
        </w:rPr>
        <w:t xml:space="preserve">-### representing recommendations relating to Engineering and Environmental issues. </w:t>
      </w:r>
    </w:p>
    <w:p w14:paraId="5448FE76" w14:textId="77777777" w:rsidR="00541A14" w:rsidRDefault="00A450E1">
      <w:pPr>
        <w:pStyle w:val="Default"/>
        <w:numPr>
          <w:ilvl w:val="0"/>
          <w:numId w:val="12"/>
        </w:numPr>
        <w:rPr>
          <w:rFonts w:ascii="Palatino" w:hAnsi="Palatino" w:cs="Palatino"/>
          <w:sz w:val="20"/>
          <w:szCs w:val="20"/>
        </w:rPr>
      </w:pPr>
      <w:r>
        <w:rPr>
          <w:rFonts w:ascii="Palatino" w:hAnsi="Palatino" w:cs="Palatino"/>
          <w:b/>
          <w:bCs/>
          <w:sz w:val="20"/>
          <w:szCs w:val="20"/>
        </w:rPr>
        <w:t>e-NAV</w:t>
      </w:r>
      <w:r>
        <w:rPr>
          <w:rFonts w:ascii="Palatino" w:hAnsi="Palatino" w:cs="Palatino"/>
          <w:sz w:val="20"/>
          <w:szCs w:val="20"/>
        </w:rPr>
        <w:t xml:space="preserve">-### representing recommendations relating to e-Navigation issues. </w:t>
      </w:r>
    </w:p>
    <w:p w14:paraId="0F56EA48" w14:textId="77777777" w:rsidR="00541A14" w:rsidRDefault="00A450E1">
      <w:pPr>
        <w:pStyle w:val="Default"/>
        <w:numPr>
          <w:ilvl w:val="0"/>
          <w:numId w:val="12"/>
        </w:numPr>
        <w:rPr>
          <w:rFonts w:ascii="Palatino" w:hAnsi="Palatino" w:cs="Palatino"/>
          <w:sz w:val="20"/>
          <w:szCs w:val="20"/>
        </w:rPr>
      </w:pPr>
      <w:r>
        <w:rPr>
          <w:rFonts w:ascii="Palatino" w:hAnsi="Palatino" w:cs="Palatino"/>
          <w:b/>
          <w:bCs/>
          <w:sz w:val="20"/>
          <w:szCs w:val="20"/>
        </w:rPr>
        <w:t>H</w:t>
      </w:r>
      <w:r>
        <w:rPr>
          <w:rFonts w:ascii="Palatino" w:hAnsi="Palatino" w:cs="Palatino"/>
          <w:sz w:val="20"/>
          <w:szCs w:val="20"/>
        </w:rPr>
        <w:t xml:space="preserve">-### representing recommendations relating to Heritage issues (i.e. Lighthouse Preservation). </w:t>
      </w:r>
    </w:p>
    <w:p w14:paraId="146697D6" w14:textId="77777777" w:rsidR="00541A14" w:rsidRDefault="00A450E1">
      <w:pPr>
        <w:pStyle w:val="Default"/>
        <w:numPr>
          <w:ilvl w:val="0"/>
          <w:numId w:val="12"/>
        </w:numPr>
        <w:rPr>
          <w:rFonts w:ascii="Palatino" w:hAnsi="Palatino" w:cs="Palatino"/>
          <w:sz w:val="20"/>
          <w:szCs w:val="20"/>
        </w:rPr>
      </w:pPr>
      <w:r>
        <w:rPr>
          <w:rFonts w:ascii="Palatino" w:hAnsi="Palatino" w:cs="Palatino"/>
          <w:b/>
          <w:bCs/>
          <w:sz w:val="20"/>
          <w:szCs w:val="20"/>
        </w:rPr>
        <w:t>O</w:t>
      </w:r>
      <w:r>
        <w:rPr>
          <w:rFonts w:ascii="Palatino" w:hAnsi="Palatino" w:cs="Palatino"/>
          <w:sz w:val="20"/>
          <w:szCs w:val="20"/>
        </w:rPr>
        <w:t xml:space="preserve">-### representing recommendations relating to Operational and Management issues. </w:t>
      </w:r>
    </w:p>
    <w:p w14:paraId="3EDBB1C0" w14:textId="77777777" w:rsidR="00541A14" w:rsidRDefault="00A450E1">
      <w:pPr>
        <w:pStyle w:val="Default"/>
        <w:numPr>
          <w:ilvl w:val="0"/>
          <w:numId w:val="12"/>
        </w:numPr>
        <w:rPr>
          <w:rFonts w:ascii="Palatino" w:hAnsi="Palatino" w:cs="Palatino"/>
          <w:sz w:val="20"/>
          <w:szCs w:val="20"/>
        </w:rPr>
      </w:pPr>
      <w:r>
        <w:rPr>
          <w:rFonts w:ascii="Palatino" w:hAnsi="Palatino" w:cs="Palatino"/>
          <w:b/>
          <w:bCs/>
          <w:sz w:val="20"/>
          <w:szCs w:val="20"/>
        </w:rPr>
        <w:t>R</w:t>
      </w:r>
      <w:r>
        <w:rPr>
          <w:rFonts w:ascii="Palatino" w:hAnsi="Palatino" w:cs="Palatino"/>
          <w:sz w:val="20"/>
          <w:szCs w:val="20"/>
        </w:rPr>
        <w:t xml:space="preserve">-### representing recommendations relating to Radio-navigation issues. </w:t>
      </w:r>
    </w:p>
    <w:p w14:paraId="0D3EF7C2" w14:textId="77777777" w:rsidR="00541A14" w:rsidRDefault="00A450E1">
      <w:pPr>
        <w:pStyle w:val="Default"/>
        <w:numPr>
          <w:ilvl w:val="0"/>
          <w:numId w:val="12"/>
        </w:numPr>
        <w:rPr>
          <w:rFonts w:ascii="Palatino" w:hAnsi="Palatino" w:cs="Palatino"/>
          <w:sz w:val="20"/>
          <w:szCs w:val="20"/>
        </w:rPr>
      </w:pPr>
      <w:r>
        <w:rPr>
          <w:rFonts w:ascii="Palatino" w:hAnsi="Palatino" w:cs="Palatino"/>
          <w:b/>
          <w:bCs/>
          <w:sz w:val="20"/>
          <w:szCs w:val="20"/>
        </w:rPr>
        <w:t>V</w:t>
      </w:r>
      <w:r>
        <w:rPr>
          <w:rFonts w:ascii="Palatino" w:hAnsi="Palatino" w:cs="Palatino"/>
          <w:sz w:val="20"/>
          <w:szCs w:val="20"/>
        </w:rPr>
        <w:t xml:space="preserve">-### representing recommendations relating to VTS issues. </w:t>
      </w:r>
    </w:p>
    <w:p w14:paraId="43B37B42" w14:textId="77777777" w:rsidR="00541A14" w:rsidRDefault="00541A14">
      <w:pPr>
        <w:pStyle w:val="Default"/>
        <w:rPr>
          <w:rFonts w:ascii="Palatino" w:hAnsi="Palatino" w:cs="Palatino"/>
          <w:sz w:val="20"/>
          <w:szCs w:val="20"/>
        </w:rPr>
      </w:pPr>
    </w:p>
    <w:p w14:paraId="578C6C24"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IALA Recommendations are available in PDF format on the IALA website, for download by interested parties, free of charge. (www.iala-aism.org) </w:t>
      </w:r>
    </w:p>
    <w:p w14:paraId="411D80C3"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There is an implicit expectation that individual national members will observe and implement </w:t>
      </w:r>
    </w:p>
    <w:p w14:paraId="23E190F5" w14:textId="77777777" w:rsidR="00541A14" w:rsidRDefault="00A450E1">
      <w:pPr>
        <w:pStyle w:val="CM173"/>
        <w:spacing w:after="340" w:line="293" w:lineRule="atLeast"/>
        <w:ind w:left="300"/>
        <w:rPr>
          <w:rFonts w:ascii="Palatino" w:hAnsi="Palatino" w:cs="Palatino"/>
          <w:color w:val="000000"/>
          <w:sz w:val="20"/>
          <w:szCs w:val="20"/>
        </w:rPr>
      </w:pPr>
      <w:r>
        <w:rPr>
          <w:rFonts w:ascii="Palatino" w:hAnsi="Palatino" w:cs="Palatino"/>
          <w:color w:val="000000"/>
          <w:sz w:val="20"/>
          <w:szCs w:val="20"/>
        </w:rPr>
        <w:t xml:space="preserve">IALA Recommendations. </w:t>
      </w:r>
    </w:p>
    <w:p w14:paraId="1F82D1DC"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1.5.2 IALA Guidelines </w:t>
      </w:r>
    </w:p>
    <w:p w14:paraId="78B9AA0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These documents provide detailed, in-depth information on an aspect of a specific subject, indicating </w:t>
      </w:r>
    </w:p>
    <w:p w14:paraId="05BBD457"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options, best practices and suggestions for implementation. IALA Guidelines relate to planning, operations and managing Aids to Navigation. </w:t>
      </w:r>
    </w:p>
    <w:p w14:paraId="11CDB758"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Guidelines are identified with a sequential numerical reference (thousand series), but with no letter indication. They continue to be identified by their title – e.g. ‘IALA Guideline 1035 on Availability and Reliability of Aids to Navigation’.  </w:t>
      </w:r>
    </w:p>
    <w:p w14:paraId="1BFF651E"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IALA Guidelines are available in pdf format on the IALA website, for download by interested </w:t>
      </w:r>
    </w:p>
    <w:p w14:paraId="2FD6E194" w14:textId="77777777" w:rsidR="00541A14" w:rsidRDefault="00A450E1">
      <w:pPr>
        <w:pStyle w:val="CM180"/>
        <w:spacing w:after="732" w:line="293" w:lineRule="atLeast"/>
        <w:ind w:left="300"/>
        <w:rPr>
          <w:rFonts w:ascii="Palatino" w:hAnsi="Palatino" w:cs="Palatino"/>
          <w:color w:val="000000"/>
          <w:sz w:val="20"/>
          <w:szCs w:val="20"/>
        </w:rPr>
      </w:pPr>
      <w:r>
        <w:rPr>
          <w:rFonts w:ascii="Palatino" w:hAnsi="Palatino" w:cs="Palatino"/>
          <w:color w:val="000000"/>
          <w:sz w:val="20"/>
          <w:szCs w:val="20"/>
        </w:rPr>
        <w:t xml:space="preserve">parties, free of charge. (www.iala-aism.org) </w:t>
      </w:r>
    </w:p>
    <w:p w14:paraId="6198AEA6" w14:textId="77777777" w:rsidR="00541A14" w:rsidRDefault="00DD420F">
      <w:pPr>
        <w:pStyle w:val="Default"/>
        <w:framePr w:w="10739" w:wrap="auto" w:vAnchor="page" w:hAnchor="page" w:x="1434" w:y="16298"/>
        <w:rPr>
          <w:rFonts w:ascii="Palatino" w:hAnsi="Palatino" w:cs="Palatino"/>
          <w:sz w:val="20"/>
          <w:szCs w:val="20"/>
        </w:rPr>
      </w:pPr>
      <w:r>
        <w:rPr>
          <w:rFonts w:ascii="Palatino" w:hAnsi="Palatino" w:cs="Palatino"/>
          <w:noProof/>
          <w:sz w:val="20"/>
          <w:szCs w:val="20"/>
        </w:rPr>
        <w:drawing>
          <wp:inline distT="0" distB="0" distL="0" distR="0" wp14:anchorId="7354FE5A" wp14:editId="1EAEAAA0">
            <wp:extent cx="7542530" cy="40894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542530" cy="408940"/>
                    </a:xfrm>
                    <a:prstGeom prst="rect">
                      <a:avLst/>
                    </a:prstGeom>
                    <a:noFill/>
                    <a:ln>
                      <a:noFill/>
                    </a:ln>
                  </pic:spPr>
                </pic:pic>
              </a:graphicData>
            </a:graphic>
          </wp:inline>
        </w:drawing>
      </w:r>
    </w:p>
    <w:p w14:paraId="397105E0" w14:textId="77777777" w:rsidR="00541A14" w:rsidRDefault="00DD420F">
      <w:pPr>
        <w:pStyle w:val="Default"/>
        <w:pageBreakBefore/>
        <w:framePr w:w="24781" w:wrap="auto" w:vAnchor="page" w:hAnchor="page" w:x="101" w:y="1"/>
        <w:spacing w:after="960"/>
        <w:rPr>
          <w:rFonts w:ascii="Palatino" w:hAnsi="Palatino" w:cs="Palatino"/>
          <w:sz w:val="20"/>
          <w:szCs w:val="20"/>
        </w:rPr>
      </w:pPr>
      <w:r>
        <w:rPr>
          <w:rFonts w:ascii="Palatino" w:hAnsi="Palatino" w:cs="Palatino"/>
          <w:noProof/>
          <w:sz w:val="20"/>
          <w:szCs w:val="20"/>
        </w:rPr>
        <w:drawing>
          <wp:inline distT="0" distB="0" distL="0" distR="0" wp14:anchorId="2DD46D34" wp14:editId="496E3CC1">
            <wp:extent cx="7553960" cy="97663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53960" cy="976630"/>
                    </a:xfrm>
                    <a:prstGeom prst="rect">
                      <a:avLst/>
                    </a:prstGeom>
                    <a:noFill/>
                    <a:ln>
                      <a:noFill/>
                    </a:ln>
                  </pic:spPr>
                </pic:pic>
              </a:graphicData>
            </a:graphic>
          </wp:inline>
        </w:drawing>
      </w:r>
    </w:p>
    <w:p w14:paraId="3FFB279C"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1.5.3 IALA Manuals </w:t>
      </w:r>
    </w:p>
    <w:p w14:paraId="212B5F38" w14:textId="77777777" w:rsidR="00541A14" w:rsidRDefault="00A450E1">
      <w:pPr>
        <w:pStyle w:val="CM172"/>
        <w:spacing w:after="202" w:line="291" w:lineRule="atLeast"/>
        <w:ind w:right="107"/>
        <w:rPr>
          <w:rFonts w:ascii="Palatino" w:hAnsi="Palatino" w:cs="Palatino"/>
          <w:color w:val="000000"/>
          <w:sz w:val="20"/>
          <w:szCs w:val="20"/>
        </w:rPr>
      </w:pPr>
      <w:r>
        <w:rPr>
          <w:rFonts w:ascii="Palatino" w:hAnsi="Palatino" w:cs="Palatino"/>
          <w:color w:val="000000"/>
          <w:sz w:val="20"/>
          <w:szCs w:val="20"/>
        </w:rPr>
        <w:t xml:space="preserve">IALA Manuals provide members, non-members and training institutions with an overall view of a large subject area – for example the NAVGUIDE and the IALA VTS Manual. While introducing the subject to a varied audience, reference is also made to IALA Guidelines and IALA Recommendations, as well as other related international documentation. </w:t>
      </w:r>
    </w:p>
    <w:p w14:paraId="17F0AF21" w14:textId="77777777" w:rsidR="00541A14" w:rsidRDefault="00A450E1">
      <w:pPr>
        <w:pStyle w:val="CM39"/>
        <w:ind w:left="367"/>
        <w:rPr>
          <w:rFonts w:ascii="Palatino" w:hAnsi="Palatino" w:cs="Palatino"/>
          <w:color w:val="000000"/>
          <w:sz w:val="20"/>
          <w:szCs w:val="20"/>
        </w:rPr>
      </w:pPr>
      <w:r>
        <w:rPr>
          <w:rFonts w:ascii="Palatino" w:hAnsi="Palatino" w:cs="Palatino"/>
          <w:color w:val="000000"/>
          <w:sz w:val="20"/>
          <w:szCs w:val="20"/>
        </w:rPr>
        <w:t xml:space="preserve">IALA Manuals are available from IALA Headquarters, at a nominal charge to cover printing </w:t>
      </w:r>
    </w:p>
    <w:p w14:paraId="077B38EB" w14:textId="77777777" w:rsidR="00541A14" w:rsidRDefault="00A450E1">
      <w:pPr>
        <w:pStyle w:val="CM173"/>
        <w:spacing w:after="340" w:line="298" w:lineRule="atLeast"/>
        <w:ind w:left="367"/>
        <w:rPr>
          <w:rFonts w:ascii="Palatino" w:hAnsi="Palatino" w:cs="Palatino"/>
          <w:color w:val="000000"/>
          <w:sz w:val="20"/>
          <w:szCs w:val="20"/>
        </w:rPr>
      </w:pPr>
      <w:r>
        <w:rPr>
          <w:rFonts w:ascii="Palatino" w:hAnsi="Palatino" w:cs="Palatino"/>
          <w:color w:val="000000"/>
          <w:sz w:val="20"/>
          <w:szCs w:val="20"/>
        </w:rPr>
        <w:t xml:space="preserve">and shipping costs. </w:t>
      </w:r>
    </w:p>
    <w:p w14:paraId="1D433E21"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1.5.4 IALA Dictionary </w:t>
      </w:r>
    </w:p>
    <w:p w14:paraId="37B338A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IALA Dictionary (next edition due 2010) provides a listing of words and phrases used to explain and </w:t>
      </w:r>
    </w:p>
    <w:p w14:paraId="71912F23"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describe planning, operations, management, equipment, systems and scientific terms relevant to AtoN. </w:t>
      </w:r>
    </w:p>
    <w:p w14:paraId="69CA5510"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1.5.5 Other Documentation </w:t>
      </w:r>
    </w:p>
    <w:p w14:paraId="122E30B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Other documentation that is available from IALA on request includes: </w:t>
      </w:r>
    </w:p>
    <w:p w14:paraId="110E9CAB" w14:textId="77777777" w:rsidR="00541A14" w:rsidRDefault="00A450E1">
      <w:pPr>
        <w:pStyle w:val="Default"/>
        <w:numPr>
          <w:ilvl w:val="0"/>
          <w:numId w:val="13"/>
        </w:numPr>
        <w:rPr>
          <w:rFonts w:ascii="Palatino" w:hAnsi="Palatino" w:cs="Palatino"/>
          <w:sz w:val="20"/>
          <w:szCs w:val="20"/>
        </w:rPr>
      </w:pPr>
      <w:r>
        <w:rPr>
          <w:rFonts w:ascii="Palatino" w:hAnsi="Palatino" w:cs="Palatino"/>
          <w:sz w:val="20"/>
          <w:szCs w:val="20"/>
        </w:rPr>
        <w:t xml:space="preserve">Conference Proceedings; </w:t>
      </w:r>
    </w:p>
    <w:p w14:paraId="789CFF98" w14:textId="77777777" w:rsidR="00541A14" w:rsidRDefault="00A450E1">
      <w:pPr>
        <w:pStyle w:val="Default"/>
        <w:numPr>
          <w:ilvl w:val="0"/>
          <w:numId w:val="13"/>
        </w:numPr>
        <w:rPr>
          <w:rFonts w:ascii="Palatino" w:hAnsi="Palatino" w:cs="Palatino"/>
          <w:sz w:val="20"/>
          <w:szCs w:val="20"/>
        </w:rPr>
      </w:pPr>
      <w:r>
        <w:rPr>
          <w:rFonts w:ascii="Palatino" w:hAnsi="Palatino" w:cs="Palatino"/>
          <w:sz w:val="20"/>
          <w:szCs w:val="20"/>
        </w:rPr>
        <w:t xml:space="preserve">Reports (meetings, workshops, seminars, etc.); </w:t>
      </w:r>
    </w:p>
    <w:p w14:paraId="3A066241" w14:textId="77777777" w:rsidR="00541A14" w:rsidRDefault="00A450E1">
      <w:pPr>
        <w:pStyle w:val="Default"/>
        <w:numPr>
          <w:ilvl w:val="0"/>
          <w:numId w:val="13"/>
        </w:numPr>
        <w:rPr>
          <w:rFonts w:ascii="Palatino" w:hAnsi="Palatino" w:cs="Palatino"/>
          <w:sz w:val="20"/>
          <w:szCs w:val="20"/>
        </w:rPr>
      </w:pPr>
      <w:r>
        <w:rPr>
          <w:rFonts w:ascii="Palatino" w:hAnsi="Palatino" w:cs="Palatino"/>
          <w:sz w:val="20"/>
          <w:szCs w:val="20"/>
        </w:rPr>
        <w:t xml:space="preserve">IALA Bulletin (a quarterly magazine); and </w:t>
      </w:r>
    </w:p>
    <w:p w14:paraId="21F43128" w14:textId="77777777" w:rsidR="00541A14" w:rsidRDefault="00A450E1">
      <w:pPr>
        <w:pStyle w:val="Default"/>
        <w:numPr>
          <w:ilvl w:val="0"/>
          <w:numId w:val="13"/>
        </w:numPr>
        <w:rPr>
          <w:rFonts w:ascii="Palatino" w:hAnsi="Palatino" w:cs="Palatino"/>
          <w:sz w:val="20"/>
          <w:szCs w:val="20"/>
        </w:rPr>
      </w:pPr>
      <w:r>
        <w:rPr>
          <w:rFonts w:ascii="Palatino" w:hAnsi="Palatino" w:cs="Palatino"/>
          <w:sz w:val="20"/>
          <w:szCs w:val="20"/>
        </w:rPr>
        <w:t xml:space="preserve">IALA List of Publications. </w:t>
      </w:r>
    </w:p>
    <w:p w14:paraId="300E8155" w14:textId="77777777" w:rsidR="00541A14" w:rsidRDefault="00541A14">
      <w:pPr>
        <w:pStyle w:val="Default"/>
        <w:rPr>
          <w:rFonts w:ascii="Palatino" w:hAnsi="Palatino" w:cs="Palatino"/>
          <w:sz w:val="20"/>
          <w:szCs w:val="20"/>
        </w:rPr>
      </w:pPr>
    </w:p>
    <w:p w14:paraId="37845D64"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IALA endeavours to provide all publications at no, or minimal cost. </w:t>
      </w:r>
    </w:p>
    <w:p w14:paraId="6BFF920D"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1.5.6 Related Organisations </w:t>
      </w:r>
    </w:p>
    <w:p w14:paraId="4692FCED"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IALA works in close cooperation with a number of other international maritime organisations to further its objective of harmonising marine AtoN. </w:t>
      </w:r>
    </w:p>
    <w:p w14:paraId="0FFDE1D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International Maritime Organisation (IMO) </w:t>
      </w:r>
    </w:p>
    <w:p w14:paraId="19CDFBD4" w14:textId="77777777" w:rsidR="00541A14" w:rsidRDefault="00A450E1">
      <w:pPr>
        <w:pStyle w:val="CM3"/>
        <w:ind w:right="402"/>
        <w:rPr>
          <w:rFonts w:ascii="Palatino" w:hAnsi="Palatino" w:cs="Palatino"/>
          <w:color w:val="000000"/>
          <w:sz w:val="20"/>
          <w:szCs w:val="20"/>
        </w:rPr>
      </w:pPr>
      <w:r>
        <w:rPr>
          <w:rFonts w:ascii="Palatino" w:hAnsi="Palatino" w:cs="Palatino"/>
          <w:color w:val="000000"/>
          <w:sz w:val="20"/>
          <w:szCs w:val="20"/>
        </w:rPr>
        <w:t xml:space="preserve">The IMO is a specialist agency of the United Nations with 168 Member States and three Associate Members. IMO is based in the United Kingdom with over 300 staff. IMO’s main task is to maintain a comprehensive regulatory framework for shipping. Its remit today includes safety, environment </w:t>
      </w:r>
    </w:p>
    <w:p w14:paraId="0E42BE2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concerns, legal matters, technical cooperation, maritime security and the efficiency of shipping. </w:t>
      </w:r>
    </w:p>
    <w:p w14:paraId="31847764"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IMOs specialised committees and sub-committees are the focus for the technical work to update existing legislation or develop and adopt new regulations. IMO is attended by maritime experts from Member governments and interested intergovernmental and non-government organisations. </w:t>
      </w:r>
    </w:p>
    <w:p w14:paraId="41E4FFC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IMO is responsible for key treaties such as Safety of Life at Sea 1974 (SOLAS), the MARPOL convention for the prevention of pollution by ships and the STCW convention on standards of training of seafarers. </w:t>
      </w:r>
    </w:p>
    <w:p w14:paraId="09358E4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PIANC (The World Association for Waterborne Transport Infrastructure) </w:t>
      </w:r>
    </w:p>
    <w:p w14:paraId="66A0D00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PIANC is a global, non-political and non-profit organisation providing guidance for sustainable </w:t>
      </w:r>
    </w:p>
    <w:p w14:paraId="42587A66" w14:textId="77777777" w:rsidR="00541A14" w:rsidRDefault="00A450E1">
      <w:pPr>
        <w:pStyle w:val="CM162"/>
        <w:spacing w:after="552" w:line="293" w:lineRule="atLeast"/>
        <w:ind w:right="177"/>
        <w:rPr>
          <w:rFonts w:ascii="Palatino" w:hAnsi="Palatino" w:cs="Palatino"/>
          <w:color w:val="000000"/>
          <w:sz w:val="20"/>
          <w:szCs w:val="20"/>
        </w:rPr>
      </w:pPr>
      <w:r>
        <w:rPr>
          <w:rFonts w:ascii="Palatino" w:hAnsi="Palatino" w:cs="Palatino"/>
          <w:color w:val="000000"/>
          <w:sz w:val="20"/>
          <w:szCs w:val="20"/>
        </w:rPr>
        <w:t xml:space="preserve">waterborne transport infrastructure for ports and waterways. PIANC is a forum where professionals around the world join forces to provide expert advice on cost-effective, reliable and sustainable infrastructure to facilitate the growth of waterborne transport. Established in 1885, PIANC is the leading partner for government and private sector in the design, development and maintenance of ports, waterways and coastal areas. Members include national governments and public authorities, corporations and interested individuals. </w:t>
      </w:r>
    </w:p>
    <w:p w14:paraId="575C7232" w14:textId="77777777" w:rsidR="00541A14" w:rsidRDefault="00DD420F">
      <w:pPr>
        <w:pStyle w:val="Default"/>
        <w:framePr w:w="10730" w:wrap="auto" w:vAnchor="page" w:hAnchor="page" w:x="608" w:y="16298"/>
        <w:rPr>
          <w:rFonts w:ascii="Palatino" w:hAnsi="Palatino" w:cs="Palatino"/>
          <w:sz w:val="20"/>
          <w:szCs w:val="20"/>
        </w:rPr>
      </w:pPr>
      <w:r>
        <w:rPr>
          <w:rFonts w:ascii="Palatino" w:hAnsi="Palatino" w:cs="Palatino"/>
          <w:noProof/>
          <w:sz w:val="20"/>
          <w:szCs w:val="20"/>
        </w:rPr>
        <w:drawing>
          <wp:inline distT="0" distB="0" distL="0" distR="0" wp14:anchorId="251DA24A" wp14:editId="7CE7B31E">
            <wp:extent cx="7553960" cy="4089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553960" cy="408940"/>
                    </a:xfrm>
                    <a:prstGeom prst="rect">
                      <a:avLst/>
                    </a:prstGeom>
                    <a:noFill/>
                    <a:ln>
                      <a:noFill/>
                    </a:ln>
                  </pic:spPr>
                </pic:pic>
              </a:graphicData>
            </a:graphic>
          </wp:inline>
        </w:drawing>
      </w:r>
    </w:p>
    <w:p w14:paraId="1095CB86" w14:textId="77777777" w:rsidR="00541A14" w:rsidRDefault="00DD420F">
      <w:pPr>
        <w:pStyle w:val="Default"/>
        <w:pageBreakBefore/>
        <w:framePr w:w="12875" w:wrap="auto" w:vAnchor="page" w:hAnchor="page" w:x="101" w:y="1"/>
        <w:spacing w:after="960"/>
        <w:rPr>
          <w:rFonts w:ascii="Palatino" w:hAnsi="Palatino" w:cs="Palatino"/>
          <w:sz w:val="20"/>
          <w:szCs w:val="20"/>
        </w:rPr>
      </w:pPr>
      <w:r>
        <w:rPr>
          <w:rFonts w:ascii="Palatino" w:hAnsi="Palatino" w:cs="Palatino"/>
          <w:noProof/>
          <w:sz w:val="20"/>
          <w:szCs w:val="20"/>
        </w:rPr>
        <w:drawing>
          <wp:inline distT="0" distB="0" distL="0" distR="0" wp14:anchorId="5FCF759D" wp14:editId="34E001A5">
            <wp:extent cx="7553960" cy="976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53960" cy="976630"/>
                    </a:xfrm>
                    <a:prstGeom prst="rect">
                      <a:avLst/>
                    </a:prstGeom>
                    <a:noFill/>
                    <a:ln>
                      <a:noFill/>
                    </a:ln>
                  </pic:spPr>
                </pic:pic>
              </a:graphicData>
            </a:graphic>
          </wp:inline>
        </w:drawing>
      </w:r>
    </w:p>
    <w:p w14:paraId="5DAD819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International Electrotechnical Commission (IEC) </w:t>
      </w:r>
    </w:p>
    <w:p w14:paraId="645224C5"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 IEC is the leading global organization that prepares and publishes international standards for all electrical, electronic and related technologies. These serve as a basis for national standardisation and as references when drafting international tenders and contracts. </w:t>
      </w:r>
    </w:p>
    <w:p w14:paraId="3E59975F" w14:textId="77777777" w:rsidR="00541A14" w:rsidRDefault="00A450E1">
      <w:pPr>
        <w:pStyle w:val="CM165"/>
        <w:spacing w:after="85" w:line="291" w:lineRule="atLeast"/>
        <w:ind w:right="897"/>
        <w:rPr>
          <w:rFonts w:ascii="Palatino" w:hAnsi="Palatino" w:cs="Palatino"/>
          <w:color w:val="000000"/>
          <w:sz w:val="20"/>
          <w:szCs w:val="20"/>
        </w:rPr>
      </w:pPr>
      <w:r>
        <w:rPr>
          <w:rFonts w:ascii="Palatino" w:hAnsi="Palatino" w:cs="Palatino"/>
          <w:color w:val="000000"/>
          <w:sz w:val="20"/>
          <w:szCs w:val="20"/>
        </w:rPr>
        <w:t xml:space="preserve">The IEC charter embraces all electrotechnologies including electronics, magnetics and electromagnetics, electroacoustics, multimedia, telecommunication, and energy production and distribution, as well as associated general disciplines such as terminology and symbols, electromagnetic compatibility, measurement and performance, dependability, design and development, safety and the environment. </w:t>
      </w:r>
    </w:p>
    <w:p w14:paraId="0E10F06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Further information on the work of the IEC can be found at www.iec.ch/helpline/sitetree/about/ </w:t>
      </w:r>
    </w:p>
    <w:p w14:paraId="3AE27D0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International Telecommunications Union (ITU) </w:t>
      </w:r>
    </w:p>
    <w:p w14:paraId="1DE41DF6"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The ITU is the leading United Nations agency for information and communication technology issues, and the global focal point for governments and the private sector in developing networks and services. Established for approximately 145 years, ITU is based in Geneva, Switzerland, and its membership includes 191 Member States and more than 700 Sector Members and Associates. </w:t>
      </w:r>
    </w:p>
    <w:p w14:paraId="535E2FB9"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ITU coordinates the shared global use of the radio spectrum, promotes international cooperation in assigning satellite orbits, works to improve telecommunication infrastructure in the developing world, establishes the worldwide standards that foster seamless interconnection of a range of communications systems and addresses global challenges, such as mitigating climate change and strengthening cybersecurity. </w:t>
      </w:r>
    </w:p>
    <w:p w14:paraId="5F599F6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International Hydrographic Organization </w:t>
      </w:r>
    </w:p>
    <w:p w14:paraId="0C44178B"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The International Hydrographic Organization is an intergovernmental consultative and technical organization that was established in 1921 to support safety of navigation and the protection of the marine environment. </w:t>
      </w:r>
    </w:p>
    <w:p w14:paraId="2B47F80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object of the Organization is to bring about: the coordination of the activities of national </w:t>
      </w:r>
    </w:p>
    <w:p w14:paraId="0302F7CB"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hydrographic offices; the greatest possible uniformity in nautical charts and documents; the adoption of reliable and efficient methods of carrying out and exploiting hydrographic surveys and the development of the sciences in the field of hydrography and the techniques employed in descriptive </w:t>
      </w:r>
    </w:p>
    <w:p w14:paraId="23E8D2A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oceanography </w:t>
      </w:r>
    </w:p>
    <w:p w14:paraId="35E63B7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official representative of each Member Government within the IHO is normally the national </w:t>
      </w:r>
    </w:p>
    <w:p w14:paraId="5C8348AC" w14:textId="77777777" w:rsidR="00541A14" w:rsidRDefault="00A450E1">
      <w:pPr>
        <w:pStyle w:val="CM167"/>
        <w:spacing w:after="1902" w:line="291" w:lineRule="atLeast"/>
        <w:rPr>
          <w:rFonts w:ascii="Palatino" w:hAnsi="Palatino" w:cs="Palatino"/>
          <w:color w:val="000000"/>
          <w:sz w:val="20"/>
          <w:szCs w:val="20"/>
        </w:rPr>
      </w:pPr>
      <w:r>
        <w:rPr>
          <w:rFonts w:ascii="Palatino" w:hAnsi="Palatino" w:cs="Palatino"/>
          <w:color w:val="000000"/>
          <w:sz w:val="20"/>
          <w:szCs w:val="20"/>
        </w:rPr>
        <w:t xml:space="preserve">Hydrographer, or Director of Hydrography, who, together with their technical staff, meet at 5-yearly intervals in Monaco for an International Hydrographic Conference. The Conference reviews the progress achieved by the Organization through its committees, sub committees and working groups, and adopts the programmes to be pursued during the ensuing 5-year period. A Directing Committee of three senior hydrographers is elected to administer the work of the Organization during that time. The Directing Committee, together with a small international staff of technical experts in hydrography and nautical cartography, makes up the International Hydrographic Bureau in Monaco. The IHB is the secretariat of the IHO, coordinating and promoting the IHO’s programmes and providing advice and assistance to Member States and others. </w:t>
      </w:r>
    </w:p>
    <w:p w14:paraId="3387DA88" w14:textId="77777777" w:rsidR="00541A14" w:rsidRDefault="00DD420F">
      <w:pPr>
        <w:pStyle w:val="Default"/>
        <w:framePr w:w="10713" w:wrap="auto" w:vAnchor="page" w:hAnchor="page" w:x="1434" w:y="16298"/>
        <w:rPr>
          <w:rFonts w:ascii="Palatino" w:hAnsi="Palatino" w:cs="Palatino"/>
          <w:sz w:val="20"/>
          <w:szCs w:val="20"/>
        </w:rPr>
      </w:pPr>
      <w:r>
        <w:rPr>
          <w:rFonts w:ascii="Palatino" w:hAnsi="Palatino" w:cs="Palatino"/>
          <w:noProof/>
          <w:sz w:val="20"/>
          <w:szCs w:val="20"/>
        </w:rPr>
        <w:drawing>
          <wp:inline distT="0" distB="0" distL="0" distR="0" wp14:anchorId="10ABE937" wp14:editId="2E1EA764">
            <wp:extent cx="7542530" cy="408940"/>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542530" cy="408940"/>
                    </a:xfrm>
                    <a:prstGeom prst="rect">
                      <a:avLst/>
                    </a:prstGeom>
                    <a:noFill/>
                    <a:ln>
                      <a:noFill/>
                    </a:ln>
                  </pic:spPr>
                </pic:pic>
              </a:graphicData>
            </a:graphic>
          </wp:inline>
        </w:drawing>
      </w:r>
    </w:p>
    <w:p w14:paraId="7DD76A65" w14:textId="77777777" w:rsidR="00541A14" w:rsidRDefault="00DD420F">
      <w:pPr>
        <w:pStyle w:val="Default"/>
        <w:pageBreakBefore/>
        <w:framePr w:w="24781" w:wrap="auto" w:vAnchor="page" w:hAnchor="page" w:x="101" w:y="1"/>
        <w:spacing w:after="780"/>
        <w:rPr>
          <w:rFonts w:ascii="Palatino" w:hAnsi="Palatino" w:cs="Palatino"/>
          <w:sz w:val="20"/>
          <w:szCs w:val="20"/>
        </w:rPr>
      </w:pPr>
      <w:r>
        <w:rPr>
          <w:rFonts w:ascii="Palatino" w:hAnsi="Palatino" w:cs="Palatino"/>
          <w:noProof/>
          <w:sz w:val="20"/>
          <w:szCs w:val="20"/>
        </w:rPr>
        <w:drawing>
          <wp:inline distT="0" distB="0" distL="0" distR="0" wp14:anchorId="69087AF2" wp14:editId="05618B08">
            <wp:extent cx="7553960" cy="97663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53960" cy="976630"/>
                    </a:xfrm>
                    <a:prstGeom prst="rect">
                      <a:avLst/>
                    </a:prstGeom>
                    <a:noFill/>
                    <a:ln>
                      <a:noFill/>
                    </a:ln>
                  </pic:spPr>
                </pic:pic>
              </a:graphicData>
            </a:graphic>
          </wp:inline>
        </w:drawing>
      </w:r>
    </w:p>
    <w:p w14:paraId="4C19A079" w14:textId="77777777" w:rsidR="00541A14" w:rsidRDefault="00A450E1">
      <w:pPr>
        <w:pStyle w:val="CM172"/>
        <w:spacing w:after="202"/>
        <w:jc w:val="center"/>
        <w:rPr>
          <w:rFonts w:ascii="Futura Book" w:hAnsi="Futura Book" w:cs="Futura Book"/>
          <w:color w:val="2C5062"/>
          <w:sz w:val="22"/>
          <w:szCs w:val="22"/>
        </w:rPr>
      </w:pPr>
      <w:r>
        <w:rPr>
          <w:rFonts w:ascii="Futura Book" w:hAnsi="Futura Book" w:cs="Futura Book"/>
          <w:b/>
          <w:bCs/>
          <w:color w:val="2C5062"/>
          <w:sz w:val="22"/>
          <w:szCs w:val="22"/>
        </w:rPr>
        <w:t xml:space="preserve">Definitions </w:t>
      </w:r>
    </w:p>
    <w:p w14:paraId="0E2E1E7F" w14:textId="77777777" w:rsidR="00541A14" w:rsidRDefault="00DD420F">
      <w:pPr>
        <w:pStyle w:val="Default"/>
        <w:framePr w:w="9910" w:wrap="auto" w:vAnchor="page" w:hAnchor="page" w:x="1393" w:y="2642"/>
        <w:spacing w:after="500"/>
        <w:rPr>
          <w:rFonts w:ascii="Futura Book" w:hAnsi="Futura Book" w:cs="Futura Book"/>
          <w:color w:val="2C5062"/>
          <w:sz w:val="22"/>
          <w:szCs w:val="22"/>
        </w:rPr>
      </w:pPr>
      <w:r>
        <w:rPr>
          <w:rFonts w:ascii="Futura Book" w:hAnsi="Futura Book" w:cs="Futura Book"/>
          <w:noProof/>
          <w:color w:val="2C5062"/>
          <w:sz w:val="22"/>
          <w:szCs w:val="22"/>
        </w:rPr>
        <w:drawing>
          <wp:inline distT="0" distB="0" distL="0" distR="0" wp14:anchorId="0A1F61B7" wp14:editId="70F4589C">
            <wp:extent cx="5753100" cy="8280400"/>
            <wp:effectExtent l="0" t="0" r="1270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3100" cy="8280400"/>
                    </a:xfrm>
                    <a:prstGeom prst="rect">
                      <a:avLst/>
                    </a:prstGeom>
                    <a:noFill/>
                    <a:ln>
                      <a:noFill/>
                    </a:ln>
                  </pic:spPr>
                </pic:pic>
              </a:graphicData>
            </a:graphic>
          </wp:inline>
        </w:drawing>
      </w:r>
    </w:p>
    <w:p w14:paraId="1A54AE21" w14:textId="77777777" w:rsidR="00541A14" w:rsidRDefault="00DD420F">
      <w:pPr>
        <w:pStyle w:val="Default"/>
        <w:framePr w:w="10730" w:wrap="auto" w:vAnchor="page" w:hAnchor="page" w:x="608" w:y="16298"/>
        <w:rPr>
          <w:rFonts w:ascii="Futura Book" w:hAnsi="Futura Book" w:cs="Futura Book"/>
          <w:color w:val="2C5062"/>
          <w:sz w:val="22"/>
          <w:szCs w:val="22"/>
        </w:rPr>
      </w:pPr>
      <w:r>
        <w:rPr>
          <w:rFonts w:ascii="Futura Book" w:hAnsi="Futura Book" w:cs="Futura Book"/>
          <w:noProof/>
          <w:color w:val="2C5062"/>
          <w:sz w:val="22"/>
          <w:szCs w:val="22"/>
        </w:rPr>
        <w:drawing>
          <wp:inline distT="0" distB="0" distL="0" distR="0" wp14:anchorId="68F83C2D" wp14:editId="16296C95">
            <wp:extent cx="7553960" cy="40894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553960" cy="408940"/>
                    </a:xfrm>
                    <a:prstGeom prst="rect">
                      <a:avLst/>
                    </a:prstGeom>
                    <a:noFill/>
                    <a:ln>
                      <a:noFill/>
                    </a:ln>
                  </pic:spPr>
                </pic:pic>
              </a:graphicData>
            </a:graphic>
          </wp:inline>
        </w:drawing>
      </w:r>
    </w:p>
    <w:p w14:paraId="3DA8E01C" w14:textId="77777777" w:rsidR="00541A14" w:rsidRDefault="00DD420F">
      <w:pPr>
        <w:pStyle w:val="Default"/>
        <w:pageBreakBefore/>
        <w:framePr w:w="12875" w:wrap="auto" w:vAnchor="page" w:hAnchor="page" w:x="101" w:y="1"/>
        <w:spacing w:after="740"/>
        <w:rPr>
          <w:rFonts w:ascii="Futura Book" w:hAnsi="Futura Book" w:cs="Futura Book"/>
          <w:color w:val="2C5062"/>
          <w:sz w:val="22"/>
          <w:szCs w:val="22"/>
        </w:rPr>
      </w:pPr>
      <w:r>
        <w:rPr>
          <w:rFonts w:ascii="Futura Book" w:hAnsi="Futura Book" w:cs="Futura Book"/>
          <w:noProof/>
          <w:color w:val="2C5062"/>
          <w:sz w:val="22"/>
          <w:szCs w:val="22"/>
        </w:rPr>
        <w:drawing>
          <wp:inline distT="0" distB="0" distL="0" distR="0" wp14:anchorId="4E3748A0" wp14:editId="39E9FA51">
            <wp:extent cx="7553960" cy="97663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53960" cy="976630"/>
                    </a:xfrm>
                    <a:prstGeom prst="rect">
                      <a:avLst/>
                    </a:prstGeom>
                    <a:noFill/>
                    <a:ln>
                      <a:noFill/>
                    </a:ln>
                  </pic:spPr>
                </pic:pic>
              </a:graphicData>
            </a:graphic>
          </wp:inline>
        </w:drawing>
      </w:r>
    </w:p>
    <w:p w14:paraId="12AA6DE3" w14:textId="77777777" w:rsidR="00541A14" w:rsidRDefault="00A450E1">
      <w:pPr>
        <w:pStyle w:val="Default"/>
        <w:rPr>
          <w:rFonts w:ascii="Futura Book" w:hAnsi="Futura Book" w:cs="Futura Book"/>
          <w:color w:val="2C5062"/>
          <w:sz w:val="22"/>
          <w:szCs w:val="22"/>
        </w:rPr>
      </w:pPr>
      <w:r>
        <w:rPr>
          <w:rFonts w:ascii="Futura Book" w:hAnsi="Futura Book" w:cs="Futura Book"/>
          <w:b/>
          <w:bCs/>
          <w:color w:val="2C5062"/>
          <w:sz w:val="22"/>
          <w:szCs w:val="22"/>
        </w:rPr>
        <w:t xml:space="preserve">Glossary of Abbreviations </w:t>
      </w:r>
    </w:p>
    <w:p w14:paraId="2F465D88" w14:textId="77777777" w:rsidR="00541A14" w:rsidRDefault="00A450E1">
      <w:pPr>
        <w:pStyle w:val="CM5"/>
        <w:rPr>
          <w:rFonts w:ascii="Palatino" w:hAnsi="Palatino" w:cs="Palatino"/>
          <w:color w:val="000000"/>
          <w:sz w:val="20"/>
          <w:szCs w:val="20"/>
        </w:rPr>
      </w:pPr>
      <w:r>
        <w:rPr>
          <w:rFonts w:ascii="Palatino" w:hAnsi="Palatino" w:cs="Palatino"/>
          <w:color w:val="000000"/>
          <w:sz w:val="20"/>
          <w:szCs w:val="20"/>
        </w:rPr>
        <w:t xml:space="preserve">AIS Automatic Identification System </w:t>
      </w:r>
    </w:p>
    <w:p w14:paraId="397EE97F" w14:textId="77777777" w:rsidR="00541A14" w:rsidRDefault="00A450E1">
      <w:pPr>
        <w:pStyle w:val="CM5"/>
        <w:rPr>
          <w:rFonts w:ascii="Palatino" w:hAnsi="Palatino" w:cs="Palatino"/>
          <w:color w:val="000000"/>
          <w:sz w:val="20"/>
          <w:szCs w:val="20"/>
        </w:rPr>
      </w:pPr>
      <w:r>
        <w:rPr>
          <w:rFonts w:ascii="Palatino" w:hAnsi="Palatino" w:cs="Palatino"/>
          <w:color w:val="000000"/>
          <w:sz w:val="20"/>
          <w:szCs w:val="20"/>
        </w:rPr>
        <w:t xml:space="preserve">AISM Association Internationale de Signalisation Maritime (Title of IALA in the French (see IALA) language) AtoN Aid(s) to Navigation COLREGS International Regulations for Preventing Collisions at Sea DGNSS Differential Global Navigation Satellite System DGPS Differential Global Positioning System ECDIS Electronic Chart Display and Information System ECS Electronic Chart System ENC Electronic Navigation Chart </w:t>
      </w:r>
    </w:p>
    <w:p w14:paraId="54D084BA" w14:textId="77777777" w:rsidR="00541A14" w:rsidRDefault="00A450E1">
      <w:pPr>
        <w:pStyle w:val="CM5"/>
        <w:rPr>
          <w:rFonts w:ascii="Palatino" w:hAnsi="Palatino" w:cs="Palatino"/>
          <w:color w:val="000000"/>
          <w:sz w:val="20"/>
          <w:szCs w:val="20"/>
        </w:rPr>
      </w:pPr>
      <w:r>
        <w:rPr>
          <w:rFonts w:ascii="Palatino" w:hAnsi="Palatino" w:cs="Palatino"/>
          <w:color w:val="000000"/>
          <w:sz w:val="20"/>
          <w:szCs w:val="20"/>
        </w:rPr>
        <w:t xml:space="preserve">EEZ Exclusive Economic Zone (Defined in UNCLOS) </w:t>
      </w:r>
    </w:p>
    <w:p w14:paraId="5E80BA5F" w14:textId="77777777" w:rsidR="00541A14" w:rsidRDefault="00A450E1">
      <w:pPr>
        <w:pStyle w:val="CM181"/>
        <w:spacing w:after="195" w:line="438" w:lineRule="atLeast"/>
        <w:rPr>
          <w:rFonts w:ascii="Palatino" w:hAnsi="Palatino" w:cs="Palatino"/>
          <w:color w:val="000000"/>
          <w:sz w:val="20"/>
          <w:szCs w:val="20"/>
        </w:rPr>
      </w:pPr>
      <w:r>
        <w:rPr>
          <w:rFonts w:ascii="Palatino" w:hAnsi="Palatino" w:cs="Palatino"/>
          <w:color w:val="000000"/>
          <w:sz w:val="20"/>
          <w:szCs w:val="20"/>
        </w:rPr>
        <w:t xml:space="preserve">GLONASS Global Navigation Satellite System GLOSS Global Sea Level Observing System GPS Global Positioning System IALA International Association for Marine Aids to Navigation and </w:t>
      </w:r>
    </w:p>
    <w:p w14:paraId="0B7AB072" w14:textId="77777777" w:rsidR="00541A14" w:rsidRDefault="00A450E1">
      <w:pPr>
        <w:pStyle w:val="CM41"/>
        <w:rPr>
          <w:rFonts w:ascii="Palatino" w:hAnsi="Palatino" w:cs="Palatino"/>
          <w:color w:val="000000"/>
          <w:sz w:val="20"/>
          <w:szCs w:val="20"/>
        </w:rPr>
      </w:pPr>
      <w:r>
        <w:rPr>
          <w:rFonts w:ascii="Palatino" w:hAnsi="Palatino" w:cs="Palatino"/>
          <w:color w:val="000000"/>
          <w:sz w:val="20"/>
          <w:szCs w:val="20"/>
        </w:rPr>
        <w:t xml:space="preserve">(see AISM) Lighthouse Authorities IHO International Hydrographic Organisation IMO International Maritime Organization IMPA International Maritime Pilots’ Association IMSO International Mobile Satellite Organisation INMARSAT International Maritime Satellite Organisation ISO International Standards Organisation ITU International Telecommunications Union ITU-R International Telecommunications Union – Radiocommunications Bureau </w:t>
      </w:r>
    </w:p>
    <w:p w14:paraId="7CCFC866" w14:textId="77777777" w:rsidR="00541A14" w:rsidRDefault="00A450E1">
      <w:pPr>
        <w:pStyle w:val="CM41"/>
        <w:rPr>
          <w:rFonts w:ascii="Palatino" w:hAnsi="Palatino" w:cs="Palatino"/>
          <w:color w:val="000000"/>
          <w:sz w:val="20"/>
          <w:szCs w:val="20"/>
        </w:rPr>
      </w:pPr>
      <w:r>
        <w:rPr>
          <w:rFonts w:ascii="Palatino" w:hAnsi="Palatino" w:cs="Palatino"/>
          <w:color w:val="000000"/>
          <w:sz w:val="20"/>
          <w:szCs w:val="20"/>
        </w:rPr>
        <w:t xml:space="preserve">LRIT Long Range Identification and Tracking </w:t>
      </w:r>
    </w:p>
    <w:p w14:paraId="4A47D9BB" w14:textId="77777777" w:rsidR="00541A14" w:rsidRDefault="00A450E1">
      <w:pPr>
        <w:pStyle w:val="CM41"/>
        <w:rPr>
          <w:rFonts w:ascii="Palatino" w:hAnsi="Palatino" w:cs="Palatino"/>
          <w:color w:val="000000"/>
          <w:sz w:val="20"/>
          <w:szCs w:val="20"/>
        </w:rPr>
      </w:pPr>
      <w:r>
        <w:rPr>
          <w:rFonts w:ascii="Palatino" w:hAnsi="Palatino" w:cs="Palatino"/>
          <w:color w:val="000000"/>
          <w:sz w:val="20"/>
          <w:szCs w:val="20"/>
        </w:rPr>
        <w:t xml:space="preserve">MRCP IALA Maritime Radio Communications Plan MTBF Mean Time Between Failures (in hours) MTTR Mean Time to Repair (in hours) PIANC The World Association for Waterborne Transport Infrastructure PSSA Particularly Sensitive Sea Area RACON Radar transponder beacon RCDS Raster Chart Display System RNC Raster Navigation Chart SOLAS IMO Convention on the Safety of Life at Sea 1974 SRS Ship Reporting System UNCLOS United Nations Convention on the Law of the Sea UTC Universal Time Co-ordinated VHF Very High Frequency (radio in the 30-300 MHz band) </w:t>
      </w:r>
    </w:p>
    <w:p w14:paraId="4178AB55" w14:textId="77777777" w:rsidR="00541A14" w:rsidRDefault="00DD420F">
      <w:pPr>
        <w:pStyle w:val="Default"/>
        <w:framePr w:w="10739" w:wrap="auto" w:vAnchor="page" w:hAnchor="page" w:x="1434" w:y="16298"/>
        <w:rPr>
          <w:rFonts w:ascii="Palatino" w:hAnsi="Palatino" w:cs="Palatino"/>
          <w:sz w:val="20"/>
          <w:szCs w:val="20"/>
        </w:rPr>
      </w:pPr>
      <w:r>
        <w:rPr>
          <w:rFonts w:ascii="Palatino" w:hAnsi="Palatino" w:cs="Palatino"/>
          <w:noProof/>
          <w:sz w:val="20"/>
          <w:szCs w:val="20"/>
        </w:rPr>
        <w:drawing>
          <wp:inline distT="0" distB="0" distL="0" distR="0" wp14:anchorId="6034C73F" wp14:editId="63CCA336">
            <wp:extent cx="7542530" cy="408940"/>
            <wp:effectExtent l="0" t="0" r="127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542530" cy="408940"/>
                    </a:xfrm>
                    <a:prstGeom prst="rect">
                      <a:avLst/>
                    </a:prstGeom>
                    <a:noFill/>
                    <a:ln>
                      <a:noFill/>
                    </a:ln>
                  </pic:spPr>
                </pic:pic>
              </a:graphicData>
            </a:graphic>
          </wp:inline>
        </w:drawing>
      </w:r>
    </w:p>
    <w:p w14:paraId="4D51B1E5" w14:textId="77777777" w:rsidR="00541A14" w:rsidRDefault="00DD420F">
      <w:pPr>
        <w:pStyle w:val="Default"/>
        <w:pageBreakBefore/>
        <w:framePr w:w="12724" w:wrap="auto" w:vAnchor="page" w:hAnchor="page" w:x="101" w:y="1"/>
        <w:spacing w:after="800"/>
        <w:rPr>
          <w:rFonts w:ascii="Palatino" w:hAnsi="Palatino" w:cs="Palatino"/>
          <w:sz w:val="20"/>
          <w:szCs w:val="20"/>
        </w:rPr>
      </w:pPr>
      <w:r>
        <w:rPr>
          <w:rFonts w:ascii="Palatino" w:hAnsi="Palatino" w:cs="Palatino"/>
          <w:noProof/>
          <w:sz w:val="20"/>
          <w:szCs w:val="20"/>
        </w:rPr>
        <w:drawing>
          <wp:inline distT="0" distB="0" distL="0" distR="0" wp14:anchorId="3C9E3AF7" wp14:editId="1D48E23C">
            <wp:extent cx="7553960" cy="97663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553960" cy="976630"/>
                    </a:xfrm>
                    <a:prstGeom prst="rect">
                      <a:avLst/>
                    </a:prstGeom>
                    <a:noFill/>
                    <a:ln>
                      <a:noFill/>
                    </a:ln>
                  </pic:spPr>
                </pic:pic>
              </a:graphicData>
            </a:graphic>
          </wp:inline>
        </w:drawing>
      </w:r>
    </w:p>
    <w:p w14:paraId="52228C1C" w14:textId="77777777" w:rsidR="00541A14" w:rsidRDefault="00A450E1">
      <w:pPr>
        <w:pStyle w:val="CM41"/>
        <w:spacing w:after="9130"/>
        <w:rPr>
          <w:rFonts w:ascii="Palatino" w:hAnsi="Palatino" w:cs="Palatino"/>
          <w:color w:val="000000"/>
          <w:sz w:val="20"/>
          <w:szCs w:val="20"/>
        </w:rPr>
      </w:pPr>
      <w:r>
        <w:rPr>
          <w:rFonts w:ascii="Palatino" w:hAnsi="Palatino" w:cs="Palatino"/>
          <w:color w:val="000000"/>
          <w:sz w:val="20"/>
          <w:szCs w:val="20"/>
        </w:rPr>
        <w:t xml:space="preserve">VTM Vessel Traffic Management VTS Vessel Traffic Service VTSO Vessel Traffic Service Officer </w:t>
      </w:r>
    </w:p>
    <w:p w14:paraId="1265F9EC" w14:textId="77777777" w:rsidR="00541A14" w:rsidRDefault="00DD420F">
      <w:pPr>
        <w:pStyle w:val="Default"/>
        <w:framePr w:w="10730" w:wrap="auto" w:vAnchor="page" w:hAnchor="page" w:x="608" w:y="16298"/>
        <w:rPr>
          <w:rFonts w:ascii="Palatino" w:hAnsi="Palatino" w:cs="Palatino"/>
          <w:sz w:val="20"/>
          <w:szCs w:val="20"/>
        </w:rPr>
      </w:pPr>
      <w:r>
        <w:rPr>
          <w:rFonts w:ascii="Palatino" w:hAnsi="Palatino" w:cs="Palatino"/>
          <w:noProof/>
          <w:sz w:val="20"/>
          <w:szCs w:val="20"/>
        </w:rPr>
        <w:drawing>
          <wp:inline distT="0" distB="0" distL="0" distR="0" wp14:anchorId="101BDCBC" wp14:editId="17EFCFF9">
            <wp:extent cx="7553960" cy="4089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553960" cy="408940"/>
                    </a:xfrm>
                    <a:prstGeom prst="rect">
                      <a:avLst/>
                    </a:prstGeom>
                    <a:noFill/>
                    <a:ln>
                      <a:noFill/>
                    </a:ln>
                  </pic:spPr>
                </pic:pic>
              </a:graphicData>
            </a:graphic>
          </wp:inline>
        </w:drawing>
      </w:r>
    </w:p>
    <w:p w14:paraId="6D318DDA" w14:textId="77777777" w:rsidR="00541A14" w:rsidRDefault="00DD420F">
      <w:pPr>
        <w:pStyle w:val="Default"/>
        <w:pageBreakBefore/>
        <w:framePr w:w="12706" w:wrap="auto" w:vAnchor="page" w:hAnchor="page" w:x="18" w:y="1"/>
        <w:rPr>
          <w:rFonts w:ascii="Palatino" w:hAnsi="Palatino" w:cs="Palatino"/>
          <w:sz w:val="20"/>
          <w:szCs w:val="20"/>
        </w:rPr>
      </w:pPr>
      <w:r>
        <w:rPr>
          <w:rFonts w:ascii="Palatino" w:hAnsi="Palatino" w:cs="Palatino"/>
          <w:noProof/>
          <w:sz w:val="20"/>
          <w:szCs w:val="20"/>
        </w:rPr>
        <w:drawing>
          <wp:inline distT="0" distB="0" distL="0" distR="0" wp14:anchorId="660A355B" wp14:editId="30ADE337">
            <wp:extent cx="7553960" cy="1069467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53960" cy="10694670"/>
                    </a:xfrm>
                    <a:prstGeom prst="rect">
                      <a:avLst/>
                    </a:prstGeom>
                    <a:noFill/>
                    <a:ln>
                      <a:noFill/>
                    </a:ln>
                  </pic:spPr>
                </pic:pic>
              </a:graphicData>
            </a:graphic>
          </wp:inline>
        </w:drawing>
      </w:r>
    </w:p>
    <w:p w14:paraId="211BCA1A" w14:textId="77777777" w:rsidR="00541A14" w:rsidRDefault="00DD420F">
      <w:pPr>
        <w:pStyle w:val="Default"/>
        <w:pageBreakBefore/>
        <w:framePr w:w="24798" w:wrap="auto" w:vAnchor="page" w:hAnchor="page" w:x="101" w:y="1"/>
        <w:spacing w:after="980"/>
        <w:rPr>
          <w:rFonts w:ascii="Palatino" w:hAnsi="Palatino" w:cs="Palatino"/>
          <w:sz w:val="20"/>
          <w:szCs w:val="20"/>
        </w:rPr>
      </w:pPr>
      <w:r>
        <w:rPr>
          <w:rFonts w:ascii="Palatino" w:hAnsi="Palatino" w:cs="Palatino"/>
          <w:noProof/>
          <w:sz w:val="20"/>
          <w:szCs w:val="20"/>
        </w:rPr>
        <w:drawing>
          <wp:inline distT="0" distB="0" distL="0" distR="0" wp14:anchorId="19F271D3" wp14:editId="05057204">
            <wp:extent cx="7553960" cy="954405"/>
            <wp:effectExtent l="0" t="0" r="0" b="1079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553960" cy="954405"/>
                    </a:xfrm>
                    <a:prstGeom prst="rect">
                      <a:avLst/>
                    </a:prstGeom>
                    <a:noFill/>
                    <a:ln>
                      <a:noFill/>
                    </a:ln>
                  </pic:spPr>
                </pic:pic>
              </a:graphicData>
            </a:graphic>
          </wp:inline>
        </w:drawing>
      </w:r>
    </w:p>
    <w:p w14:paraId="4224FC1F" w14:textId="77777777" w:rsidR="00541A14" w:rsidRDefault="00A450E1">
      <w:pPr>
        <w:pStyle w:val="CM165"/>
        <w:spacing w:after="85"/>
        <w:jc w:val="both"/>
        <w:rPr>
          <w:rFonts w:ascii="Futura Book" w:hAnsi="Futura Book" w:cs="Futura Book"/>
          <w:color w:val="2C5062"/>
          <w:sz w:val="28"/>
          <w:szCs w:val="28"/>
        </w:rPr>
      </w:pPr>
      <w:r>
        <w:rPr>
          <w:rFonts w:ascii="Futura Book" w:hAnsi="Futura Book" w:cs="Futura Book"/>
          <w:b/>
          <w:bCs/>
          <w:color w:val="2C5062"/>
          <w:sz w:val="28"/>
          <w:szCs w:val="28"/>
        </w:rPr>
        <w:t xml:space="preserve">2.2 Accuracy Standards for Navigation </w:t>
      </w:r>
    </w:p>
    <w:p w14:paraId="1FE8FF57" w14:textId="77777777" w:rsidR="00541A14" w:rsidRDefault="00A450E1">
      <w:pPr>
        <w:pStyle w:val="CM165"/>
        <w:spacing w:after="85" w:line="300" w:lineRule="atLeast"/>
        <w:ind w:right="335"/>
        <w:jc w:val="both"/>
        <w:rPr>
          <w:rFonts w:ascii="Palatino" w:hAnsi="Palatino" w:cs="Palatino"/>
          <w:color w:val="000000"/>
          <w:sz w:val="20"/>
          <w:szCs w:val="20"/>
        </w:rPr>
      </w:pPr>
      <w:r>
        <w:rPr>
          <w:rFonts w:ascii="Palatino" w:hAnsi="Palatino" w:cs="Palatino"/>
          <w:color w:val="000000"/>
          <w:sz w:val="20"/>
          <w:szCs w:val="20"/>
        </w:rPr>
        <w:t xml:space="preserve">IMO Resolution A.915(22), adopted in January 2002, established accuracy standards for maritime navigation. </w:t>
      </w:r>
    </w:p>
    <w:p w14:paraId="48986A6C" w14:textId="77777777" w:rsidR="00541A14" w:rsidRDefault="00A450E1">
      <w:pPr>
        <w:pStyle w:val="CM173"/>
        <w:spacing w:after="340" w:line="296" w:lineRule="atLeast"/>
        <w:jc w:val="both"/>
        <w:rPr>
          <w:rFonts w:ascii="Palatino" w:hAnsi="Palatino" w:cs="Palatino"/>
          <w:color w:val="000000"/>
          <w:sz w:val="20"/>
          <w:szCs w:val="20"/>
        </w:rPr>
      </w:pPr>
      <w:r>
        <w:rPr>
          <w:rFonts w:ascii="Palatino" w:hAnsi="Palatino" w:cs="Palatino"/>
          <w:color w:val="000000"/>
          <w:sz w:val="20"/>
          <w:szCs w:val="20"/>
        </w:rPr>
        <w:t xml:space="preserve">Table 1 presents the relevant standards adopted in Appendixes 2 and 3 of IMO Resolution A.915(22). </w:t>
      </w:r>
    </w:p>
    <w:p w14:paraId="1A378575" w14:textId="77777777" w:rsidR="00541A14" w:rsidRDefault="00A450E1">
      <w:pPr>
        <w:pStyle w:val="CM172"/>
        <w:spacing w:after="202" w:line="300" w:lineRule="atLeast"/>
        <w:ind w:left="1800"/>
        <w:jc w:val="both"/>
        <w:rPr>
          <w:rFonts w:ascii="Palatino" w:hAnsi="Palatino" w:cs="Palatino"/>
          <w:color w:val="000000"/>
          <w:sz w:val="20"/>
          <w:szCs w:val="20"/>
        </w:rPr>
      </w:pPr>
      <w:r>
        <w:rPr>
          <w:rFonts w:ascii="Palatino" w:hAnsi="Palatino" w:cs="Palatino"/>
          <w:b/>
          <w:bCs/>
          <w:color w:val="000000"/>
          <w:sz w:val="20"/>
          <w:szCs w:val="20"/>
        </w:rPr>
        <w:t xml:space="preserve">table 1 – minimum maritime User Requirements </w:t>
      </w:r>
    </w:p>
    <w:p w14:paraId="5F079346"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58240" behindDoc="0" locked="0" layoutInCell="0" allowOverlap="1" wp14:anchorId="3CF3A612" wp14:editId="6A36D73B">
                <wp:simplePos x="0" y="0"/>
                <wp:positionH relativeFrom="page">
                  <wp:posOffset>1957705</wp:posOffset>
                </wp:positionH>
                <wp:positionV relativeFrom="page">
                  <wp:posOffset>2940050</wp:posOffset>
                </wp:positionV>
                <wp:extent cx="4006215" cy="3976370"/>
                <wp:effectExtent l="0" t="0" r="0" b="0"/>
                <wp:wrapThrough wrapText="bothSides">
                  <wp:wrapPolygon edited="0">
                    <wp:start x="0" y="0"/>
                    <wp:lineTo x="21600" y="0"/>
                    <wp:lineTo x="21600" y="21600"/>
                    <wp:lineTo x="0" y="21600"/>
                    <wp:lineTo x="0" y="0"/>
                  </wp:wrapPolygon>
                </wp:wrapThrough>
                <wp:docPr id="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215" cy="397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3402"/>
                              <w:gridCol w:w="2107"/>
                            </w:tblGrid>
                            <w:tr w:rsidR="00541A14" w14:paraId="169E624D" w14:textId="77777777">
                              <w:trPr>
                                <w:trHeight w:val="323"/>
                              </w:trPr>
                              <w:tc>
                                <w:tcPr>
                                  <w:tcW w:w="3402" w:type="dxa"/>
                                  <w:tcBorders>
                                    <w:left w:val="single" w:sz="4" w:space="0" w:color="000203"/>
                                    <w:right w:val="single" w:sz="4" w:space="0" w:color="000406"/>
                                  </w:tcBorders>
                                  <w:shd w:val="clear" w:color="auto" w:fill="01769F"/>
                                  <w:vAlign w:val="center"/>
                                </w:tcPr>
                                <w:p w14:paraId="0A1CA2C1"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Application </w:t>
                                  </w:r>
                                </w:p>
                              </w:tc>
                              <w:tc>
                                <w:tcPr>
                                  <w:tcW w:w="2107" w:type="dxa"/>
                                  <w:tcBorders>
                                    <w:left w:val="single" w:sz="4" w:space="0" w:color="000406"/>
                                    <w:right w:val="single" w:sz="4" w:space="0" w:color="000203"/>
                                  </w:tcBorders>
                                  <w:shd w:val="clear" w:color="auto" w:fill="01769F"/>
                                  <w:vAlign w:val="center"/>
                                </w:tcPr>
                                <w:p w14:paraId="079C6A15"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Absolute horizontal accuracy (95%) / (m) </w:t>
                                  </w:r>
                                </w:p>
                              </w:tc>
                            </w:tr>
                            <w:tr w:rsidR="00541A14" w14:paraId="16512E99" w14:textId="77777777">
                              <w:trPr>
                                <w:trHeight w:val="165"/>
                              </w:trPr>
                              <w:tc>
                                <w:tcPr>
                                  <w:tcW w:w="3402" w:type="dxa"/>
                                  <w:tcBorders>
                                    <w:top w:val="single" w:sz="2" w:space="0" w:color="01769F"/>
                                    <w:left w:val="single" w:sz="4" w:space="0" w:color="000203"/>
                                    <w:right w:val="single" w:sz="4" w:space="0" w:color="000406"/>
                                  </w:tcBorders>
                                  <w:shd w:val="clear" w:color="auto" w:fill="E3E9EE"/>
                                  <w:vAlign w:val="bottom"/>
                                </w:tcPr>
                                <w:p w14:paraId="552DE010"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Navigation: </w:t>
                                  </w:r>
                                </w:p>
                              </w:tc>
                              <w:tc>
                                <w:tcPr>
                                  <w:tcW w:w="2107" w:type="dxa"/>
                                  <w:tcBorders>
                                    <w:top w:val="single" w:sz="2" w:space="0" w:color="01769F"/>
                                    <w:left w:val="single" w:sz="4" w:space="0" w:color="000406"/>
                                    <w:right w:val="single" w:sz="4" w:space="0" w:color="000203"/>
                                  </w:tcBorders>
                                  <w:shd w:val="clear" w:color="auto" w:fill="E3E9EE"/>
                                </w:tcPr>
                                <w:p w14:paraId="5BF9B993" w14:textId="77777777" w:rsidR="00541A14" w:rsidRDefault="00541A14">
                                  <w:pPr>
                                    <w:pStyle w:val="Default"/>
                                    <w:rPr>
                                      <w:rFonts w:cs="Times New Roman"/>
                                      <w:color w:val="auto"/>
                                    </w:rPr>
                                  </w:pPr>
                                </w:p>
                              </w:tc>
                            </w:tr>
                            <w:tr w:rsidR="00541A14" w14:paraId="0C1EECB7" w14:textId="77777777">
                              <w:trPr>
                                <w:trHeight w:val="150"/>
                              </w:trPr>
                              <w:tc>
                                <w:tcPr>
                                  <w:tcW w:w="3402" w:type="dxa"/>
                                  <w:tcBorders>
                                    <w:left w:val="single" w:sz="4" w:space="0" w:color="000203"/>
                                    <w:right w:val="single" w:sz="4" w:space="0" w:color="000406"/>
                                  </w:tcBorders>
                                  <w:shd w:val="clear" w:color="auto" w:fill="E3E9EE"/>
                                  <w:vAlign w:val="center"/>
                                </w:tcPr>
                                <w:p w14:paraId="4375502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Ocean </w:t>
                                  </w:r>
                                </w:p>
                              </w:tc>
                              <w:tc>
                                <w:tcPr>
                                  <w:tcW w:w="2107" w:type="dxa"/>
                                  <w:tcBorders>
                                    <w:left w:val="single" w:sz="4" w:space="0" w:color="000406"/>
                                    <w:right w:val="single" w:sz="4" w:space="0" w:color="000203"/>
                                  </w:tcBorders>
                                  <w:shd w:val="clear" w:color="auto" w:fill="E3E9EE"/>
                                </w:tcPr>
                                <w:p w14:paraId="06913806" w14:textId="77777777" w:rsidR="00541A14" w:rsidRDefault="00A450E1">
                                  <w:pPr>
                                    <w:pStyle w:val="Default"/>
                                    <w:rPr>
                                      <w:rFonts w:ascii="Helvetica 55 Roman" w:hAnsi="Helvetica 55 Roman" w:cs="Helvetica 55 Roman"/>
                                      <w:sz w:val="10"/>
                                      <w:szCs w:val="10"/>
                                    </w:rPr>
                                  </w:pPr>
                                  <w:r>
                                    <w:rPr>
                                      <w:rFonts w:ascii="Helvetica 55 Roman" w:hAnsi="Helvetica 55 Roman" w:cs="Helvetica 55 Roman"/>
                                      <w:sz w:val="18"/>
                                      <w:szCs w:val="18"/>
                                    </w:rPr>
                                    <w:t>10-100</w:t>
                                  </w:r>
                                  <w:r>
                                    <w:rPr>
                                      <w:rFonts w:ascii="Helvetica 55 Roman" w:hAnsi="Helvetica 55 Roman" w:cs="Helvetica 55 Roman"/>
                                      <w:sz w:val="10"/>
                                      <w:szCs w:val="10"/>
                                    </w:rPr>
                                    <w:t xml:space="preserve">3 </w:t>
                                  </w:r>
                                </w:p>
                              </w:tc>
                            </w:tr>
                            <w:tr w:rsidR="00541A14" w14:paraId="735E867F" w14:textId="77777777">
                              <w:trPr>
                                <w:trHeight w:val="148"/>
                              </w:trPr>
                              <w:tc>
                                <w:tcPr>
                                  <w:tcW w:w="3402" w:type="dxa"/>
                                  <w:tcBorders>
                                    <w:left w:val="single" w:sz="4" w:space="0" w:color="000203"/>
                                    <w:right w:val="single" w:sz="4" w:space="0" w:color="000406"/>
                                  </w:tcBorders>
                                  <w:shd w:val="clear" w:color="auto" w:fill="E3E9EE"/>
                                  <w:vAlign w:val="center"/>
                                </w:tcPr>
                                <w:p w14:paraId="196BD43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Coastal </w:t>
                                  </w:r>
                                </w:p>
                              </w:tc>
                              <w:tc>
                                <w:tcPr>
                                  <w:tcW w:w="2107" w:type="dxa"/>
                                  <w:tcBorders>
                                    <w:left w:val="single" w:sz="4" w:space="0" w:color="000406"/>
                                    <w:right w:val="single" w:sz="4" w:space="0" w:color="000203"/>
                                  </w:tcBorders>
                                  <w:shd w:val="clear" w:color="auto" w:fill="E3E9EE"/>
                                </w:tcPr>
                                <w:p w14:paraId="58BA04F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w:t>
                                  </w:r>
                                </w:p>
                              </w:tc>
                            </w:tr>
                            <w:tr w:rsidR="00541A14" w14:paraId="30227754" w14:textId="77777777">
                              <w:trPr>
                                <w:trHeight w:val="147"/>
                              </w:trPr>
                              <w:tc>
                                <w:tcPr>
                                  <w:tcW w:w="3402" w:type="dxa"/>
                                  <w:tcBorders>
                                    <w:left w:val="single" w:sz="4" w:space="0" w:color="000203"/>
                                    <w:right w:val="single" w:sz="4" w:space="0" w:color="000406"/>
                                  </w:tcBorders>
                                  <w:shd w:val="clear" w:color="auto" w:fill="E3E9EE"/>
                                  <w:vAlign w:val="center"/>
                                </w:tcPr>
                                <w:p w14:paraId="0C5AAA8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Restricted waters </w:t>
                                  </w:r>
                                </w:p>
                              </w:tc>
                              <w:tc>
                                <w:tcPr>
                                  <w:tcW w:w="2107" w:type="dxa"/>
                                  <w:tcBorders>
                                    <w:left w:val="single" w:sz="4" w:space="0" w:color="000406"/>
                                    <w:right w:val="single" w:sz="4" w:space="0" w:color="000203"/>
                                  </w:tcBorders>
                                  <w:shd w:val="clear" w:color="auto" w:fill="E3E9EE"/>
                                </w:tcPr>
                                <w:p w14:paraId="0D4BCDC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w:t>
                                  </w:r>
                                </w:p>
                              </w:tc>
                            </w:tr>
                            <w:tr w:rsidR="00541A14" w14:paraId="48E433B3" w14:textId="77777777">
                              <w:trPr>
                                <w:trHeight w:val="148"/>
                              </w:trPr>
                              <w:tc>
                                <w:tcPr>
                                  <w:tcW w:w="3402" w:type="dxa"/>
                                  <w:tcBorders>
                                    <w:left w:val="single" w:sz="4" w:space="0" w:color="000203"/>
                                    <w:right w:val="single" w:sz="4" w:space="0" w:color="000406"/>
                                  </w:tcBorders>
                                  <w:shd w:val="clear" w:color="auto" w:fill="E3E9EE"/>
                                  <w:vAlign w:val="center"/>
                                </w:tcPr>
                                <w:p w14:paraId="3548AD2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Port </w:t>
                                  </w:r>
                                </w:p>
                              </w:tc>
                              <w:tc>
                                <w:tcPr>
                                  <w:tcW w:w="2107" w:type="dxa"/>
                                  <w:tcBorders>
                                    <w:left w:val="single" w:sz="4" w:space="0" w:color="000406"/>
                                    <w:right w:val="single" w:sz="4" w:space="0" w:color="000203"/>
                                  </w:tcBorders>
                                  <w:shd w:val="clear" w:color="auto" w:fill="E3E9EE"/>
                                </w:tcPr>
                                <w:p w14:paraId="402790A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r>
                            <w:tr w:rsidR="00541A14" w14:paraId="6BE9B214" w14:textId="77777777">
                              <w:trPr>
                                <w:trHeight w:val="193"/>
                              </w:trPr>
                              <w:tc>
                                <w:tcPr>
                                  <w:tcW w:w="3402" w:type="dxa"/>
                                  <w:tcBorders>
                                    <w:left w:val="single" w:sz="4" w:space="0" w:color="000203"/>
                                    <w:right w:val="single" w:sz="4" w:space="0" w:color="000406"/>
                                  </w:tcBorders>
                                  <w:shd w:val="clear" w:color="auto" w:fill="E3E9EE"/>
                                  <w:vAlign w:val="center"/>
                                </w:tcPr>
                                <w:p w14:paraId="75A0313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Inland waterways </w:t>
                                  </w:r>
                                </w:p>
                              </w:tc>
                              <w:tc>
                                <w:tcPr>
                                  <w:tcW w:w="2107" w:type="dxa"/>
                                  <w:tcBorders>
                                    <w:left w:val="single" w:sz="4" w:space="0" w:color="000406"/>
                                    <w:right w:val="single" w:sz="4" w:space="0" w:color="000203"/>
                                  </w:tcBorders>
                                  <w:shd w:val="clear" w:color="auto" w:fill="E3E9EE"/>
                                </w:tcPr>
                                <w:p w14:paraId="1D8E01D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w:t>
                                  </w:r>
                                </w:p>
                              </w:tc>
                            </w:tr>
                            <w:tr w:rsidR="00541A14" w14:paraId="24FDEBD3" w14:textId="77777777">
                              <w:trPr>
                                <w:trHeight w:val="213"/>
                              </w:trPr>
                              <w:tc>
                                <w:tcPr>
                                  <w:tcW w:w="3402" w:type="dxa"/>
                                  <w:tcBorders>
                                    <w:left w:val="single" w:sz="4" w:space="0" w:color="000203"/>
                                    <w:right w:val="single" w:sz="4" w:space="0" w:color="000406"/>
                                  </w:tcBorders>
                                  <w:vAlign w:val="center"/>
                                </w:tcPr>
                                <w:p w14:paraId="7F6197B5"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Hydrography </w:t>
                                  </w:r>
                                </w:p>
                              </w:tc>
                              <w:tc>
                                <w:tcPr>
                                  <w:tcW w:w="2107" w:type="dxa"/>
                                  <w:tcBorders>
                                    <w:left w:val="single" w:sz="4" w:space="0" w:color="000406"/>
                                    <w:right w:val="single" w:sz="4" w:space="0" w:color="000203"/>
                                  </w:tcBorders>
                                  <w:vAlign w:val="center"/>
                                </w:tcPr>
                                <w:p w14:paraId="5E05F11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1-2 </w:t>
                                  </w:r>
                                </w:p>
                              </w:tc>
                            </w:tr>
                            <w:tr w:rsidR="00541A14" w14:paraId="34AC0737" w14:textId="77777777">
                              <w:trPr>
                                <w:trHeight w:val="212"/>
                              </w:trPr>
                              <w:tc>
                                <w:tcPr>
                                  <w:tcW w:w="3402" w:type="dxa"/>
                                  <w:tcBorders>
                                    <w:left w:val="single" w:sz="4" w:space="0" w:color="000203"/>
                                    <w:right w:val="single" w:sz="4" w:space="0" w:color="000406"/>
                                  </w:tcBorders>
                                  <w:shd w:val="clear" w:color="auto" w:fill="E3E9EE"/>
                                  <w:vAlign w:val="center"/>
                                </w:tcPr>
                                <w:p w14:paraId="3C4CBE8A"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Oceanography </w:t>
                                  </w:r>
                                </w:p>
                              </w:tc>
                              <w:tc>
                                <w:tcPr>
                                  <w:tcW w:w="2107" w:type="dxa"/>
                                  <w:tcBorders>
                                    <w:left w:val="single" w:sz="4" w:space="0" w:color="000406"/>
                                    <w:right w:val="single" w:sz="4" w:space="0" w:color="000203"/>
                                  </w:tcBorders>
                                  <w:shd w:val="clear" w:color="auto" w:fill="E3E9EE"/>
                                  <w:vAlign w:val="center"/>
                                </w:tcPr>
                                <w:p w14:paraId="6736998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w:t>
                                  </w:r>
                                </w:p>
                              </w:tc>
                            </w:tr>
                            <w:tr w:rsidR="00541A14" w14:paraId="675EF4CE" w14:textId="77777777">
                              <w:trPr>
                                <w:trHeight w:val="378"/>
                              </w:trPr>
                              <w:tc>
                                <w:tcPr>
                                  <w:tcW w:w="3402" w:type="dxa"/>
                                  <w:tcBorders>
                                    <w:left w:val="single" w:sz="4" w:space="0" w:color="000203"/>
                                    <w:right w:val="single" w:sz="4" w:space="0" w:color="000406"/>
                                  </w:tcBorders>
                                  <w:vAlign w:val="bottom"/>
                                </w:tcPr>
                                <w:p w14:paraId="469D8D8A"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Aids to navigation management Port operations: </w:t>
                                  </w:r>
                                </w:p>
                              </w:tc>
                              <w:tc>
                                <w:tcPr>
                                  <w:tcW w:w="2107" w:type="dxa"/>
                                  <w:tcBorders>
                                    <w:left w:val="single" w:sz="4" w:space="0" w:color="000406"/>
                                    <w:right w:val="single" w:sz="4" w:space="0" w:color="000203"/>
                                  </w:tcBorders>
                                </w:tcPr>
                                <w:p w14:paraId="254BC8B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r>
                            <w:tr w:rsidR="00541A14" w14:paraId="2C27AFFE" w14:textId="77777777">
                              <w:trPr>
                                <w:trHeight w:val="148"/>
                              </w:trPr>
                              <w:tc>
                                <w:tcPr>
                                  <w:tcW w:w="3402" w:type="dxa"/>
                                  <w:tcBorders>
                                    <w:left w:val="single" w:sz="4" w:space="0" w:color="000203"/>
                                    <w:right w:val="single" w:sz="4" w:space="0" w:color="000406"/>
                                  </w:tcBorders>
                                  <w:shd w:val="clear" w:color="auto" w:fill="E3E9EE"/>
                                  <w:vAlign w:val="center"/>
                                </w:tcPr>
                                <w:p w14:paraId="40E2801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Local VTS </w:t>
                                  </w:r>
                                </w:p>
                              </w:tc>
                              <w:tc>
                                <w:tcPr>
                                  <w:tcW w:w="2107" w:type="dxa"/>
                                  <w:tcBorders>
                                    <w:left w:val="single" w:sz="4" w:space="0" w:color="000406"/>
                                    <w:right w:val="single" w:sz="4" w:space="0" w:color="000203"/>
                                  </w:tcBorders>
                                  <w:shd w:val="clear" w:color="auto" w:fill="E3E9EE"/>
                                </w:tcPr>
                                <w:p w14:paraId="4C59CD5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r>
                            <w:tr w:rsidR="00541A14" w14:paraId="5A826BE9" w14:textId="77777777">
                              <w:trPr>
                                <w:trHeight w:val="147"/>
                              </w:trPr>
                              <w:tc>
                                <w:tcPr>
                                  <w:tcW w:w="3402" w:type="dxa"/>
                                  <w:tcBorders>
                                    <w:left w:val="single" w:sz="4" w:space="0" w:color="000203"/>
                                    <w:right w:val="single" w:sz="4" w:space="0" w:color="000406"/>
                                  </w:tcBorders>
                                  <w:shd w:val="clear" w:color="auto" w:fill="E3E9EE"/>
                                  <w:vAlign w:val="center"/>
                                </w:tcPr>
                                <w:p w14:paraId="099762E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Container/cargo management </w:t>
                                  </w:r>
                                </w:p>
                              </w:tc>
                              <w:tc>
                                <w:tcPr>
                                  <w:tcW w:w="2107" w:type="dxa"/>
                                  <w:tcBorders>
                                    <w:left w:val="single" w:sz="4" w:space="0" w:color="000406"/>
                                    <w:right w:val="single" w:sz="4" w:space="0" w:color="000203"/>
                                  </w:tcBorders>
                                  <w:shd w:val="clear" w:color="auto" w:fill="E3E9EE"/>
                                </w:tcPr>
                                <w:p w14:paraId="0FB9807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r>
                            <w:tr w:rsidR="00541A14" w14:paraId="69629B99" w14:textId="77777777">
                              <w:trPr>
                                <w:trHeight w:val="148"/>
                              </w:trPr>
                              <w:tc>
                                <w:tcPr>
                                  <w:tcW w:w="3402" w:type="dxa"/>
                                  <w:tcBorders>
                                    <w:left w:val="single" w:sz="4" w:space="0" w:color="000203"/>
                                    <w:right w:val="single" w:sz="4" w:space="0" w:color="000406"/>
                                  </w:tcBorders>
                                  <w:shd w:val="clear" w:color="auto" w:fill="E3E9EE"/>
                                  <w:vAlign w:val="center"/>
                                </w:tcPr>
                                <w:p w14:paraId="5872AE3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Law enforcement </w:t>
                                  </w:r>
                                </w:p>
                              </w:tc>
                              <w:tc>
                                <w:tcPr>
                                  <w:tcW w:w="2107" w:type="dxa"/>
                                  <w:tcBorders>
                                    <w:left w:val="single" w:sz="4" w:space="0" w:color="000406"/>
                                    <w:right w:val="single" w:sz="4" w:space="0" w:color="000203"/>
                                  </w:tcBorders>
                                  <w:shd w:val="clear" w:color="auto" w:fill="E3E9EE"/>
                                </w:tcPr>
                                <w:p w14:paraId="4291AB3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r>
                            <w:tr w:rsidR="00541A14" w14:paraId="7AF3BE6B" w14:textId="77777777">
                              <w:trPr>
                                <w:trHeight w:val="195"/>
                              </w:trPr>
                              <w:tc>
                                <w:tcPr>
                                  <w:tcW w:w="3402" w:type="dxa"/>
                                  <w:tcBorders>
                                    <w:left w:val="single" w:sz="4" w:space="0" w:color="000203"/>
                                    <w:bottom w:val="single" w:sz="4" w:space="0" w:color="000000"/>
                                    <w:right w:val="single" w:sz="4" w:space="0" w:color="000406"/>
                                  </w:tcBorders>
                                  <w:shd w:val="clear" w:color="auto" w:fill="E3E9EE"/>
                                  <w:vAlign w:val="center"/>
                                </w:tcPr>
                                <w:p w14:paraId="06F81A0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Cargo handling </w:t>
                                  </w:r>
                                </w:p>
                              </w:tc>
                              <w:tc>
                                <w:tcPr>
                                  <w:tcW w:w="2107" w:type="dxa"/>
                                  <w:tcBorders>
                                    <w:left w:val="single" w:sz="4" w:space="0" w:color="000406"/>
                                    <w:bottom w:val="single" w:sz="4" w:space="0" w:color="000000"/>
                                    <w:right w:val="single" w:sz="4" w:space="0" w:color="000203"/>
                                  </w:tcBorders>
                                  <w:shd w:val="clear" w:color="auto" w:fill="E3E9EE"/>
                                </w:tcPr>
                                <w:p w14:paraId="770AF8B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0.1 </w:t>
                                  </w:r>
                                </w:p>
                              </w:tc>
                            </w:tr>
                          </w:tbl>
                          <w:p w14:paraId="5978D6D7"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margin-left:154.15pt;margin-top:231.5pt;width:315.45pt;height:313.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3402"/>
                        <w:gridCol w:w="2107"/>
                      </w:tblGrid>
                      <w:tr w:rsidR="00541A14" w14:paraId="169E624D" w14:textId="77777777">
                        <w:trPr>
                          <w:trHeight w:val="323"/>
                        </w:trPr>
                        <w:tc>
                          <w:tcPr>
                            <w:tcW w:w="3402" w:type="dxa"/>
                            <w:tcBorders>
                              <w:left w:val="single" w:sz="4" w:space="0" w:color="000203"/>
                              <w:right w:val="single" w:sz="4" w:space="0" w:color="000406"/>
                            </w:tcBorders>
                            <w:shd w:val="clear" w:color="auto" w:fill="01769F"/>
                            <w:vAlign w:val="center"/>
                          </w:tcPr>
                          <w:p w14:paraId="0A1CA2C1"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Application </w:t>
                            </w:r>
                          </w:p>
                        </w:tc>
                        <w:tc>
                          <w:tcPr>
                            <w:tcW w:w="2107" w:type="dxa"/>
                            <w:tcBorders>
                              <w:left w:val="single" w:sz="4" w:space="0" w:color="000406"/>
                              <w:right w:val="single" w:sz="4" w:space="0" w:color="000203"/>
                            </w:tcBorders>
                            <w:shd w:val="clear" w:color="auto" w:fill="01769F"/>
                            <w:vAlign w:val="center"/>
                          </w:tcPr>
                          <w:p w14:paraId="079C6A15"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Absolute horizontal accuracy (95%) / (m) </w:t>
                            </w:r>
                          </w:p>
                        </w:tc>
                      </w:tr>
                      <w:tr w:rsidR="00541A14" w14:paraId="16512E99" w14:textId="77777777">
                        <w:trPr>
                          <w:trHeight w:val="165"/>
                        </w:trPr>
                        <w:tc>
                          <w:tcPr>
                            <w:tcW w:w="3402" w:type="dxa"/>
                            <w:tcBorders>
                              <w:top w:val="single" w:sz="2" w:space="0" w:color="01769F"/>
                              <w:left w:val="single" w:sz="4" w:space="0" w:color="000203"/>
                              <w:right w:val="single" w:sz="4" w:space="0" w:color="000406"/>
                            </w:tcBorders>
                            <w:shd w:val="clear" w:color="auto" w:fill="E3E9EE"/>
                            <w:vAlign w:val="bottom"/>
                          </w:tcPr>
                          <w:p w14:paraId="552DE010"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Navigation: </w:t>
                            </w:r>
                          </w:p>
                        </w:tc>
                        <w:tc>
                          <w:tcPr>
                            <w:tcW w:w="2107" w:type="dxa"/>
                            <w:tcBorders>
                              <w:top w:val="single" w:sz="2" w:space="0" w:color="01769F"/>
                              <w:left w:val="single" w:sz="4" w:space="0" w:color="000406"/>
                              <w:right w:val="single" w:sz="4" w:space="0" w:color="000203"/>
                            </w:tcBorders>
                            <w:shd w:val="clear" w:color="auto" w:fill="E3E9EE"/>
                          </w:tcPr>
                          <w:p w14:paraId="5BF9B993" w14:textId="77777777" w:rsidR="00541A14" w:rsidRDefault="00541A14">
                            <w:pPr>
                              <w:pStyle w:val="Default"/>
                              <w:rPr>
                                <w:rFonts w:cs="Times New Roman"/>
                                <w:color w:val="auto"/>
                              </w:rPr>
                            </w:pPr>
                          </w:p>
                        </w:tc>
                      </w:tr>
                      <w:tr w:rsidR="00541A14" w14:paraId="0C1EECB7" w14:textId="77777777">
                        <w:trPr>
                          <w:trHeight w:val="150"/>
                        </w:trPr>
                        <w:tc>
                          <w:tcPr>
                            <w:tcW w:w="3402" w:type="dxa"/>
                            <w:tcBorders>
                              <w:left w:val="single" w:sz="4" w:space="0" w:color="000203"/>
                              <w:right w:val="single" w:sz="4" w:space="0" w:color="000406"/>
                            </w:tcBorders>
                            <w:shd w:val="clear" w:color="auto" w:fill="E3E9EE"/>
                            <w:vAlign w:val="center"/>
                          </w:tcPr>
                          <w:p w14:paraId="4375502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Ocean </w:t>
                            </w:r>
                          </w:p>
                        </w:tc>
                        <w:tc>
                          <w:tcPr>
                            <w:tcW w:w="2107" w:type="dxa"/>
                            <w:tcBorders>
                              <w:left w:val="single" w:sz="4" w:space="0" w:color="000406"/>
                              <w:right w:val="single" w:sz="4" w:space="0" w:color="000203"/>
                            </w:tcBorders>
                            <w:shd w:val="clear" w:color="auto" w:fill="E3E9EE"/>
                          </w:tcPr>
                          <w:p w14:paraId="06913806" w14:textId="77777777" w:rsidR="00541A14" w:rsidRDefault="00A450E1">
                            <w:pPr>
                              <w:pStyle w:val="Default"/>
                              <w:rPr>
                                <w:rFonts w:ascii="Helvetica 55 Roman" w:hAnsi="Helvetica 55 Roman" w:cs="Helvetica 55 Roman"/>
                                <w:sz w:val="10"/>
                                <w:szCs w:val="10"/>
                              </w:rPr>
                            </w:pPr>
                            <w:r>
                              <w:rPr>
                                <w:rFonts w:ascii="Helvetica 55 Roman" w:hAnsi="Helvetica 55 Roman" w:cs="Helvetica 55 Roman"/>
                                <w:sz w:val="18"/>
                                <w:szCs w:val="18"/>
                              </w:rPr>
                              <w:t>10-100</w:t>
                            </w:r>
                            <w:r>
                              <w:rPr>
                                <w:rFonts w:ascii="Helvetica 55 Roman" w:hAnsi="Helvetica 55 Roman" w:cs="Helvetica 55 Roman"/>
                                <w:sz w:val="10"/>
                                <w:szCs w:val="10"/>
                              </w:rPr>
                              <w:t xml:space="preserve">3 </w:t>
                            </w:r>
                          </w:p>
                        </w:tc>
                      </w:tr>
                      <w:tr w:rsidR="00541A14" w14:paraId="735E867F" w14:textId="77777777">
                        <w:trPr>
                          <w:trHeight w:val="148"/>
                        </w:trPr>
                        <w:tc>
                          <w:tcPr>
                            <w:tcW w:w="3402" w:type="dxa"/>
                            <w:tcBorders>
                              <w:left w:val="single" w:sz="4" w:space="0" w:color="000203"/>
                              <w:right w:val="single" w:sz="4" w:space="0" w:color="000406"/>
                            </w:tcBorders>
                            <w:shd w:val="clear" w:color="auto" w:fill="E3E9EE"/>
                            <w:vAlign w:val="center"/>
                          </w:tcPr>
                          <w:p w14:paraId="196BD43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Coastal </w:t>
                            </w:r>
                          </w:p>
                        </w:tc>
                        <w:tc>
                          <w:tcPr>
                            <w:tcW w:w="2107" w:type="dxa"/>
                            <w:tcBorders>
                              <w:left w:val="single" w:sz="4" w:space="0" w:color="000406"/>
                              <w:right w:val="single" w:sz="4" w:space="0" w:color="000203"/>
                            </w:tcBorders>
                            <w:shd w:val="clear" w:color="auto" w:fill="E3E9EE"/>
                          </w:tcPr>
                          <w:p w14:paraId="58BA04F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w:t>
                            </w:r>
                          </w:p>
                        </w:tc>
                      </w:tr>
                      <w:tr w:rsidR="00541A14" w14:paraId="30227754" w14:textId="77777777">
                        <w:trPr>
                          <w:trHeight w:val="147"/>
                        </w:trPr>
                        <w:tc>
                          <w:tcPr>
                            <w:tcW w:w="3402" w:type="dxa"/>
                            <w:tcBorders>
                              <w:left w:val="single" w:sz="4" w:space="0" w:color="000203"/>
                              <w:right w:val="single" w:sz="4" w:space="0" w:color="000406"/>
                            </w:tcBorders>
                            <w:shd w:val="clear" w:color="auto" w:fill="E3E9EE"/>
                            <w:vAlign w:val="center"/>
                          </w:tcPr>
                          <w:p w14:paraId="0C5AAA8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Restricted waters </w:t>
                            </w:r>
                          </w:p>
                        </w:tc>
                        <w:tc>
                          <w:tcPr>
                            <w:tcW w:w="2107" w:type="dxa"/>
                            <w:tcBorders>
                              <w:left w:val="single" w:sz="4" w:space="0" w:color="000406"/>
                              <w:right w:val="single" w:sz="4" w:space="0" w:color="000203"/>
                            </w:tcBorders>
                            <w:shd w:val="clear" w:color="auto" w:fill="E3E9EE"/>
                          </w:tcPr>
                          <w:p w14:paraId="0D4BCDC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w:t>
                            </w:r>
                          </w:p>
                        </w:tc>
                      </w:tr>
                      <w:tr w:rsidR="00541A14" w14:paraId="48E433B3" w14:textId="77777777">
                        <w:trPr>
                          <w:trHeight w:val="148"/>
                        </w:trPr>
                        <w:tc>
                          <w:tcPr>
                            <w:tcW w:w="3402" w:type="dxa"/>
                            <w:tcBorders>
                              <w:left w:val="single" w:sz="4" w:space="0" w:color="000203"/>
                              <w:right w:val="single" w:sz="4" w:space="0" w:color="000406"/>
                            </w:tcBorders>
                            <w:shd w:val="clear" w:color="auto" w:fill="E3E9EE"/>
                            <w:vAlign w:val="center"/>
                          </w:tcPr>
                          <w:p w14:paraId="3548AD2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Port </w:t>
                            </w:r>
                          </w:p>
                        </w:tc>
                        <w:tc>
                          <w:tcPr>
                            <w:tcW w:w="2107" w:type="dxa"/>
                            <w:tcBorders>
                              <w:left w:val="single" w:sz="4" w:space="0" w:color="000406"/>
                              <w:right w:val="single" w:sz="4" w:space="0" w:color="000203"/>
                            </w:tcBorders>
                            <w:shd w:val="clear" w:color="auto" w:fill="E3E9EE"/>
                          </w:tcPr>
                          <w:p w14:paraId="402790A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r>
                      <w:tr w:rsidR="00541A14" w14:paraId="6BE9B214" w14:textId="77777777">
                        <w:trPr>
                          <w:trHeight w:val="193"/>
                        </w:trPr>
                        <w:tc>
                          <w:tcPr>
                            <w:tcW w:w="3402" w:type="dxa"/>
                            <w:tcBorders>
                              <w:left w:val="single" w:sz="4" w:space="0" w:color="000203"/>
                              <w:right w:val="single" w:sz="4" w:space="0" w:color="000406"/>
                            </w:tcBorders>
                            <w:shd w:val="clear" w:color="auto" w:fill="E3E9EE"/>
                            <w:vAlign w:val="center"/>
                          </w:tcPr>
                          <w:p w14:paraId="75A0313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Inland waterways </w:t>
                            </w:r>
                          </w:p>
                        </w:tc>
                        <w:tc>
                          <w:tcPr>
                            <w:tcW w:w="2107" w:type="dxa"/>
                            <w:tcBorders>
                              <w:left w:val="single" w:sz="4" w:space="0" w:color="000406"/>
                              <w:right w:val="single" w:sz="4" w:space="0" w:color="000203"/>
                            </w:tcBorders>
                            <w:shd w:val="clear" w:color="auto" w:fill="E3E9EE"/>
                          </w:tcPr>
                          <w:p w14:paraId="1D8E01D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w:t>
                            </w:r>
                          </w:p>
                        </w:tc>
                      </w:tr>
                      <w:tr w:rsidR="00541A14" w14:paraId="24FDEBD3" w14:textId="77777777">
                        <w:trPr>
                          <w:trHeight w:val="213"/>
                        </w:trPr>
                        <w:tc>
                          <w:tcPr>
                            <w:tcW w:w="3402" w:type="dxa"/>
                            <w:tcBorders>
                              <w:left w:val="single" w:sz="4" w:space="0" w:color="000203"/>
                              <w:right w:val="single" w:sz="4" w:space="0" w:color="000406"/>
                            </w:tcBorders>
                            <w:vAlign w:val="center"/>
                          </w:tcPr>
                          <w:p w14:paraId="7F6197B5"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Hydrography </w:t>
                            </w:r>
                          </w:p>
                        </w:tc>
                        <w:tc>
                          <w:tcPr>
                            <w:tcW w:w="2107" w:type="dxa"/>
                            <w:tcBorders>
                              <w:left w:val="single" w:sz="4" w:space="0" w:color="000406"/>
                              <w:right w:val="single" w:sz="4" w:space="0" w:color="000203"/>
                            </w:tcBorders>
                            <w:vAlign w:val="center"/>
                          </w:tcPr>
                          <w:p w14:paraId="5E05F11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1-2 </w:t>
                            </w:r>
                          </w:p>
                        </w:tc>
                      </w:tr>
                      <w:tr w:rsidR="00541A14" w14:paraId="34AC0737" w14:textId="77777777">
                        <w:trPr>
                          <w:trHeight w:val="212"/>
                        </w:trPr>
                        <w:tc>
                          <w:tcPr>
                            <w:tcW w:w="3402" w:type="dxa"/>
                            <w:tcBorders>
                              <w:left w:val="single" w:sz="4" w:space="0" w:color="000203"/>
                              <w:right w:val="single" w:sz="4" w:space="0" w:color="000406"/>
                            </w:tcBorders>
                            <w:shd w:val="clear" w:color="auto" w:fill="E3E9EE"/>
                            <w:vAlign w:val="center"/>
                          </w:tcPr>
                          <w:p w14:paraId="3C4CBE8A"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Oceanography </w:t>
                            </w:r>
                          </w:p>
                        </w:tc>
                        <w:tc>
                          <w:tcPr>
                            <w:tcW w:w="2107" w:type="dxa"/>
                            <w:tcBorders>
                              <w:left w:val="single" w:sz="4" w:space="0" w:color="000406"/>
                              <w:right w:val="single" w:sz="4" w:space="0" w:color="000203"/>
                            </w:tcBorders>
                            <w:shd w:val="clear" w:color="auto" w:fill="E3E9EE"/>
                            <w:vAlign w:val="center"/>
                          </w:tcPr>
                          <w:p w14:paraId="6736998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w:t>
                            </w:r>
                          </w:p>
                        </w:tc>
                      </w:tr>
                      <w:tr w:rsidR="00541A14" w14:paraId="675EF4CE" w14:textId="77777777">
                        <w:trPr>
                          <w:trHeight w:val="378"/>
                        </w:trPr>
                        <w:tc>
                          <w:tcPr>
                            <w:tcW w:w="3402" w:type="dxa"/>
                            <w:tcBorders>
                              <w:left w:val="single" w:sz="4" w:space="0" w:color="000203"/>
                              <w:right w:val="single" w:sz="4" w:space="0" w:color="000406"/>
                            </w:tcBorders>
                            <w:vAlign w:val="bottom"/>
                          </w:tcPr>
                          <w:p w14:paraId="469D8D8A"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Aids to navigation management Port operations: </w:t>
                            </w:r>
                          </w:p>
                        </w:tc>
                        <w:tc>
                          <w:tcPr>
                            <w:tcW w:w="2107" w:type="dxa"/>
                            <w:tcBorders>
                              <w:left w:val="single" w:sz="4" w:space="0" w:color="000406"/>
                              <w:right w:val="single" w:sz="4" w:space="0" w:color="000203"/>
                            </w:tcBorders>
                          </w:tcPr>
                          <w:p w14:paraId="254BC8B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r>
                      <w:tr w:rsidR="00541A14" w14:paraId="2C27AFFE" w14:textId="77777777">
                        <w:trPr>
                          <w:trHeight w:val="148"/>
                        </w:trPr>
                        <w:tc>
                          <w:tcPr>
                            <w:tcW w:w="3402" w:type="dxa"/>
                            <w:tcBorders>
                              <w:left w:val="single" w:sz="4" w:space="0" w:color="000203"/>
                              <w:right w:val="single" w:sz="4" w:space="0" w:color="000406"/>
                            </w:tcBorders>
                            <w:shd w:val="clear" w:color="auto" w:fill="E3E9EE"/>
                            <w:vAlign w:val="center"/>
                          </w:tcPr>
                          <w:p w14:paraId="40E2801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Local VTS </w:t>
                            </w:r>
                          </w:p>
                        </w:tc>
                        <w:tc>
                          <w:tcPr>
                            <w:tcW w:w="2107" w:type="dxa"/>
                            <w:tcBorders>
                              <w:left w:val="single" w:sz="4" w:space="0" w:color="000406"/>
                              <w:right w:val="single" w:sz="4" w:space="0" w:color="000203"/>
                            </w:tcBorders>
                            <w:shd w:val="clear" w:color="auto" w:fill="E3E9EE"/>
                          </w:tcPr>
                          <w:p w14:paraId="4C59CD5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r>
                      <w:tr w:rsidR="00541A14" w14:paraId="5A826BE9" w14:textId="77777777">
                        <w:trPr>
                          <w:trHeight w:val="147"/>
                        </w:trPr>
                        <w:tc>
                          <w:tcPr>
                            <w:tcW w:w="3402" w:type="dxa"/>
                            <w:tcBorders>
                              <w:left w:val="single" w:sz="4" w:space="0" w:color="000203"/>
                              <w:right w:val="single" w:sz="4" w:space="0" w:color="000406"/>
                            </w:tcBorders>
                            <w:shd w:val="clear" w:color="auto" w:fill="E3E9EE"/>
                            <w:vAlign w:val="center"/>
                          </w:tcPr>
                          <w:p w14:paraId="099762E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Container/cargo management </w:t>
                            </w:r>
                          </w:p>
                        </w:tc>
                        <w:tc>
                          <w:tcPr>
                            <w:tcW w:w="2107" w:type="dxa"/>
                            <w:tcBorders>
                              <w:left w:val="single" w:sz="4" w:space="0" w:color="000406"/>
                              <w:right w:val="single" w:sz="4" w:space="0" w:color="000203"/>
                            </w:tcBorders>
                            <w:shd w:val="clear" w:color="auto" w:fill="E3E9EE"/>
                          </w:tcPr>
                          <w:p w14:paraId="0FB9807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r>
                      <w:tr w:rsidR="00541A14" w14:paraId="69629B99" w14:textId="77777777">
                        <w:trPr>
                          <w:trHeight w:val="148"/>
                        </w:trPr>
                        <w:tc>
                          <w:tcPr>
                            <w:tcW w:w="3402" w:type="dxa"/>
                            <w:tcBorders>
                              <w:left w:val="single" w:sz="4" w:space="0" w:color="000203"/>
                              <w:right w:val="single" w:sz="4" w:space="0" w:color="000406"/>
                            </w:tcBorders>
                            <w:shd w:val="clear" w:color="auto" w:fill="E3E9EE"/>
                            <w:vAlign w:val="center"/>
                          </w:tcPr>
                          <w:p w14:paraId="5872AE3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Law enforcement </w:t>
                            </w:r>
                          </w:p>
                        </w:tc>
                        <w:tc>
                          <w:tcPr>
                            <w:tcW w:w="2107" w:type="dxa"/>
                            <w:tcBorders>
                              <w:left w:val="single" w:sz="4" w:space="0" w:color="000406"/>
                              <w:right w:val="single" w:sz="4" w:space="0" w:color="000203"/>
                            </w:tcBorders>
                            <w:shd w:val="clear" w:color="auto" w:fill="E3E9EE"/>
                          </w:tcPr>
                          <w:p w14:paraId="4291AB3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r>
                      <w:tr w:rsidR="00541A14" w14:paraId="7AF3BE6B" w14:textId="77777777">
                        <w:trPr>
                          <w:trHeight w:val="195"/>
                        </w:trPr>
                        <w:tc>
                          <w:tcPr>
                            <w:tcW w:w="3402" w:type="dxa"/>
                            <w:tcBorders>
                              <w:left w:val="single" w:sz="4" w:space="0" w:color="000203"/>
                              <w:bottom w:val="single" w:sz="4" w:space="0" w:color="000000"/>
                              <w:right w:val="single" w:sz="4" w:space="0" w:color="000406"/>
                            </w:tcBorders>
                            <w:shd w:val="clear" w:color="auto" w:fill="E3E9EE"/>
                            <w:vAlign w:val="center"/>
                          </w:tcPr>
                          <w:p w14:paraId="06F81A0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Cargo handling </w:t>
                            </w:r>
                          </w:p>
                        </w:tc>
                        <w:tc>
                          <w:tcPr>
                            <w:tcW w:w="2107" w:type="dxa"/>
                            <w:tcBorders>
                              <w:left w:val="single" w:sz="4" w:space="0" w:color="000406"/>
                              <w:bottom w:val="single" w:sz="4" w:space="0" w:color="000000"/>
                              <w:right w:val="single" w:sz="4" w:space="0" w:color="000203"/>
                            </w:tcBorders>
                            <w:shd w:val="clear" w:color="auto" w:fill="E3E9EE"/>
                          </w:tcPr>
                          <w:p w14:paraId="770AF8B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0.1 </w:t>
                            </w:r>
                          </w:p>
                        </w:tc>
                      </w:tr>
                    </w:tbl>
                    <w:p w14:paraId="5978D6D7" w14:textId="77777777" w:rsidR="00000000" w:rsidRDefault="009E3F25"/>
                  </w:txbxContent>
                </v:textbox>
                <w10:wrap type="through" anchorx="page" anchory="page"/>
              </v:shape>
            </w:pict>
          </mc:Fallback>
        </mc:AlternateContent>
      </w:r>
    </w:p>
    <w:p w14:paraId="40A9BFFE"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2.3 Phases of Navigation </w:t>
      </w:r>
    </w:p>
    <w:p w14:paraId="4B374BC3"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Typically, navigation has been divided into three phases: </w:t>
      </w:r>
      <w:r>
        <w:rPr>
          <w:rFonts w:ascii="Palatino" w:hAnsi="Palatino" w:cs="Palatino"/>
          <w:b/>
          <w:bCs/>
          <w:color w:val="000000"/>
          <w:sz w:val="20"/>
          <w:szCs w:val="20"/>
        </w:rPr>
        <w:t>ocean navigation, coastal navigation</w:t>
      </w:r>
      <w:r>
        <w:rPr>
          <w:rFonts w:ascii="Palatino" w:hAnsi="Palatino" w:cs="Palatino"/>
          <w:color w:val="000000"/>
          <w:sz w:val="20"/>
          <w:szCs w:val="20"/>
        </w:rPr>
        <w:t xml:space="preserve"> and </w:t>
      </w:r>
      <w:r>
        <w:rPr>
          <w:rFonts w:ascii="Palatino" w:hAnsi="Palatino" w:cs="Palatino"/>
          <w:b/>
          <w:bCs/>
          <w:color w:val="000000"/>
          <w:sz w:val="20"/>
          <w:szCs w:val="20"/>
        </w:rPr>
        <w:t>restricted waters navigation</w:t>
      </w:r>
      <w:r>
        <w:rPr>
          <w:rFonts w:ascii="Palatino" w:hAnsi="Palatino" w:cs="Palatino"/>
          <w:color w:val="000000"/>
          <w:sz w:val="20"/>
          <w:szCs w:val="20"/>
        </w:rPr>
        <w:t xml:space="preserve">. Some documents have introduced other phases, namely </w:t>
      </w:r>
      <w:r>
        <w:rPr>
          <w:rFonts w:ascii="Palatino" w:hAnsi="Palatino" w:cs="Palatino"/>
          <w:b/>
          <w:bCs/>
          <w:color w:val="000000"/>
          <w:sz w:val="20"/>
          <w:szCs w:val="20"/>
        </w:rPr>
        <w:t>harbour approaches</w:t>
      </w:r>
      <w:r>
        <w:rPr>
          <w:rFonts w:ascii="Palatino" w:hAnsi="Palatino" w:cs="Palatino"/>
          <w:color w:val="000000"/>
          <w:sz w:val="20"/>
          <w:szCs w:val="20"/>
        </w:rPr>
        <w:t xml:space="preserve">, </w:t>
      </w:r>
      <w:r>
        <w:rPr>
          <w:rFonts w:ascii="Palatino" w:hAnsi="Palatino" w:cs="Palatino"/>
          <w:b/>
          <w:bCs/>
          <w:color w:val="000000"/>
          <w:sz w:val="20"/>
          <w:szCs w:val="20"/>
        </w:rPr>
        <w:t>port</w:t>
      </w:r>
      <w:r>
        <w:rPr>
          <w:rFonts w:ascii="Palatino" w:hAnsi="Palatino" w:cs="Palatino"/>
          <w:color w:val="000000"/>
          <w:sz w:val="20"/>
          <w:szCs w:val="20"/>
        </w:rPr>
        <w:t xml:space="preserve"> and </w:t>
      </w:r>
      <w:r>
        <w:rPr>
          <w:rFonts w:ascii="Palatino" w:hAnsi="Palatino" w:cs="Palatino"/>
          <w:b/>
          <w:bCs/>
          <w:color w:val="000000"/>
          <w:sz w:val="20"/>
          <w:szCs w:val="20"/>
        </w:rPr>
        <w:t>inland waterways</w:t>
      </w:r>
      <w:r>
        <w:rPr>
          <w:rFonts w:ascii="Palatino" w:hAnsi="Palatino" w:cs="Palatino"/>
          <w:color w:val="000000"/>
          <w:sz w:val="20"/>
          <w:szCs w:val="20"/>
        </w:rPr>
        <w:t xml:space="preserve"> navigation. </w:t>
      </w:r>
    </w:p>
    <w:p w14:paraId="2362658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harbour approach phase is an aspect of the restricted waters phase, but will be treated separately in this guide. </w:t>
      </w:r>
    </w:p>
    <w:p w14:paraId="10DE0F9D" w14:textId="77777777" w:rsidR="00541A14" w:rsidRDefault="00A450E1">
      <w:pPr>
        <w:pStyle w:val="CM176"/>
        <w:spacing w:after="1320" w:line="291" w:lineRule="atLeast"/>
        <w:ind w:right="107"/>
        <w:rPr>
          <w:rFonts w:ascii="Palatino" w:hAnsi="Palatino" w:cs="Palatino"/>
          <w:color w:val="000000"/>
          <w:sz w:val="20"/>
          <w:szCs w:val="20"/>
        </w:rPr>
      </w:pPr>
      <w:r>
        <w:rPr>
          <w:rFonts w:ascii="Palatino" w:hAnsi="Palatino" w:cs="Palatino"/>
          <w:color w:val="000000"/>
          <w:sz w:val="20"/>
          <w:szCs w:val="20"/>
        </w:rPr>
        <w:t xml:space="preserve">Port and inland waterways navigation are two aspects of restricted waters navigation and will not be dealt with separately in this guide as the precautions and measures required for restricted waters navigation also apply to these waters. </w:t>
      </w:r>
    </w:p>
    <w:p w14:paraId="3209C185" w14:textId="77777777" w:rsidR="00541A14" w:rsidRDefault="00A450E1">
      <w:pPr>
        <w:pStyle w:val="CM180"/>
        <w:spacing w:after="732" w:line="220" w:lineRule="atLeast"/>
        <w:rPr>
          <w:rFonts w:ascii="Palatino" w:hAnsi="Palatino" w:cs="Palatino"/>
          <w:color w:val="000000"/>
          <w:sz w:val="20"/>
          <w:szCs w:val="20"/>
        </w:rPr>
      </w:pPr>
      <w:r>
        <w:rPr>
          <w:rFonts w:ascii="Palatino" w:hAnsi="Palatino" w:cs="Palatino"/>
          <w:color w:val="000000"/>
          <w:position w:val="6"/>
          <w:sz w:val="20"/>
          <w:szCs w:val="20"/>
          <w:vertAlign w:val="superscript"/>
        </w:rPr>
        <w:t>3</w:t>
      </w:r>
      <w:r>
        <w:rPr>
          <w:rFonts w:ascii="Palatino" w:hAnsi="Palatino" w:cs="Palatino"/>
          <w:color w:val="000000"/>
          <w:sz w:val="20"/>
          <w:szCs w:val="20"/>
        </w:rPr>
        <w:t xml:space="preserve">IMO Resolution A.915(22) includes in its Appendix 2 the requirement for an accuracy of 10 m on ocean navigation, while IMO Resolution A.953(23) mentions that “where a radionavigation system is used to assist in the navigation of ships in ocean waters, the system should provide [an accuracy of] 100 m with a probability of 95%”. </w:t>
      </w:r>
    </w:p>
    <w:p w14:paraId="3B51C9BB" w14:textId="77777777" w:rsidR="00541A14" w:rsidRDefault="00DD420F">
      <w:pPr>
        <w:pStyle w:val="Default"/>
        <w:framePr w:w="10730" w:wrap="auto" w:vAnchor="page" w:hAnchor="page" w:x="589" w:y="16334"/>
        <w:rPr>
          <w:rFonts w:ascii="Palatino" w:hAnsi="Palatino" w:cs="Palatino"/>
          <w:sz w:val="20"/>
          <w:szCs w:val="20"/>
        </w:rPr>
      </w:pPr>
      <w:r>
        <w:rPr>
          <w:rFonts w:ascii="Palatino" w:hAnsi="Palatino" w:cs="Palatino"/>
          <w:noProof/>
          <w:sz w:val="20"/>
          <w:szCs w:val="20"/>
        </w:rPr>
        <w:drawing>
          <wp:inline distT="0" distB="0" distL="0" distR="0" wp14:anchorId="54EBD257" wp14:editId="75F140A0">
            <wp:extent cx="7542530" cy="380365"/>
            <wp:effectExtent l="0" t="0" r="127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542530" cy="380365"/>
                    </a:xfrm>
                    <a:prstGeom prst="rect">
                      <a:avLst/>
                    </a:prstGeom>
                    <a:noFill/>
                    <a:ln>
                      <a:noFill/>
                    </a:ln>
                  </pic:spPr>
                </pic:pic>
              </a:graphicData>
            </a:graphic>
          </wp:inline>
        </w:drawing>
      </w:r>
    </w:p>
    <w:p w14:paraId="4BB4F089" w14:textId="77777777" w:rsidR="00541A14" w:rsidRDefault="00DD420F">
      <w:pPr>
        <w:pStyle w:val="Default"/>
        <w:pageBreakBefore/>
        <w:framePr w:w="12892" w:wrap="auto" w:vAnchor="page" w:hAnchor="page" w:x="101" w:y="1"/>
        <w:spacing w:after="1000"/>
        <w:rPr>
          <w:rFonts w:ascii="Palatino" w:hAnsi="Palatino" w:cs="Palatino"/>
          <w:sz w:val="20"/>
          <w:szCs w:val="20"/>
        </w:rPr>
      </w:pPr>
      <w:r>
        <w:rPr>
          <w:rFonts w:ascii="Palatino" w:hAnsi="Palatino" w:cs="Palatino"/>
          <w:noProof/>
          <w:sz w:val="20"/>
          <w:szCs w:val="20"/>
        </w:rPr>
        <w:drawing>
          <wp:inline distT="0" distB="0" distL="0" distR="0" wp14:anchorId="43491EFB" wp14:editId="6736498A">
            <wp:extent cx="7553960" cy="954405"/>
            <wp:effectExtent l="0" t="0" r="0" b="1079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553960" cy="954405"/>
                    </a:xfrm>
                    <a:prstGeom prst="rect">
                      <a:avLst/>
                    </a:prstGeom>
                    <a:noFill/>
                    <a:ln>
                      <a:noFill/>
                    </a:ln>
                  </pic:spPr>
                </pic:pic>
              </a:graphicData>
            </a:graphic>
          </wp:inline>
        </w:drawing>
      </w:r>
    </w:p>
    <w:p w14:paraId="777C9D4B"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2.3.1 Ocean Navigation </w:t>
      </w:r>
    </w:p>
    <w:p w14:paraId="02AB4B2C"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In this phase, the vessel is typically (one or more of the following may apply): </w:t>
      </w:r>
    </w:p>
    <w:p w14:paraId="006F9375" w14:textId="77777777" w:rsidR="00541A14" w:rsidRDefault="00A450E1">
      <w:pPr>
        <w:pStyle w:val="Default"/>
        <w:numPr>
          <w:ilvl w:val="0"/>
          <w:numId w:val="14"/>
        </w:numPr>
        <w:spacing w:after="52"/>
        <w:rPr>
          <w:rFonts w:ascii="Palatino" w:hAnsi="Palatino" w:cs="Palatino"/>
          <w:sz w:val="20"/>
          <w:szCs w:val="20"/>
        </w:rPr>
      </w:pPr>
      <w:r>
        <w:rPr>
          <w:rFonts w:ascii="Palatino" w:hAnsi="Palatino" w:cs="Palatino"/>
          <w:sz w:val="20"/>
          <w:szCs w:val="20"/>
        </w:rPr>
        <w:t xml:space="preserve">beyond the continental shelf (200 metres in depth) and more than 50 nm from land; </w:t>
      </w:r>
    </w:p>
    <w:p w14:paraId="53789305" w14:textId="77777777" w:rsidR="00541A14" w:rsidRDefault="00A450E1">
      <w:pPr>
        <w:pStyle w:val="Default"/>
        <w:numPr>
          <w:ilvl w:val="0"/>
          <w:numId w:val="14"/>
        </w:numPr>
        <w:spacing w:after="52"/>
        <w:rPr>
          <w:rFonts w:ascii="Palatino" w:hAnsi="Palatino" w:cs="Palatino"/>
          <w:sz w:val="20"/>
          <w:szCs w:val="20"/>
        </w:rPr>
      </w:pPr>
      <w:r>
        <w:rPr>
          <w:rFonts w:ascii="Palatino" w:hAnsi="Palatino" w:cs="Palatino"/>
          <w:sz w:val="20"/>
          <w:szCs w:val="20"/>
        </w:rPr>
        <w:t xml:space="preserve">in waters where position fixing by visual reference to land, charted fixed offshore structures or to fixed or floating aids to navigation is not practical; </w:t>
      </w:r>
    </w:p>
    <w:p w14:paraId="53AD1B66" w14:textId="77777777" w:rsidR="00541A14" w:rsidRDefault="00A450E1">
      <w:pPr>
        <w:pStyle w:val="Default"/>
        <w:numPr>
          <w:ilvl w:val="0"/>
          <w:numId w:val="14"/>
        </w:numPr>
        <w:rPr>
          <w:rFonts w:ascii="Palatino" w:hAnsi="Palatino" w:cs="Palatino"/>
          <w:sz w:val="20"/>
          <w:szCs w:val="20"/>
        </w:rPr>
      </w:pPr>
      <w:r>
        <w:rPr>
          <w:rFonts w:ascii="Palatino" w:hAnsi="Palatino" w:cs="Palatino"/>
          <w:sz w:val="20"/>
          <w:szCs w:val="20"/>
        </w:rPr>
        <w:t xml:space="preserve">sufficiently far from land masses and traffic areas that the hazards of shallow water and of collision </w:t>
      </w:r>
    </w:p>
    <w:p w14:paraId="3300F711" w14:textId="77777777" w:rsidR="00541A14" w:rsidRDefault="00541A14">
      <w:pPr>
        <w:pStyle w:val="Default"/>
        <w:rPr>
          <w:rFonts w:ascii="Palatino" w:hAnsi="Palatino" w:cs="Palatino"/>
          <w:sz w:val="20"/>
          <w:szCs w:val="20"/>
        </w:rPr>
      </w:pPr>
    </w:p>
    <w:p w14:paraId="471306F1"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are comparatively small. </w:t>
      </w:r>
    </w:p>
    <w:p w14:paraId="3FFE1521" w14:textId="77777777" w:rsidR="00541A14" w:rsidRDefault="00A450E1">
      <w:pPr>
        <w:pStyle w:val="CM26"/>
        <w:ind w:right="177"/>
        <w:rPr>
          <w:rFonts w:ascii="Palatino" w:hAnsi="Palatino" w:cs="Palatino"/>
          <w:color w:val="000000"/>
          <w:sz w:val="20"/>
          <w:szCs w:val="20"/>
        </w:rPr>
      </w:pPr>
      <w:r>
        <w:rPr>
          <w:rFonts w:ascii="Palatino" w:hAnsi="Palatino" w:cs="Palatino"/>
          <w:color w:val="000000"/>
          <w:sz w:val="20"/>
          <w:szCs w:val="20"/>
        </w:rPr>
        <w:t xml:space="preserve">Although the IMO adopted more strict accuracy requirements (see Table 1) the minimum navigation requirements for the Ocean Phase are considered to be a predictable accuracy of 2 to 4 nm, combined </w:t>
      </w:r>
    </w:p>
    <w:p w14:paraId="117D7B1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with a desired fix interval of 15 minutes or less (maximum 2 hour fix interval).  The required accuracy </w:t>
      </w:r>
    </w:p>
    <w:p w14:paraId="15E6FA1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 the Ocean Phase is based on providing the ship with the capability to correctly plan the approach to land or restricted waters. </w:t>
      </w:r>
    </w:p>
    <w:p w14:paraId="59161A8D" w14:textId="77777777" w:rsidR="00541A14" w:rsidRDefault="00A450E1">
      <w:pPr>
        <w:pStyle w:val="CM3"/>
        <w:ind w:right="402"/>
        <w:rPr>
          <w:rFonts w:ascii="Palatino" w:hAnsi="Palatino" w:cs="Palatino"/>
          <w:color w:val="000000"/>
          <w:sz w:val="20"/>
          <w:szCs w:val="20"/>
        </w:rPr>
      </w:pPr>
      <w:r>
        <w:rPr>
          <w:rFonts w:ascii="Palatino" w:hAnsi="Palatino" w:cs="Palatino"/>
          <w:color w:val="000000"/>
          <w:sz w:val="20"/>
          <w:szCs w:val="20"/>
        </w:rPr>
        <w:t xml:space="preserve">The economic efficiency aspects of shipping (e.g. transit time and fuel consumption) are enhanced by the availability of a continuous and accurate position fixing system that enables a vessel to </w:t>
      </w:r>
    </w:p>
    <w:p w14:paraId="40058244"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follow the shortest safe route with precision. </w:t>
      </w:r>
    </w:p>
    <w:p w14:paraId="2E634BE3"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2.3.2 Coastal Navigation </w:t>
      </w:r>
    </w:p>
    <w:p w14:paraId="32630D7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 this phase, the vessel is typically: </w:t>
      </w:r>
    </w:p>
    <w:p w14:paraId="1D09864C" w14:textId="77777777" w:rsidR="00541A14" w:rsidRDefault="00A450E1">
      <w:pPr>
        <w:pStyle w:val="Default"/>
        <w:numPr>
          <w:ilvl w:val="0"/>
          <w:numId w:val="15"/>
        </w:numPr>
        <w:spacing w:after="52"/>
        <w:rPr>
          <w:rFonts w:ascii="Palatino" w:hAnsi="Palatino" w:cs="Palatino"/>
          <w:sz w:val="20"/>
          <w:szCs w:val="20"/>
        </w:rPr>
      </w:pPr>
      <w:r>
        <w:rPr>
          <w:rFonts w:ascii="Palatino" w:hAnsi="Palatino" w:cs="Palatino"/>
          <w:sz w:val="20"/>
          <w:szCs w:val="20"/>
        </w:rPr>
        <w:t xml:space="preserve">within 50 nm from shore or the limit of the continental shelf (200 metres in depth); </w:t>
      </w:r>
    </w:p>
    <w:p w14:paraId="1171DE30" w14:textId="77777777" w:rsidR="00541A14" w:rsidRDefault="00A450E1">
      <w:pPr>
        <w:pStyle w:val="Default"/>
        <w:numPr>
          <w:ilvl w:val="0"/>
          <w:numId w:val="15"/>
        </w:numPr>
        <w:rPr>
          <w:rFonts w:ascii="Palatino" w:hAnsi="Palatino" w:cs="Palatino"/>
          <w:sz w:val="20"/>
          <w:szCs w:val="20"/>
        </w:rPr>
      </w:pPr>
      <w:r>
        <w:rPr>
          <w:rFonts w:ascii="Palatino" w:hAnsi="Palatino" w:cs="Palatino"/>
          <w:sz w:val="20"/>
          <w:szCs w:val="20"/>
        </w:rPr>
        <w:t xml:space="preserve">in waters contiguous to major land masses or island groups where transoceanic routes tend to converge towards destination areas and where inter-port traffic exists in patterns that are </w:t>
      </w:r>
    </w:p>
    <w:p w14:paraId="5865A357" w14:textId="77777777" w:rsidR="00541A14" w:rsidRDefault="00541A14">
      <w:pPr>
        <w:pStyle w:val="Default"/>
        <w:rPr>
          <w:rFonts w:ascii="Palatino" w:hAnsi="Palatino" w:cs="Palatino"/>
          <w:sz w:val="20"/>
          <w:szCs w:val="20"/>
        </w:rPr>
      </w:pPr>
    </w:p>
    <w:p w14:paraId="4E381A85"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essentially parallel to coastlines. </w:t>
      </w:r>
    </w:p>
    <w:p w14:paraId="595E38F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ship may encounter: </w:t>
      </w:r>
    </w:p>
    <w:p w14:paraId="0EBBE447" w14:textId="77777777" w:rsidR="00541A14" w:rsidRDefault="00A450E1">
      <w:pPr>
        <w:pStyle w:val="Default"/>
        <w:numPr>
          <w:ilvl w:val="0"/>
          <w:numId w:val="16"/>
        </w:numPr>
        <w:rPr>
          <w:rFonts w:ascii="Palatino" w:hAnsi="Palatino" w:cs="Palatino"/>
          <w:sz w:val="20"/>
          <w:szCs w:val="20"/>
        </w:rPr>
      </w:pPr>
      <w:r>
        <w:rPr>
          <w:rFonts w:ascii="Palatino" w:hAnsi="Palatino" w:cs="Palatino"/>
          <w:sz w:val="20"/>
          <w:szCs w:val="20"/>
        </w:rPr>
        <w:t xml:space="preserve">ship reporting systems (SRS) and coastal vessel traffic services (VTS); • offshore exploitation and scientific activity on the continental shelf; </w:t>
      </w:r>
    </w:p>
    <w:p w14:paraId="59312007" w14:textId="77777777" w:rsidR="00541A14" w:rsidRDefault="00A450E1">
      <w:pPr>
        <w:pStyle w:val="Default"/>
        <w:numPr>
          <w:ilvl w:val="0"/>
          <w:numId w:val="16"/>
        </w:numPr>
        <w:rPr>
          <w:rFonts w:ascii="Palatino" w:hAnsi="Palatino" w:cs="Palatino"/>
          <w:sz w:val="20"/>
          <w:szCs w:val="20"/>
        </w:rPr>
      </w:pPr>
      <w:r>
        <w:rPr>
          <w:rFonts w:ascii="Palatino" w:hAnsi="Palatino" w:cs="Palatino"/>
          <w:sz w:val="20"/>
          <w:szCs w:val="20"/>
        </w:rPr>
        <w:t xml:space="preserve">fishing and recreational boating activity. </w:t>
      </w:r>
    </w:p>
    <w:p w14:paraId="4CA69B23" w14:textId="77777777" w:rsidR="00541A14" w:rsidRDefault="00541A14">
      <w:pPr>
        <w:pStyle w:val="Default"/>
        <w:rPr>
          <w:rFonts w:ascii="Palatino" w:hAnsi="Palatino" w:cs="Palatino"/>
          <w:sz w:val="20"/>
          <w:szCs w:val="20"/>
        </w:rPr>
      </w:pPr>
    </w:p>
    <w:p w14:paraId="2E9A6B74"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The Coastal Phase is considered to exist when the distance from shore makes it feasible to navigate by means of visual observations, radar and, if appropriate, by depth (echo) sounder.  As with the Ocean Phase, the distances from land can be varied to take account of the smaller vessels and local geographical characteristics. </w:t>
      </w:r>
    </w:p>
    <w:p w14:paraId="7518FD88" w14:textId="77777777" w:rsidR="00541A14" w:rsidRDefault="00A450E1">
      <w:pPr>
        <w:pStyle w:val="CM15"/>
        <w:ind w:right="570"/>
        <w:rPr>
          <w:rFonts w:ascii="Palatino" w:hAnsi="Palatino" w:cs="Palatino"/>
          <w:color w:val="000000"/>
          <w:sz w:val="20"/>
          <w:szCs w:val="20"/>
        </w:rPr>
      </w:pPr>
      <w:r>
        <w:rPr>
          <w:rFonts w:ascii="Palatino" w:hAnsi="Palatino" w:cs="Palatino"/>
          <w:color w:val="000000"/>
          <w:sz w:val="20"/>
          <w:szCs w:val="20"/>
        </w:rPr>
        <w:t xml:space="preserve">Although the IMO adopted more strict accuracy requirements (see Table 1), international studies have established that the minimum navigation requirements for commercial trading vessels </w:t>
      </w:r>
    </w:p>
    <w:p w14:paraId="5AC333AE" w14:textId="77777777" w:rsidR="00541A14" w:rsidRDefault="00A450E1">
      <w:pPr>
        <w:pStyle w:val="CM3"/>
        <w:ind w:right="402"/>
        <w:rPr>
          <w:rFonts w:ascii="Palatino" w:hAnsi="Palatino" w:cs="Palatino"/>
          <w:color w:val="000000"/>
          <w:sz w:val="20"/>
          <w:szCs w:val="20"/>
        </w:rPr>
      </w:pPr>
      <w:r>
        <w:rPr>
          <w:rFonts w:ascii="Palatino" w:hAnsi="Palatino" w:cs="Palatino"/>
          <w:color w:val="000000"/>
          <w:sz w:val="20"/>
          <w:szCs w:val="20"/>
        </w:rPr>
        <w:t xml:space="preserve">operating in the Coastal Phase is a navigation system capable of providing fix positioning to an accuracy of 0.25 nautical miles, combined with a desired fix interval of 2 minutes to a maximum of </w:t>
      </w:r>
    </w:p>
    <w:p w14:paraId="0DA27BFF" w14:textId="77777777" w:rsidR="00541A14" w:rsidRDefault="00A450E1">
      <w:pPr>
        <w:pStyle w:val="CM167"/>
        <w:spacing w:after="1902" w:line="291" w:lineRule="atLeast"/>
        <w:rPr>
          <w:rFonts w:ascii="Palatino" w:hAnsi="Palatino" w:cs="Palatino"/>
          <w:color w:val="000000"/>
          <w:sz w:val="20"/>
          <w:szCs w:val="20"/>
        </w:rPr>
      </w:pPr>
      <w:r>
        <w:rPr>
          <w:rFonts w:ascii="Palatino" w:hAnsi="Palatino" w:cs="Palatino"/>
          <w:color w:val="000000"/>
          <w:sz w:val="20"/>
          <w:szCs w:val="20"/>
        </w:rPr>
        <w:t xml:space="preserve">15 minutes. </w:t>
      </w:r>
    </w:p>
    <w:p w14:paraId="2D7B9AB0" w14:textId="77777777" w:rsidR="00541A14" w:rsidRDefault="00DD420F">
      <w:pPr>
        <w:pStyle w:val="Default"/>
        <w:framePr w:w="10740" w:wrap="auto" w:vAnchor="page" w:hAnchor="page" w:x="1415" w:y="16334"/>
        <w:rPr>
          <w:rFonts w:ascii="Palatino" w:hAnsi="Palatino" w:cs="Palatino"/>
          <w:sz w:val="20"/>
          <w:szCs w:val="20"/>
        </w:rPr>
      </w:pPr>
      <w:r>
        <w:rPr>
          <w:rFonts w:ascii="Palatino" w:hAnsi="Palatino" w:cs="Palatino"/>
          <w:noProof/>
          <w:sz w:val="20"/>
          <w:szCs w:val="20"/>
        </w:rPr>
        <w:drawing>
          <wp:inline distT="0" distB="0" distL="0" distR="0" wp14:anchorId="28B0227A" wp14:editId="08277904">
            <wp:extent cx="7553960" cy="380365"/>
            <wp:effectExtent l="0" t="0" r="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553960" cy="380365"/>
                    </a:xfrm>
                    <a:prstGeom prst="rect">
                      <a:avLst/>
                    </a:prstGeom>
                    <a:noFill/>
                    <a:ln>
                      <a:noFill/>
                    </a:ln>
                  </pic:spPr>
                </pic:pic>
              </a:graphicData>
            </a:graphic>
          </wp:inline>
        </w:drawing>
      </w:r>
    </w:p>
    <w:p w14:paraId="79EA1C7D" w14:textId="77777777" w:rsidR="00541A14" w:rsidRDefault="00DD420F">
      <w:pPr>
        <w:pStyle w:val="Default"/>
        <w:pageBreakBefore/>
        <w:framePr w:w="24798" w:wrap="auto" w:vAnchor="page" w:hAnchor="page" w:x="101" w:y="1"/>
        <w:spacing w:after="960"/>
        <w:rPr>
          <w:rFonts w:ascii="Palatino" w:hAnsi="Palatino" w:cs="Palatino"/>
          <w:sz w:val="20"/>
          <w:szCs w:val="20"/>
        </w:rPr>
      </w:pPr>
      <w:r>
        <w:rPr>
          <w:rFonts w:ascii="Palatino" w:hAnsi="Palatino" w:cs="Palatino"/>
          <w:noProof/>
          <w:sz w:val="20"/>
          <w:szCs w:val="20"/>
        </w:rPr>
        <w:drawing>
          <wp:inline distT="0" distB="0" distL="0" distR="0" wp14:anchorId="6D5A47FF" wp14:editId="3B88EEA8">
            <wp:extent cx="7553960" cy="954405"/>
            <wp:effectExtent l="0" t="0" r="0" b="1079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553960" cy="954405"/>
                    </a:xfrm>
                    <a:prstGeom prst="rect">
                      <a:avLst/>
                    </a:prstGeom>
                    <a:noFill/>
                    <a:ln>
                      <a:noFill/>
                    </a:ln>
                  </pic:spPr>
                </pic:pic>
              </a:graphicData>
            </a:graphic>
          </wp:inline>
        </w:drawing>
      </w:r>
    </w:p>
    <w:p w14:paraId="2553DD59" w14:textId="77777777" w:rsidR="00541A14" w:rsidRDefault="00A450E1">
      <w:pPr>
        <w:pStyle w:val="CM47"/>
        <w:ind w:right="432"/>
        <w:jc w:val="both"/>
        <w:rPr>
          <w:rFonts w:ascii="Palatino" w:hAnsi="Palatino" w:cs="Palatino"/>
          <w:color w:val="000000"/>
          <w:sz w:val="20"/>
          <w:szCs w:val="20"/>
        </w:rPr>
      </w:pPr>
      <w:r>
        <w:rPr>
          <w:rFonts w:ascii="Palatino" w:hAnsi="Palatino" w:cs="Palatino"/>
          <w:color w:val="000000"/>
          <w:sz w:val="20"/>
          <w:szCs w:val="20"/>
        </w:rPr>
        <w:t xml:space="preserve">More specialised maritime operations within the Coastal Phase may require navigational systems capable of a higher repeatable accuracy, either permanently or on an occasional basis.  These </w:t>
      </w:r>
    </w:p>
    <w:p w14:paraId="1D5F7594"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operations can include marine scientific research, hydrographic surveying, commercial fishing, </w:t>
      </w:r>
    </w:p>
    <w:p w14:paraId="722E64DC"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petroleum or mineral exploration and Search and Rescue (SAR). </w:t>
      </w:r>
    </w:p>
    <w:p w14:paraId="78E051AA"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It is not practical given the manning of most vessels to plot fixes at the desired interval of 2 minutes </w:t>
      </w:r>
    </w:p>
    <w:p w14:paraId="50A9EFCD" w14:textId="77777777" w:rsidR="00541A14" w:rsidRDefault="00A450E1">
      <w:pPr>
        <w:pStyle w:val="CM47"/>
        <w:ind w:right="432"/>
        <w:jc w:val="both"/>
        <w:rPr>
          <w:rFonts w:ascii="Palatino" w:hAnsi="Palatino" w:cs="Palatino"/>
          <w:color w:val="000000"/>
          <w:sz w:val="20"/>
          <w:szCs w:val="20"/>
        </w:rPr>
      </w:pPr>
      <w:r>
        <w:rPr>
          <w:rFonts w:ascii="Palatino" w:hAnsi="Palatino" w:cs="Palatino"/>
          <w:color w:val="000000"/>
          <w:sz w:val="20"/>
          <w:szCs w:val="20"/>
        </w:rPr>
        <w:t xml:space="preserve">on a chart in the traditional way. GPS and DGPS (and in the future in some areas enhanced Loran (eLORAN)) provide a means of achieving in excess of the  IMO Coastal Phase requirements for </w:t>
      </w:r>
    </w:p>
    <w:p w14:paraId="22616DDB"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positional accuracy and fix rates when integrated with Electronic Chart Systems (ECS) or Electronic </w:t>
      </w:r>
    </w:p>
    <w:p w14:paraId="0EC030FF" w14:textId="77777777" w:rsidR="00541A14" w:rsidRDefault="00A450E1">
      <w:pPr>
        <w:pStyle w:val="CM173"/>
        <w:spacing w:after="340" w:line="296" w:lineRule="atLeast"/>
        <w:jc w:val="both"/>
        <w:rPr>
          <w:rFonts w:ascii="Palatino" w:hAnsi="Palatino" w:cs="Palatino"/>
          <w:color w:val="000000"/>
          <w:sz w:val="20"/>
          <w:szCs w:val="20"/>
        </w:rPr>
      </w:pPr>
      <w:r>
        <w:rPr>
          <w:rFonts w:ascii="Palatino" w:hAnsi="Palatino" w:cs="Palatino"/>
          <w:color w:val="000000"/>
          <w:sz w:val="20"/>
          <w:szCs w:val="20"/>
        </w:rPr>
        <w:t xml:space="preserve">Chart Display &amp; Information System (ECDIS) technology. </w:t>
      </w:r>
    </w:p>
    <w:p w14:paraId="7E245038"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2.3.3 Harbour Approach </w:t>
      </w:r>
    </w:p>
    <w:p w14:paraId="52266D47"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This phase represents the transition from coastal to harbour navigation.  In this phase the: </w:t>
      </w:r>
    </w:p>
    <w:p w14:paraId="273B1D3A" w14:textId="77777777" w:rsidR="00541A14" w:rsidRDefault="00A450E1">
      <w:pPr>
        <w:pStyle w:val="Default"/>
        <w:numPr>
          <w:ilvl w:val="0"/>
          <w:numId w:val="17"/>
        </w:numPr>
        <w:spacing w:after="32"/>
        <w:rPr>
          <w:rFonts w:ascii="Palatino" w:hAnsi="Palatino" w:cs="Palatino"/>
          <w:sz w:val="20"/>
          <w:szCs w:val="20"/>
        </w:rPr>
      </w:pPr>
      <w:r>
        <w:rPr>
          <w:rFonts w:ascii="Palatino" w:hAnsi="Palatino" w:cs="Palatino"/>
          <w:sz w:val="20"/>
          <w:szCs w:val="20"/>
        </w:rPr>
        <w:t xml:space="preserve">vessel moves from the relatively unrestricted waters of the coastal phase into more restricted and more heavily trafficked waters near and/or within the entrance to a bay, river, or harbour; and </w:t>
      </w:r>
    </w:p>
    <w:p w14:paraId="21DD0B25" w14:textId="77777777" w:rsidR="00541A14" w:rsidRDefault="00A450E1">
      <w:pPr>
        <w:pStyle w:val="Default"/>
        <w:numPr>
          <w:ilvl w:val="0"/>
          <w:numId w:val="17"/>
        </w:numPr>
        <w:rPr>
          <w:rFonts w:ascii="Palatino" w:hAnsi="Palatino" w:cs="Palatino"/>
          <w:sz w:val="20"/>
          <w:szCs w:val="20"/>
        </w:rPr>
      </w:pPr>
      <w:r>
        <w:rPr>
          <w:rFonts w:ascii="Palatino" w:hAnsi="Palatino" w:cs="Palatino"/>
          <w:sz w:val="20"/>
          <w:szCs w:val="20"/>
        </w:rPr>
        <w:t xml:space="preserve">navigator is confronted with a requirement for more frequent position fixing and manoeuvring the vessel to avoid collision with other traffic and grounding dangers. </w:t>
      </w:r>
    </w:p>
    <w:p w14:paraId="38015273" w14:textId="77777777" w:rsidR="00541A14" w:rsidRDefault="00541A14">
      <w:pPr>
        <w:pStyle w:val="Default"/>
        <w:rPr>
          <w:rFonts w:ascii="Palatino" w:hAnsi="Palatino" w:cs="Palatino"/>
          <w:sz w:val="20"/>
          <w:szCs w:val="20"/>
        </w:rPr>
      </w:pPr>
    </w:p>
    <w:p w14:paraId="25C4CE9C"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The vessel will generally be within: </w:t>
      </w:r>
    </w:p>
    <w:p w14:paraId="0A36FF6E"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the coverage areas of aids to navigation of varying complexity (including lights, racons, leading </w:t>
      </w:r>
    </w:p>
    <w:p w14:paraId="7AF1E0BF"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lights and sector lights); </w:t>
      </w:r>
    </w:p>
    <w:p w14:paraId="2C47EBA9" w14:textId="77777777" w:rsidR="00541A14" w:rsidRDefault="00A450E1">
      <w:pPr>
        <w:pStyle w:val="Default"/>
        <w:numPr>
          <w:ilvl w:val="0"/>
          <w:numId w:val="18"/>
        </w:numPr>
        <w:spacing w:after="52"/>
        <w:rPr>
          <w:rFonts w:ascii="Palatino" w:hAnsi="Palatino" w:cs="Palatino"/>
          <w:sz w:val="20"/>
          <w:szCs w:val="20"/>
        </w:rPr>
      </w:pPr>
      <w:r>
        <w:rPr>
          <w:rFonts w:ascii="Palatino" w:hAnsi="Palatino" w:cs="Palatino"/>
          <w:sz w:val="20"/>
          <w:szCs w:val="20"/>
        </w:rPr>
        <w:t xml:space="preserve">pilotage areas; and </w:t>
      </w:r>
    </w:p>
    <w:p w14:paraId="5E287800" w14:textId="77777777" w:rsidR="00541A14" w:rsidRDefault="00A450E1">
      <w:pPr>
        <w:pStyle w:val="Default"/>
        <w:numPr>
          <w:ilvl w:val="0"/>
          <w:numId w:val="18"/>
        </w:numPr>
        <w:rPr>
          <w:rFonts w:ascii="Palatino" w:hAnsi="Palatino" w:cs="Palatino"/>
          <w:sz w:val="20"/>
          <w:szCs w:val="20"/>
        </w:rPr>
      </w:pPr>
      <w:r>
        <w:rPr>
          <w:rFonts w:ascii="Palatino" w:hAnsi="Palatino" w:cs="Palatino"/>
          <w:sz w:val="20"/>
          <w:szCs w:val="20"/>
        </w:rPr>
        <w:t xml:space="preserve">the boundaries of SRS and VTS. </w:t>
      </w:r>
    </w:p>
    <w:p w14:paraId="51908E63" w14:textId="77777777" w:rsidR="00541A14" w:rsidRDefault="00541A14">
      <w:pPr>
        <w:pStyle w:val="Default"/>
        <w:rPr>
          <w:rFonts w:ascii="Palatino" w:hAnsi="Palatino" w:cs="Palatino"/>
          <w:sz w:val="20"/>
          <w:szCs w:val="20"/>
        </w:rPr>
      </w:pPr>
    </w:p>
    <w:p w14:paraId="31B34581"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Safety of navigation issues that arise during the Harbour Approach Phase impose more stringent </w:t>
      </w:r>
    </w:p>
    <w:p w14:paraId="457E4206"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requirements on positional accuracy, fix rates and other real-time navigational information than those </w:t>
      </w:r>
    </w:p>
    <w:p w14:paraId="17B7CA0E"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required during the Coastal Phase. </w:t>
      </w:r>
    </w:p>
    <w:p w14:paraId="00CF47D1"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GPS and DGPS (and in the future in some areas enhanced Loran (eLORAN)) provide a means of </w:t>
      </w:r>
    </w:p>
    <w:p w14:paraId="2B02D067"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achieving the Harbour Approach requirements for high positional accuracy and fix rates at better than </w:t>
      </w:r>
    </w:p>
    <w:p w14:paraId="2601D118" w14:textId="77777777" w:rsidR="00541A14" w:rsidRDefault="00A450E1">
      <w:pPr>
        <w:pStyle w:val="CM173"/>
        <w:spacing w:after="340" w:line="296" w:lineRule="atLeast"/>
        <w:jc w:val="both"/>
        <w:rPr>
          <w:rFonts w:ascii="Palatino" w:hAnsi="Palatino" w:cs="Palatino"/>
          <w:color w:val="000000"/>
          <w:sz w:val="20"/>
          <w:szCs w:val="20"/>
        </w:rPr>
      </w:pPr>
      <w:r>
        <w:rPr>
          <w:rFonts w:ascii="Palatino" w:hAnsi="Palatino" w:cs="Palatino"/>
          <w:color w:val="000000"/>
          <w:sz w:val="20"/>
          <w:szCs w:val="20"/>
        </w:rPr>
        <w:t xml:space="preserve">10-second intervals when integrated with ECS and ECDIS technology. </w:t>
      </w:r>
    </w:p>
    <w:p w14:paraId="2EBF443F"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2.3.4 Restricted Waters </w:t>
      </w:r>
    </w:p>
    <w:p w14:paraId="7AAA01C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While similar to the Harbour Approach Phase, in the proximity to dangers and the limitations on freedom of manoeuvre, a Restricted Waters Phase can also develop during a coastal navigation phase, such as in various Straits around the world. </w:t>
      </w:r>
    </w:p>
    <w:p w14:paraId="67126201"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The Pilot or Master of a large vessel in restricted waters must direct its movement with great accuracy and precision to avoid grounding in shallow water, striking submerged dangers or colliding with </w:t>
      </w:r>
    </w:p>
    <w:p w14:paraId="47469F99"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other craft in a congested channel. If a large vessel finds itself in an emerging navigational situation </w:t>
      </w:r>
    </w:p>
    <w:p w14:paraId="7B65853F" w14:textId="77777777" w:rsidR="00541A14" w:rsidRDefault="00A450E1">
      <w:pPr>
        <w:pStyle w:val="CM183"/>
        <w:spacing w:after="1585" w:line="296" w:lineRule="atLeast"/>
        <w:jc w:val="both"/>
        <w:rPr>
          <w:rFonts w:ascii="Palatino" w:hAnsi="Palatino" w:cs="Palatino"/>
          <w:color w:val="000000"/>
          <w:sz w:val="20"/>
          <w:szCs w:val="20"/>
        </w:rPr>
      </w:pPr>
      <w:r>
        <w:rPr>
          <w:rFonts w:ascii="Palatino" w:hAnsi="Palatino" w:cs="Palatino"/>
          <w:color w:val="000000"/>
          <w:sz w:val="20"/>
          <w:szCs w:val="20"/>
        </w:rPr>
        <w:t xml:space="preserve">with no options to alter course or stop, it may be forced to navigate to limits measured to within a few metres in order to avoid an accident. </w:t>
      </w:r>
    </w:p>
    <w:p w14:paraId="00B5CBD5" w14:textId="77777777" w:rsidR="00541A14" w:rsidRDefault="00DD420F">
      <w:pPr>
        <w:pStyle w:val="Default"/>
        <w:framePr w:w="10730" w:wrap="auto" w:vAnchor="page" w:hAnchor="page" w:x="589" w:y="16334"/>
        <w:rPr>
          <w:rFonts w:ascii="Palatino" w:hAnsi="Palatino" w:cs="Palatino"/>
          <w:sz w:val="20"/>
          <w:szCs w:val="20"/>
        </w:rPr>
      </w:pPr>
      <w:r>
        <w:rPr>
          <w:rFonts w:ascii="Palatino" w:hAnsi="Palatino" w:cs="Palatino"/>
          <w:noProof/>
          <w:sz w:val="20"/>
          <w:szCs w:val="20"/>
        </w:rPr>
        <w:drawing>
          <wp:inline distT="0" distB="0" distL="0" distR="0" wp14:anchorId="0F3887F7" wp14:editId="06C4B58C">
            <wp:extent cx="7542530" cy="380365"/>
            <wp:effectExtent l="0" t="0" r="1270"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542530" cy="380365"/>
                    </a:xfrm>
                    <a:prstGeom prst="rect">
                      <a:avLst/>
                    </a:prstGeom>
                    <a:noFill/>
                    <a:ln>
                      <a:noFill/>
                    </a:ln>
                  </pic:spPr>
                </pic:pic>
              </a:graphicData>
            </a:graphic>
          </wp:inline>
        </w:drawing>
      </w:r>
    </w:p>
    <w:p w14:paraId="59596D4A" w14:textId="77777777" w:rsidR="00541A14" w:rsidRDefault="00DD420F">
      <w:pPr>
        <w:pStyle w:val="Default"/>
        <w:pageBreakBefore/>
        <w:framePr w:w="12892" w:wrap="auto" w:vAnchor="page" w:hAnchor="page" w:x="101" w:y="1"/>
        <w:spacing w:after="940"/>
        <w:rPr>
          <w:rFonts w:ascii="Palatino" w:hAnsi="Palatino" w:cs="Palatino"/>
          <w:sz w:val="20"/>
          <w:szCs w:val="20"/>
        </w:rPr>
      </w:pPr>
      <w:r>
        <w:rPr>
          <w:rFonts w:ascii="Palatino" w:hAnsi="Palatino" w:cs="Palatino"/>
          <w:noProof/>
          <w:sz w:val="20"/>
          <w:szCs w:val="20"/>
        </w:rPr>
        <w:drawing>
          <wp:inline distT="0" distB="0" distL="0" distR="0" wp14:anchorId="437572C8" wp14:editId="0BC141F8">
            <wp:extent cx="7553960" cy="954405"/>
            <wp:effectExtent l="0" t="0" r="0" b="1079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553960" cy="954405"/>
                    </a:xfrm>
                    <a:prstGeom prst="rect">
                      <a:avLst/>
                    </a:prstGeom>
                    <a:noFill/>
                    <a:ln>
                      <a:noFill/>
                    </a:ln>
                  </pic:spPr>
                </pic:pic>
              </a:graphicData>
            </a:graphic>
          </wp:inline>
        </w:drawing>
      </w:r>
    </w:p>
    <w:p w14:paraId="56C29197"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Requirements for safety of navigation in the Restricted Waters Phase make it desirable for navigation systems to provide: </w:t>
      </w:r>
    </w:p>
    <w:p w14:paraId="01582DC5" w14:textId="77777777" w:rsidR="00541A14" w:rsidRDefault="00A450E1">
      <w:pPr>
        <w:pStyle w:val="Default"/>
        <w:numPr>
          <w:ilvl w:val="0"/>
          <w:numId w:val="19"/>
        </w:numPr>
        <w:rPr>
          <w:rFonts w:ascii="Palatino" w:hAnsi="Palatino" w:cs="Palatino"/>
          <w:sz w:val="20"/>
          <w:szCs w:val="20"/>
        </w:rPr>
      </w:pPr>
      <w:r>
        <w:rPr>
          <w:rFonts w:ascii="Palatino" w:hAnsi="Palatino" w:cs="Palatino"/>
          <w:sz w:val="20"/>
          <w:szCs w:val="20"/>
        </w:rPr>
        <w:t xml:space="preserve">accurate verification of position almost continuously; </w:t>
      </w:r>
    </w:p>
    <w:p w14:paraId="2EE07EDD" w14:textId="77777777" w:rsidR="00541A14" w:rsidRDefault="00A450E1">
      <w:pPr>
        <w:pStyle w:val="Default"/>
        <w:numPr>
          <w:ilvl w:val="0"/>
          <w:numId w:val="19"/>
        </w:numPr>
        <w:rPr>
          <w:rFonts w:ascii="Palatino" w:hAnsi="Palatino" w:cs="Palatino"/>
          <w:sz w:val="20"/>
          <w:szCs w:val="20"/>
        </w:rPr>
      </w:pPr>
      <w:r>
        <w:rPr>
          <w:rFonts w:ascii="Palatino" w:hAnsi="Palatino" w:cs="Palatino"/>
          <w:sz w:val="20"/>
          <w:szCs w:val="20"/>
        </w:rPr>
        <w:t xml:space="preserve">information depicting any tendency for the vessel to deviate from its intended track; </w:t>
      </w:r>
    </w:p>
    <w:p w14:paraId="756FA2C6" w14:textId="77777777" w:rsidR="00541A14" w:rsidRDefault="00A450E1">
      <w:pPr>
        <w:pStyle w:val="Default"/>
        <w:numPr>
          <w:ilvl w:val="0"/>
          <w:numId w:val="19"/>
        </w:numPr>
        <w:rPr>
          <w:rFonts w:ascii="Palatino" w:hAnsi="Palatino" w:cs="Palatino"/>
          <w:sz w:val="20"/>
          <w:szCs w:val="20"/>
        </w:rPr>
      </w:pPr>
      <w:r>
        <w:rPr>
          <w:rFonts w:ascii="Palatino" w:hAnsi="Palatino" w:cs="Palatino"/>
          <w:sz w:val="20"/>
          <w:szCs w:val="20"/>
        </w:rPr>
        <w:t xml:space="preserve">instantaneous indication of the direction in which the ship should be steered to maintain the </w:t>
      </w:r>
    </w:p>
    <w:p w14:paraId="56C47E00" w14:textId="77777777" w:rsidR="00541A14" w:rsidRDefault="00541A14">
      <w:pPr>
        <w:pStyle w:val="Default"/>
        <w:rPr>
          <w:rFonts w:ascii="Palatino" w:hAnsi="Palatino" w:cs="Palatino"/>
          <w:sz w:val="20"/>
          <w:szCs w:val="20"/>
        </w:rPr>
      </w:pPr>
    </w:p>
    <w:p w14:paraId="4B22B62B" w14:textId="77777777" w:rsidR="00541A14" w:rsidRDefault="00A450E1">
      <w:pPr>
        <w:pStyle w:val="CM174"/>
        <w:spacing w:after="437" w:line="303" w:lineRule="atLeast"/>
        <w:ind w:firstLine="300"/>
        <w:rPr>
          <w:rFonts w:ascii="Palatino" w:hAnsi="Palatino" w:cs="Palatino"/>
          <w:color w:val="000000"/>
          <w:sz w:val="20"/>
          <w:szCs w:val="20"/>
        </w:rPr>
      </w:pPr>
      <w:r>
        <w:rPr>
          <w:rFonts w:ascii="Palatino" w:hAnsi="Palatino" w:cs="Palatino"/>
          <w:color w:val="000000"/>
          <w:sz w:val="20"/>
          <w:szCs w:val="20"/>
        </w:rPr>
        <w:t xml:space="preserve">intended course. These requirements are not easily achievable through the use of visual aids and ships’ radar alone, but as with Harbour Approach navigation, they can be achieved with a combination of DGPS (and in the future in some areas enhanced Loran (eLORAN)) and ECS or ECDIS technology. </w:t>
      </w:r>
    </w:p>
    <w:p w14:paraId="0DB3663E" w14:textId="77777777" w:rsidR="00541A14" w:rsidRDefault="00DD420F">
      <w:pPr>
        <w:pStyle w:val="Default"/>
        <w:framePr w:w="9870" w:wrap="auto" w:vAnchor="page" w:hAnchor="page" w:x="1437" w:y="5677"/>
        <w:spacing w:after="80"/>
        <w:rPr>
          <w:rFonts w:ascii="Palatino" w:hAnsi="Palatino" w:cs="Palatino"/>
          <w:sz w:val="20"/>
          <w:szCs w:val="20"/>
        </w:rPr>
      </w:pPr>
      <w:r>
        <w:rPr>
          <w:rFonts w:ascii="Palatino" w:hAnsi="Palatino" w:cs="Palatino"/>
          <w:noProof/>
          <w:sz w:val="20"/>
          <w:szCs w:val="20"/>
        </w:rPr>
        <w:drawing>
          <wp:inline distT="0" distB="0" distL="0" distR="0" wp14:anchorId="100C7C5F" wp14:editId="4A0C019B">
            <wp:extent cx="5753100" cy="4356100"/>
            <wp:effectExtent l="0" t="0" r="12700" b="1270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100" cy="4356100"/>
                    </a:xfrm>
                    <a:prstGeom prst="rect">
                      <a:avLst/>
                    </a:prstGeom>
                    <a:noFill/>
                    <a:ln>
                      <a:noFill/>
                    </a:ln>
                  </pic:spPr>
                </pic:pic>
              </a:graphicData>
            </a:graphic>
          </wp:inline>
        </w:drawing>
      </w:r>
    </w:p>
    <w:p w14:paraId="36660B1A" w14:textId="77777777" w:rsidR="00541A14" w:rsidRDefault="00A450E1">
      <w:pPr>
        <w:pStyle w:val="CM162"/>
        <w:spacing w:after="552"/>
        <w:jc w:val="center"/>
        <w:rPr>
          <w:rFonts w:ascii="Palatino" w:hAnsi="Palatino" w:cs="Palatino"/>
          <w:color w:val="000000"/>
          <w:sz w:val="20"/>
          <w:szCs w:val="20"/>
        </w:rPr>
      </w:pPr>
      <w:r>
        <w:rPr>
          <w:rFonts w:ascii="Palatino" w:hAnsi="Palatino" w:cs="Palatino"/>
          <w:i/>
          <w:iCs/>
          <w:color w:val="000000"/>
          <w:sz w:val="20"/>
          <w:szCs w:val="20"/>
        </w:rPr>
        <w:t xml:space="preserve">Photo courtesy of IALA </w:t>
      </w:r>
    </w:p>
    <w:p w14:paraId="03C4AF3A" w14:textId="77777777" w:rsidR="00541A14" w:rsidRDefault="00A450E1">
      <w:pPr>
        <w:pStyle w:val="CM172"/>
        <w:spacing w:after="202"/>
        <w:jc w:val="both"/>
        <w:rPr>
          <w:rFonts w:ascii="Futura Book" w:hAnsi="Futura Book" w:cs="Futura Book"/>
          <w:color w:val="2C5062"/>
          <w:sz w:val="28"/>
          <w:szCs w:val="28"/>
        </w:rPr>
      </w:pPr>
      <w:r>
        <w:rPr>
          <w:rFonts w:ascii="Futura Book" w:hAnsi="Futura Book" w:cs="Futura Book"/>
          <w:b/>
          <w:bCs/>
          <w:color w:val="2C5062"/>
          <w:sz w:val="28"/>
          <w:szCs w:val="28"/>
        </w:rPr>
        <w:t xml:space="preserve">2.4 Measurement Errors and Accuracy </w:t>
      </w:r>
    </w:p>
    <w:p w14:paraId="2B830230"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Good practice in both navigation and aids to navigation design dictates that an indication of the error </w:t>
      </w:r>
    </w:p>
    <w:p w14:paraId="5BF7B52A" w14:textId="77777777" w:rsidR="00541A14" w:rsidRDefault="00A450E1">
      <w:pPr>
        <w:pStyle w:val="CM165"/>
        <w:spacing w:after="85"/>
        <w:ind w:right="100"/>
        <w:rPr>
          <w:rFonts w:ascii="Palatino" w:hAnsi="Palatino" w:cs="Palatino"/>
          <w:color w:val="000000"/>
          <w:sz w:val="20"/>
          <w:szCs w:val="20"/>
        </w:rPr>
      </w:pPr>
      <w:r>
        <w:rPr>
          <w:rFonts w:ascii="Palatino" w:hAnsi="Palatino" w:cs="Palatino"/>
          <w:color w:val="000000"/>
          <w:sz w:val="20"/>
          <w:szCs w:val="20"/>
        </w:rPr>
        <w:t xml:space="preserve">or uncertainty in measuring a parameter or in obtaining a position fix should be reported along with </w:t>
      </w:r>
    </w:p>
    <w:p w14:paraId="48EE0245" w14:textId="77777777" w:rsidR="00541A14" w:rsidRDefault="00A450E1">
      <w:pPr>
        <w:pStyle w:val="CM183"/>
        <w:spacing w:after="1585"/>
        <w:jc w:val="both"/>
        <w:rPr>
          <w:rFonts w:ascii="Palatino" w:hAnsi="Palatino" w:cs="Palatino"/>
          <w:color w:val="000000"/>
          <w:sz w:val="20"/>
          <w:szCs w:val="20"/>
        </w:rPr>
      </w:pPr>
      <w:r>
        <w:rPr>
          <w:rFonts w:ascii="Palatino" w:hAnsi="Palatino" w:cs="Palatino"/>
          <w:color w:val="000000"/>
          <w:sz w:val="20"/>
          <w:szCs w:val="20"/>
        </w:rPr>
        <w:t xml:space="preserve">the derived result.  </w:t>
      </w:r>
    </w:p>
    <w:p w14:paraId="6DD9EE20" w14:textId="77777777" w:rsidR="00541A14" w:rsidRDefault="00DD420F">
      <w:pPr>
        <w:pStyle w:val="Default"/>
        <w:framePr w:w="10740" w:wrap="auto" w:vAnchor="page" w:hAnchor="page" w:x="1415" w:y="16334"/>
        <w:rPr>
          <w:rFonts w:ascii="Palatino" w:hAnsi="Palatino" w:cs="Palatino"/>
          <w:sz w:val="20"/>
          <w:szCs w:val="20"/>
        </w:rPr>
      </w:pPr>
      <w:r>
        <w:rPr>
          <w:rFonts w:ascii="Palatino" w:hAnsi="Palatino" w:cs="Palatino"/>
          <w:noProof/>
          <w:sz w:val="20"/>
          <w:szCs w:val="20"/>
        </w:rPr>
        <w:drawing>
          <wp:inline distT="0" distB="0" distL="0" distR="0" wp14:anchorId="49A680E2" wp14:editId="13AB3552">
            <wp:extent cx="7553960" cy="380365"/>
            <wp:effectExtent l="0" t="0" r="0" b="6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553960" cy="380365"/>
                    </a:xfrm>
                    <a:prstGeom prst="rect">
                      <a:avLst/>
                    </a:prstGeom>
                    <a:noFill/>
                    <a:ln>
                      <a:noFill/>
                    </a:ln>
                  </pic:spPr>
                </pic:pic>
              </a:graphicData>
            </a:graphic>
          </wp:inline>
        </w:drawing>
      </w:r>
    </w:p>
    <w:p w14:paraId="5C913264" w14:textId="77777777" w:rsidR="00541A14" w:rsidRDefault="00DD420F">
      <w:pPr>
        <w:pStyle w:val="Default"/>
        <w:pageBreakBefore/>
        <w:framePr w:w="24798" w:wrap="auto" w:vAnchor="page" w:hAnchor="page" w:x="101" w:y="1"/>
        <w:spacing w:after="1000"/>
        <w:rPr>
          <w:rFonts w:ascii="Palatino" w:hAnsi="Palatino" w:cs="Palatino"/>
          <w:sz w:val="20"/>
          <w:szCs w:val="20"/>
        </w:rPr>
      </w:pPr>
      <w:r>
        <w:rPr>
          <w:rFonts w:ascii="Palatino" w:hAnsi="Palatino" w:cs="Palatino"/>
          <w:noProof/>
          <w:sz w:val="20"/>
          <w:szCs w:val="20"/>
        </w:rPr>
        <w:drawing>
          <wp:inline distT="0" distB="0" distL="0" distR="0" wp14:anchorId="2A294EC0" wp14:editId="0DBEEBED">
            <wp:extent cx="7553960" cy="954405"/>
            <wp:effectExtent l="0" t="0" r="0" b="1079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553960" cy="954405"/>
                    </a:xfrm>
                    <a:prstGeom prst="rect">
                      <a:avLst/>
                    </a:prstGeom>
                    <a:noFill/>
                    <a:ln>
                      <a:noFill/>
                    </a:ln>
                  </pic:spPr>
                </pic:pic>
              </a:graphicData>
            </a:graphic>
          </wp:inline>
        </w:drawing>
      </w:r>
    </w:p>
    <w:p w14:paraId="49470E67"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2.4.1 Measurement Error </w:t>
      </w:r>
    </w:p>
    <w:p w14:paraId="46006AB9" w14:textId="77777777" w:rsidR="00541A14" w:rsidRDefault="00A450E1">
      <w:pPr>
        <w:pStyle w:val="CM172"/>
        <w:spacing w:after="202"/>
        <w:jc w:val="both"/>
        <w:rPr>
          <w:rFonts w:ascii="Palatino" w:hAnsi="Palatino" w:cs="Palatino"/>
          <w:color w:val="000000"/>
          <w:sz w:val="20"/>
          <w:szCs w:val="20"/>
        </w:rPr>
      </w:pPr>
      <w:r>
        <w:rPr>
          <w:rFonts w:ascii="Palatino" w:hAnsi="Palatino" w:cs="Palatino"/>
          <w:color w:val="000000"/>
          <w:sz w:val="20"/>
          <w:szCs w:val="20"/>
        </w:rPr>
        <w:t xml:space="preserve">The Measurement error is defined as the difference between the true value and the measured value. </w:t>
      </w:r>
    </w:p>
    <w:p w14:paraId="190B04DD" w14:textId="77777777" w:rsidR="00541A14" w:rsidRDefault="00A450E1">
      <w:pPr>
        <w:pStyle w:val="CM172"/>
        <w:spacing w:after="202"/>
        <w:jc w:val="both"/>
        <w:rPr>
          <w:rFonts w:ascii="Palatino" w:hAnsi="Palatino" w:cs="Palatino"/>
          <w:color w:val="000000"/>
          <w:sz w:val="20"/>
          <w:szCs w:val="20"/>
        </w:rPr>
      </w:pPr>
      <w:r>
        <w:rPr>
          <w:rFonts w:ascii="Palatino" w:hAnsi="Palatino" w:cs="Palatino"/>
          <w:color w:val="000000"/>
          <w:sz w:val="20"/>
          <w:szCs w:val="20"/>
        </w:rPr>
        <w:t xml:space="preserve">In general, three types of errors are recognised: </w:t>
      </w:r>
    </w:p>
    <w:p w14:paraId="56C65AF7" w14:textId="77777777" w:rsidR="00541A14" w:rsidRDefault="00A450E1">
      <w:pPr>
        <w:pStyle w:val="CM50"/>
        <w:ind w:left="300" w:hanging="300"/>
        <w:jc w:val="both"/>
        <w:rPr>
          <w:rFonts w:ascii="Palatino" w:hAnsi="Palatino" w:cs="Palatino"/>
          <w:color w:val="000000"/>
          <w:sz w:val="20"/>
          <w:szCs w:val="20"/>
        </w:rPr>
      </w:pPr>
      <w:r>
        <w:rPr>
          <w:rFonts w:ascii="Palatino" w:hAnsi="Palatino" w:cs="Palatino"/>
          <w:color w:val="000000"/>
          <w:sz w:val="20"/>
          <w:szCs w:val="20"/>
        </w:rPr>
        <w:t xml:space="preserve">• Systematic errors: (or fixed or bias errors) are errors that persist and are related to the inherent </w:t>
      </w:r>
    </w:p>
    <w:p w14:paraId="129C96EA" w14:textId="77777777" w:rsidR="00541A14" w:rsidRDefault="00A450E1">
      <w:pPr>
        <w:pStyle w:val="CM165"/>
        <w:spacing w:after="85" w:line="300" w:lineRule="atLeast"/>
        <w:ind w:left="300" w:right="165"/>
        <w:jc w:val="both"/>
        <w:rPr>
          <w:rFonts w:ascii="Palatino" w:hAnsi="Palatino" w:cs="Palatino"/>
          <w:color w:val="000000"/>
          <w:sz w:val="20"/>
          <w:szCs w:val="20"/>
        </w:rPr>
      </w:pPr>
      <w:r>
        <w:rPr>
          <w:rFonts w:ascii="Palatino" w:hAnsi="Palatino" w:cs="Palatino"/>
          <w:color w:val="000000"/>
          <w:sz w:val="20"/>
          <w:szCs w:val="20"/>
        </w:rPr>
        <w:t xml:space="preserve">accuracy of the equipment or result from incorrectly calibrated equipment.  This type of error can to some extent be foreseen and compensation applied. </w:t>
      </w:r>
    </w:p>
    <w:p w14:paraId="1C56590A" w14:textId="77777777" w:rsidR="00541A14" w:rsidRDefault="00A450E1">
      <w:pPr>
        <w:pStyle w:val="CM52"/>
        <w:ind w:left="300" w:right="135" w:hanging="300"/>
        <w:jc w:val="both"/>
        <w:rPr>
          <w:rFonts w:ascii="Palatino" w:hAnsi="Palatino" w:cs="Palatino"/>
          <w:color w:val="000000"/>
          <w:sz w:val="20"/>
          <w:szCs w:val="20"/>
        </w:rPr>
      </w:pPr>
      <w:r>
        <w:rPr>
          <w:rFonts w:ascii="Palatino" w:hAnsi="Palatino" w:cs="Palatino"/>
          <w:color w:val="000000"/>
          <w:sz w:val="20"/>
          <w:szCs w:val="20"/>
        </w:rPr>
        <w:t xml:space="preserve">• Random errors: cause readings to take random values either side of some mean value.  They may </w:t>
      </w:r>
    </w:p>
    <w:p w14:paraId="37A299CB" w14:textId="77777777" w:rsidR="00541A14" w:rsidRDefault="00A450E1">
      <w:pPr>
        <w:pStyle w:val="CM165"/>
        <w:spacing w:after="85" w:line="300" w:lineRule="atLeast"/>
        <w:ind w:left="300" w:right="227"/>
        <w:jc w:val="both"/>
        <w:rPr>
          <w:rFonts w:ascii="Palatino" w:hAnsi="Palatino" w:cs="Palatino"/>
          <w:color w:val="000000"/>
          <w:sz w:val="20"/>
          <w:szCs w:val="20"/>
        </w:rPr>
      </w:pPr>
      <w:r>
        <w:rPr>
          <w:rFonts w:ascii="Palatino" w:hAnsi="Palatino" w:cs="Palatino"/>
          <w:color w:val="000000"/>
          <w:sz w:val="20"/>
          <w:szCs w:val="20"/>
        </w:rPr>
        <w:t xml:space="preserve">be due to the observer/operator or the equipment and are revealed by taking repeated readings.  This type of error can neither be foreseen nor totally compensated for. </w:t>
      </w:r>
    </w:p>
    <w:p w14:paraId="73F2CD52" w14:textId="77777777" w:rsidR="00541A14" w:rsidRDefault="00A450E1">
      <w:pPr>
        <w:pStyle w:val="CM173"/>
        <w:spacing w:after="340" w:line="291" w:lineRule="atLeast"/>
        <w:ind w:left="300" w:right="227" w:hanging="300"/>
        <w:jc w:val="both"/>
        <w:rPr>
          <w:rFonts w:ascii="Palatino" w:hAnsi="Palatino" w:cs="Palatino"/>
          <w:color w:val="000000"/>
          <w:sz w:val="20"/>
          <w:szCs w:val="20"/>
        </w:rPr>
      </w:pPr>
      <w:r>
        <w:rPr>
          <w:rFonts w:ascii="Palatino" w:hAnsi="Palatino" w:cs="Palatino"/>
          <w:color w:val="000000"/>
          <w:sz w:val="20"/>
          <w:szCs w:val="20"/>
        </w:rPr>
        <w:t xml:space="preserve">• Faults and mistakes: errors of this type can be reduced by appropriate training and by following defined procedures. </w:t>
      </w:r>
    </w:p>
    <w:p w14:paraId="44BBB50E"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2.4.2 Accuracy </w:t>
      </w:r>
    </w:p>
    <w:p w14:paraId="701DB412" w14:textId="77777777" w:rsidR="00541A14" w:rsidRDefault="00A450E1">
      <w:pPr>
        <w:pStyle w:val="CM165"/>
        <w:spacing w:after="85" w:line="300" w:lineRule="atLeast"/>
        <w:ind w:right="432"/>
        <w:jc w:val="both"/>
        <w:rPr>
          <w:rFonts w:ascii="Palatino" w:hAnsi="Palatino" w:cs="Palatino"/>
          <w:color w:val="000000"/>
          <w:sz w:val="20"/>
          <w:szCs w:val="20"/>
        </w:rPr>
      </w:pPr>
      <w:r>
        <w:rPr>
          <w:rFonts w:ascii="Palatino" w:hAnsi="Palatino" w:cs="Palatino"/>
          <w:color w:val="000000"/>
          <w:sz w:val="20"/>
          <w:szCs w:val="20"/>
        </w:rPr>
        <w:t xml:space="preserve">In a process where a number of measurements are taken, the term accuracy refers to the degree of conformity between the measured parameter at a given time and its true parameter at that time. </w:t>
      </w:r>
    </w:p>
    <w:p w14:paraId="3E921C83"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The term parameter includes: position, coordinates, velocity, time, angle, etc. </w:t>
      </w:r>
    </w:p>
    <w:p w14:paraId="065C9EBE"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For navigational purposes, four types of accuracy can be defined: </w:t>
      </w:r>
    </w:p>
    <w:p w14:paraId="2A4287A3"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Absolute accuracy (Geodetic or Geographic accuracy): the accuracy of a position with respect to the </w:t>
      </w:r>
    </w:p>
    <w:p w14:paraId="555A3CEC"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geographic or geodetic coordinates of the Earth. </w:t>
      </w:r>
    </w:p>
    <w:p w14:paraId="01E0193B"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Predictable Accuracy: the accuracy with which a position can be defined when the predicted errors </w:t>
      </w:r>
    </w:p>
    <w:p w14:paraId="0D34AAB4" w14:textId="77777777" w:rsidR="00541A14" w:rsidRDefault="00A450E1">
      <w:pPr>
        <w:pStyle w:val="CM165"/>
        <w:spacing w:after="85" w:line="296" w:lineRule="atLeast"/>
        <w:jc w:val="center"/>
        <w:rPr>
          <w:rFonts w:ascii="Palatino" w:hAnsi="Palatino" w:cs="Palatino"/>
          <w:color w:val="000000"/>
          <w:sz w:val="20"/>
          <w:szCs w:val="20"/>
        </w:rPr>
      </w:pPr>
      <w:r>
        <w:rPr>
          <w:rFonts w:ascii="Palatino" w:hAnsi="Palatino" w:cs="Palatino"/>
          <w:color w:val="000000"/>
          <w:sz w:val="20"/>
          <w:szCs w:val="20"/>
        </w:rPr>
        <w:t xml:space="preserve">have been taken into account. It therefore depends on the state of knowledge of the error sources. </w:t>
      </w:r>
    </w:p>
    <w:p w14:paraId="38856CB2" w14:textId="77777777" w:rsidR="00541A14" w:rsidRDefault="00A450E1">
      <w:pPr>
        <w:pStyle w:val="CM55"/>
        <w:ind w:left="300" w:right="437" w:hanging="300"/>
        <w:jc w:val="both"/>
        <w:rPr>
          <w:rFonts w:ascii="Palatino" w:hAnsi="Palatino" w:cs="Palatino"/>
          <w:color w:val="000000"/>
          <w:sz w:val="20"/>
          <w:szCs w:val="20"/>
        </w:rPr>
      </w:pPr>
      <w:r>
        <w:rPr>
          <w:rFonts w:ascii="Palatino" w:hAnsi="Palatino" w:cs="Palatino"/>
          <w:color w:val="000000"/>
          <w:sz w:val="20"/>
          <w:szCs w:val="20"/>
        </w:rPr>
        <w:t xml:space="preserve">• Relative accuracy or Relational Accuracy: the accuracy with which a user can determine position </w:t>
      </w:r>
    </w:p>
    <w:p w14:paraId="71A7C710"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relative to that of another user of the same navigation system at the same time. </w:t>
      </w:r>
    </w:p>
    <w:p w14:paraId="4C8C9CA2"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Repeatable Accuracy: the accuracy with which a user can return to a position whose coordinates </w:t>
      </w:r>
    </w:p>
    <w:p w14:paraId="4961DB60" w14:textId="77777777" w:rsidR="00541A14" w:rsidRDefault="00A450E1">
      <w:pPr>
        <w:pStyle w:val="CM165"/>
        <w:spacing w:after="85" w:line="300" w:lineRule="atLeast"/>
        <w:ind w:left="300" w:right="165"/>
        <w:jc w:val="both"/>
        <w:rPr>
          <w:rFonts w:ascii="Palatino" w:hAnsi="Palatino" w:cs="Palatino"/>
          <w:color w:val="000000"/>
          <w:sz w:val="20"/>
          <w:szCs w:val="20"/>
        </w:rPr>
      </w:pPr>
      <w:r>
        <w:rPr>
          <w:rFonts w:ascii="Palatino" w:hAnsi="Palatino" w:cs="Palatino"/>
          <w:color w:val="000000"/>
          <w:sz w:val="20"/>
          <w:szCs w:val="20"/>
        </w:rPr>
        <w:t xml:space="preserve">have been measured at a previous time using uncorrelated measurements from the same navigation system. </w:t>
      </w:r>
    </w:p>
    <w:p w14:paraId="4A29DAA0"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For general navigation, the Absolute and Predictable accuracy are the principal concerns.  </w:t>
      </w:r>
    </w:p>
    <w:p w14:paraId="42B5036B"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Repeatable Accuracy is of more interest to fishermen, the offshore oil and gas industry, ships </w:t>
      </w:r>
    </w:p>
    <w:p w14:paraId="3550EACD"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making regular trips into an area of restricted waters and lighthouse authorities when positioning </w:t>
      </w:r>
    </w:p>
    <w:p w14:paraId="7C4C8686" w14:textId="77777777" w:rsidR="00541A14" w:rsidRDefault="00A450E1">
      <w:pPr>
        <w:pStyle w:val="CM175"/>
        <w:spacing w:after="267" w:line="296" w:lineRule="atLeast"/>
        <w:jc w:val="both"/>
        <w:rPr>
          <w:rFonts w:ascii="Palatino" w:hAnsi="Palatino" w:cs="Palatino"/>
          <w:color w:val="000000"/>
          <w:sz w:val="20"/>
          <w:szCs w:val="20"/>
        </w:rPr>
      </w:pPr>
      <w:r>
        <w:rPr>
          <w:rFonts w:ascii="Palatino" w:hAnsi="Palatino" w:cs="Palatino"/>
          <w:color w:val="000000"/>
          <w:sz w:val="20"/>
          <w:szCs w:val="20"/>
        </w:rPr>
        <w:t xml:space="preserve">floating aids to navigation. </w:t>
      </w:r>
    </w:p>
    <w:p w14:paraId="1ED1AA88" w14:textId="77777777" w:rsidR="00541A14" w:rsidRDefault="00A450E1">
      <w:pPr>
        <w:pStyle w:val="CM165"/>
        <w:spacing w:after="85" w:line="296"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Accuracy of a Position Fix </w:t>
      </w:r>
    </w:p>
    <w:p w14:paraId="6C87F3F4"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A minimum of two lines of position (LOP) are necessary to determine a position at sea.  Since there is </w:t>
      </w:r>
    </w:p>
    <w:p w14:paraId="36A6BB99"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an error associated with each LOP, the position fix has a two dimensional error.  There are a number of </w:t>
      </w:r>
    </w:p>
    <w:p w14:paraId="35779C0C" w14:textId="77777777" w:rsidR="00541A14" w:rsidRDefault="00A450E1">
      <w:pPr>
        <w:pStyle w:val="CM184"/>
        <w:spacing w:after="1660" w:line="286" w:lineRule="atLeast"/>
        <w:ind w:right="197"/>
        <w:jc w:val="both"/>
        <w:rPr>
          <w:rFonts w:ascii="Palatino" w:hAnsi="Palatino" w:cs="Palatino"/>
          <w:color w:val="000000"/>
          <w:sz w:val="20"/>
          <w:szCs w:val="20"/>
        </w:rPr>
      </w:pPr>
      <w:r>
        <w:rPr>
          <w:rFonts w:ascii="Palatino" w:hAnsi="Palatino" w:cs="Palatino"/>
          <w:color w:val="000000"/>
          <w:sz w:val="20"/>
          <w:szCs w:val="20"/>
        </w:rPr>
        <w:t xml:space="preserve">ways of analysing the error boundary, however the radial position error relative to the true position, taken at the 95% probability level, has been adopted as the preferred method.  </w:t>
      </w:r>
    </w:p>
    <w:p w14:paraId="48AA4C6E" w14:textId="77777777" w:rsidR="00541A14" w:rsidRDefault="00DD420F">
      <w:pPr>
        <w:pStyle w:val="Default"/>
        <w:framePr w:w="10730" w:wrap="auto" w:vAnchor="page" w:hAnchor="page" w:x="589" w:y="16334"/>
        <w:rPr>
          <w:rFonts w:ascii="Palatino" w:hAnsi="Palatino" w:cs="Palatino"/>
          <w:sz w:val="20"/>
          <w:szCs w:val="20"/>
        </w:rPr>
      </w:pPr>
      <w:r>
        <w:rPr>
          <w:rFonts w:ascii="Palatino" w:hAnsi="Palatino" w:cs="Palatino"/>
          <w:noProof/>
          <w:sz w:val="20"/>
          <w:szCs w:val="20"/>
        </w:rPr>
        <w:drawing>
          <wp:inline distT="0" distB="0" distL="0" distR="0" wp14:anchorId="706DA435" wp14:editId="39417F8A">
            <wp:extent cx="7542530" cy="380365"/>
            <wp:effectExtent l="0" t="0" r="127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542530" cy="380365"/>
                    </a:xfrm>
                    <a:prstGeom prst="rect">
                      <a:avLst/>
                    </a:prstGeom>
                    <a:noFill/>
                    <a:ln>
                      <a:noFill/>
                    </a:ln>
                  </pic:spPr>
                </pic:pic>
              </a:graphicData>
            </a:graphic>
          </wp:inline>
        </w:drawing>
      </w:r>
    </w:p>
    <w:p w14:paraId="4842EA28" w14:textId="77777777" w:rsidR="00541A14" w:rsidRDefault="00DD420F">
      <w:pPr>
        <w:pStyle w:val="Default"/>
        <w:pageBreakBefore/>
        <w:framePr w:w="12892" w:wrap="auto" w:vAnchor="page" w:hAnchor="page" w:x="101" w:y="1"/>
        <w:spacing w:after="1000"/>
        <w:rPr>
          <w:rFonts w:ascii="Palatino" w:hAnsi="Palatino" w:cs="Palatino"/>
          <w:sz w:val="20"/>
          <w:szCs w:val="20"/>
        </w:rPr>
      </w:pPr>
      <w:r>
        <w:rPr>
          <w:rFonts w:ascii="Palatino" w:hAnsi="Palatino" w:cs="Palatino"/>
          <w:noProof/>
          <w:sz w:val="20"/>
          <w:szCs w:val="20"/>
        </w:rPr>
        <w:drawing>
          <wp:inline distT="0" distB="0" distL="0" distR="0" wp14:anchorId="20C69565" wp14:editId="7D5E095F">
            <wp:extent cx="7553960" cy="954405"/>
            <wp:effectExtent l="0" t="0" r="0" b="1079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553960" cy="954405"/>
                    </a:xfrm>
                    <a:prstGeom prst="rect">
                      <a:avLst/>
                    </a:prstGeom>
                    <a:noFill/>
                    <a:ln>
                      <a:noFill/>
                    </a:ln>
                  </pic:spPr>
                </pic:pic>
              </a:graphicData>
            </a:graphic>
          </wp:inline>
        </w:drawing>
      </w:r>
    </w:p>
    <w:p w14:paraId="4A1DE456"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Navigational Position Fixing Measurements </w:t>
      </w:r>
    </w:p>
    <w:p w14:paraId="77CD8EFB" w14:textId="77777777" w:rsidR="00541A14" w:rsidRDefault="00A450E1">
      <w:pPr>
        <w:pStyle w:val="CM185"/>
        <w:spacing w:after="140" w:line="296" w:lineRule="atLeast"/>
        <w:jc w:val="both"/>
        <w:rPr>
          <w:rFonts w:ascii="Palatino" w:hAnsi="Palatino" w:cs="Palatino"/>
          <w:color w:val="000000"/>
          <w:sz w:val="20"/>
          <w:szCs w:val="20"/>
        </w:rPr>
      </w:pPr>
      <w:r>
        <w:rPr>
          <w:rFonts w:ascii="Palatino" w:hAnsi="Palatino" w:cs="Palatino"/>
          <w:color w:val="000000"/>
          <w:sz w:val="20"/>
          <w:szCs w:val="20"/>
        </w:rPr>
        <w:t xml:space="preserve">Table 2 shows the typical accuracy (95% probability) achieved using common navigational instruments or techniques. </w:t>
      </w:r>
    </w:p>
    <w:p w14:paraId="23F327ED" w14:textId="77777777" w:rsidR="00541A14" w:rsidRDefault="00A450E1">
      <w:pPr>
        <w:pStyle w:val="CM172"/>
        <w:spacing w:after="202" w:line="296" w:lineRule="atLeast"/>
        <w:jc w:val="both"/>
        <w:rPr>
          <w:rFonts w:ascii="Palatino" w:hAnsi="Palatino" w:cs="Palatino"/>
          <w:color w:val="000000"/>
          <w:sz w:val="20"/>
          <w:szCs w:val="20"/>
        </w:rPr>
      </w:pPr>
      <w:r>
        <w:rPr>
          <w:rFonts w:ascii="Palatino" w:hAnsi="Palatino" w:cs="Palatino"/>
          <w:b/>
          <w:bCs/>
          <w:color w:val="000000"/>
          <w:sz w:val="20"/>
          <w:szCs w:val="20"/>
        </w:rPr>
        <w:t xml:space="preserve">Table 2 – Accuracy of some position-fixing processes and systems </w:t>
      </w:r>
    </w:p>
    <w:p w14:paraId="424F6293"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59264" behindDoc="0" locked="0" layoutInCell="0" allowOverlap="1" wp14:anchorId="1B9A7EDF" wp14:editId="1101E025">
                <wp:simplePos x="0" y="0"/>
                <wp:positionH relativeFrom="page">
                  <wp:posOffset>826770</wp:posOffset>
                </wp:positionH>
                <wp:positionV relativeFrom="page">
                  <wp:posOffset>2449195</wp:posOffset>
                </wp:positionV>
                <wp:extent cx="6266815" cy="3309620"/>
                <wp:effectExtent l="0" t="0" r="0" b="0"/>
                <wp:wrapThrough wrapText="bothSides">
                  <wp:wrapPolygon edited="0">
                    <wp:start x="0" y="0"/>
                    <wp:lineTo x="21600" y="0"/>
                    <wp:lineTo x="21600" y="21600"/>
                    <wp:lineTo x="0" y="21600"/>
                    <wp:lineTo x="0" y="0"/>
                  </wp:wrapPolygon>
                </wp:wrapThrough>
                <wp:docPr id="55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6815" cy="3309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3830"/>
                              <w:gridCol w:w="3932"/>
                              <w:gridCol w:w="1307"/>
                            </w:tblGrid>
                            <w:tr w:rsidR="00541A14" w14:paraId="0859560A" w14:textId="77777777">
                              <w:trPr>
                                <w:trHeight w:val="297"/>
                              </w:trPr>
                              <w:tc>
                                <w:tcPr>
                                  <w:tcW w:w="3830" w:type="dxa"/>
                                  <w:tcBorders>
                                    <w:top w:val="single" w:sz="4" w:space="0" w:color="001219"/>
                                    <w:left w:val="single" w:sz="4" w:space="0" w:color="000203"/>
                                    <w:right w:val="single" w:sz="4" w:space="0" w:color="000406"/>
                                  </w:tcBorders>
                                  <w:shd w:val="clear" w:color="auto" w:fill="01769F"/>
                                  <w:vAlign w:val="center"/>
                                </w:tcPr>
                                <w:p w14:paraId="038F5288"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Process </w:t>
                                  </w:r>
                                </w:p>
                              </w:tc>
                              <w:tc>
                                <w:tcPr>
                                  <w:tcW w:w="3932" w:type="dxa"/>
                                  <w:tcBorders>
                                    <w:top w:val="single" w:sz="4" w:space="0" w:color="001219"/>
                                    <w:left w:val="single" w:sz="4" w:space="0" w:color="000406"/>
                                    <w:right w:val="single" w:sz="4" w:space="0" w:color="000406"/>
                                  </w:tcBorders>
                                  <w:shd w:val="clear" w:color="auto" w:fill="01769F"/>
                                  <w:vAlign w:val="center"/>
                                </w:tcPr>
                                <w:p w14:paraId="2C5DDC56"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Typical accuracy (95%probability) </w:t>
                                  </w:r>
                                </w:p>
                              </w:tc>
                              <w:tc>
                                <w:tcPr>
                                  <w:tcW w:w="1307" w:type="dxa"/>
                                  <w:tcBorders>
                                    <w:top w:val="single" w:sz="4" w:space="0" w:color="001219"/>
                                    <w:left w:val="single" w:sz="4" w:space="0" w:color="000406"/>
                                    <w:right w:val="single" w:sz="4" w:space="0" w:color="000203"/>
                                  </w:tcBorders>
                                  <w:shd w:val="clear" w:color="auto" w:fill="01769F"/>
                                  <w:vAlign w:val="center"/>
                                </w:tcPr>
                                <w:p w14:paraId="27DA9A2C"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Accuracy at 1 NM (metres) </w:t>
                                  </w:r>
                                </w:p>
                              </w:tc>
                            </w:tr>
                            <w:tr w:rsidR="00541A14" w14:paraId="50BDE710" w14:textId="77777777">
                              <w:trPr>
                                <w:trHeight w:val="266"/>
                              </w:trPr>
                              <w:tc>
                                <w:tcPr>
                                  <w:tcW w:w="3830" w:type="dxa"/>
                                  <w:tcBorders>
                                    <w:top w:val="single" w:sz="2" w:space="0" w:color="01769F"/>
                                    <w:left w:val="single" w:sz="4" w:space="0" w:color="000203"/>
                                    <w:right w:val="single" w:sz="4" w:space="0" w:color="000406"/>
                                  </w:tcBorders>
                                  <w:shd w:val="clear" w:color="auto" w:fill="E3E9EE"/>
                                  <w:vAlign w:val="center"/>
                                </w:tcPr>
                                <w:p w14:paraId="66467F1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Magnetic compass bearing on a light or landmark </w:t>
                                  </w:r>
                                </w:p>
                              </w:tc>
                              <w:tc>
                                <w:tcPr>
                                  <w:tcW w:w="3932" w:type="dxa"/>
                                  <w:tcBorders>
                                    <w:top w:val="single" w:sz="2" w:space="0" w:color="01769F"/>
                                    <w:left w:val="single" w:sz="4" w:space="0" w:color="000406"/>
                                    <w:right w:val="single" w:sz="4" w:space="0" w:color="000406"/>
                                  </w:tcBorders>
                                  <w:shd w:val="clear" w:color="auto" w:fill="E3E9EE"/>
                                  <w:vAlign w:val="center"/>
                                </w:tcPr>
                                <w:p w14:paraId="398798A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±3º The accuracy may deteriorate in high latitudes </w:t>
                                  </w:r>
                                </w:p>
                              </w:tc>
                              <w:tc>
                                <w:tcPr>
                                  <w:tcW w:w="1307" w:type="dxa"/>
                                  <w:tcBorders>
                                    <w:top w:val="single" w:sz="2" w:space="0" w:color="01769F"/>
                                    <w:left w:val="single" w:sz="4" w:space="0" w:color="000406"/>
                                    <w:right w:val="single" w:sz="4" w:space="0" w:color="000203"/>
                                  </w:tcBorders>
                                  <w:shd w:val="clear" w:color="auto" w:fill="E3E9EE"/>
                                </w:tcPr>
                                <w:p w14:paraId="21F8616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93 </w:t>
                                  </w:r>
                                </w:p>
                              </w:tc>
                            </w:tr>
                            <w:tr w:rsidR="00541A14" w14:paraId="59126952" w14:textId="77777777">
                              <w:trPr>
                                <w:trHeight w:val="156"/>
                              </w:trPr>
                              <w:tc>
                                <w:tcPr>
                                  <w:tcW w:w="3830" w:type="dxa"/>
                                  <w:tcBorders>
                                    <w:left w:val="single" w:sz="4" w:space="0" w:color="000203"/>
                                    <w:right w:val="single" w:sz="4" w:space="0" w:color="000406"/>
                                  </w:tcBorders>
                                  <w:vAlign w:val="center"/>
                                </w:tcPr>
                                <w:p w14:paraId="20563C9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Gyro-compass bearing on a light or landmark </w:t>
                                  </w:r>
                                </w:p>
                              </w:tc>
                              <w:tc>
                                <w:tcPr>
                                  <w:tcW w:w="3932" w:type="dxa"/>
                                  <w:tcBorders>
                                    <w:left w:val="single" w:sz="4" w:space="0" w:color="000406"/>
                                    <w:right w:val="single" w:sz="4" w:space="0" w:color="000406"/>
                                  </w:tcBorders>
                                  <w:vAlign w:val="center"/>
                                </w:tcPr>
                                <w:p w14:paraId="275E1B6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0.75º X secant latitude (below 60º of latitude) </w:t>
                                  </w:r>
                                </w:p>
                              </w:tc>
                              <w:tc>
                                <w:tcPr>
                                  <w:tcW w:w="1307" w:type="dxa"/>
                                  <w:tcBorders>
                                    <w:left w:val="single" w:sz="4" w:space="0" w:color="000406"/>
                                    <w:right w:val="single" w:sz="4" w:space="0" w:color="000203"/>
                                  </w:tcBorders>
                                  <w:vAlign w:val="center"/>
                                </w:tcPr>
                                <w:p w14:paraId="604F30D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&lt; 62 </w:t>
                                  </w:r>
                                </w:p>
                              </w:tc>
                            </w:tr>
                            <w:tr w:rsidR="00541A14" w14:paraId="3E4DA6BA" w14:textId="77777777">
                              <w:trPr>
                                <w:trHeight w:val="156"/>
                              </w:trPr>
                              <w:tc>
                                <w:tcPr>
                                  <w:tcW w:w="3830" w:type="dxa"/>
                                  <w:tcBorders>
                                    <w:left w:val="single" w:sz="4" w:space="0" w:color="000203"/>
                                    <w:right w:val="single" w:sz="4" w:space="0" w:color="000406"/>
                                  </w:tcBorders>
                                  <w:shd w:val="clear" w:color="auto" w:fill="E3E9EE"/>
                                  <w:vAlign w:val="center"/>
                                </w:tcPr>
                                <w:p w14:paraId="325F633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Radio direction finder </w:t>
                                  </w:r>
                                </w:p>
                              </w:tc>
                              <w:tc>
                                <w:tcPr>
                                  <w:tcW w:w="3932" w:type="dxa"/>
                                  <w:tcBorders>
                                    <w:left w:val="single" w:sz="4" w:space="0" w:color="000406"/>
                                    <w:right w:val="single" w:sz="4" w:space="0" w:color="000406"/>
                                  </w:tcBorders>
                                  <w:shd w:val="clear" w:color="auto" w:fill="E3E9EE"/>
                                  <w:vAlign w:val="center"/>
                                </w:tcPr>
                                <w:p w14:paraId="106E8C4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±3º to ±10º </w:t>
                                  </w:r>
                                </w:p>
                              </w:tc>
                              <w:tc>
                                <w:tcPr>
                                  <w:tcW w:w="1307" w:type="dxa"/>
                                  <w:tcBorders>
                                    <w:left w:val="single" w:sz="4" w:space="0" w:color="000406"/>
                                    <w:right w:val="single" w:sz="4" w:space="0" w:color="000203"/>
                                  </w:tcBorders>
                                  <w:shd w:val="clear" w:color="auto" w:fill="E3E9EE"/>
                                  <w:vAlign w:val="center"/>
                                </w:tcPr>
                                <w:p w14:paraId="7C07477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93 - 310 </w:t>
                                  </w:r>
                                </w:p>
                              </w:tc>
                            </w:tr>
                            <w:tr w:rsidR="00541A14" w14:paraId="16B3ED85" w14:textId="77777777">
                              <w:trPr>
                                <w:trHeight w:val="1367"/>
                              </w:trPr>
                              <w:tc>
                                <w:tcPr>
                                  <w:tcW w:w="3830" w:type="dxa"/>
                                  <w:tcBorders>
                                    <w:left w:val="single" w:sz="4" w:space="0" w:color="000203"/>
                                    <w:bottom w:val="single" w:sz="4" w:space="0" w:color="000000"/>
                                    <w:right w:val="single" w:sz="4" w:space="0" w:color="000406"/>
                                  </w:tcBorders>
                                </w:tcPr>
                                <w:p w14:paraId="4402093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Radar bearing Radar distance measurement LORAN-C / CHAYKA GPS DGPS (GNSS) (ITU-R M.823/1 Format) Dead Reckoning (DR) </w:t>
                                  </w:r>
                                </w:p>
                              </w:tc>
                              <w:tc>
                                <w:tcPr>
                                  <w:tcW w:w="3932" w:type="dxa"/>
                                  <w:tcBorders>
                                    <w:left w:val="single" w:sz="4" w:space="0" w:color="000406"/>
                                    <w:bottom w:val="single" w:sz="4" w:space="0" w:color="000000"/>
                                    <w:right w:val="single" w:sz="4" w:space="0" w:color="000406"/>
                                  </w:tcBorders>
                                </w:tcPr>
                                <w:p w14:paraId="1D2815B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±1º Assuming a stabilized presentation and a reasonably steady craft 1% of the maximum range of the scale in use or 30 metres, whichever is the greater 0.25 nm 13 – 36 metres 1 – 3 metres Approximately 1 nautical mile for each hour of sailing </w:t>
                                  </w:r>
                                </w:p>
                              </w:tc>
                              <w:tc>
                                <w:tcPr>
                                  <w:tcW w:w="1307" w:type="dxa"/>
                                  <w:tcBorders>
                                    <w:left w:val="single" w:sz="4" w:space="0" w:color="000406"/>
                                    <w:bottom w:val="single" w:sz="4" w:space="0" w:color="000000"/>
                                    <w:right w:val="single" w:sz="4" w:space="0" w:color="000203"/>
                                  </w:tcBorders>
                                </w:tcPr>
                                <w:p w14:paraId="25D5D0B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31 </w:t>
                                  </w:r>
                                </w:p>
                              </w:tc>
                            </w:tr>
                          </w:tbl>
                          <w:p w14:paraId="4A7B8E04"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margin-left:65.1pt;margin-top:192.85pt;width:493.45pt;height:260.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32"/>
                        <w:gridCol w:w="473"/>
                        <w:gridCol w:w="115"/>
                        <w:gridCol w:w="42"/>
                        <w:gridCol w:w="33"/>
                        <w:gridCol w:w="120"/>
                        <w:gridCol w:w="182"/>
                        <w:gridCol w:w="5"/>
                        <w:gridCol w:w="28"/>
                        <w:gridCol w:w="70"/>
                        <w:gridCol w:w="65"/>
                        <w:gridCol w:w="87"/>
                        <w:gridCol w:w="30"/>
                        <w:gridCol w:w="50"/>
                        <w:gridCol w:w="10"/>
                        <w:gridCol w:w="110"/>
                        <w:gridCol w:w="15"/>
                        <w:gridCol w:w="55"/>
                        <w:gridCol w:w="20"/>
                        <w:gridCol w:w="50"/>
                        <w:gridCol w:w="50"/>
                        <w:gridCol w:w="60"/>
                        <w:gridCol w:w="58"/>
                        <w:gridCol w:w="95"/>
                        <w:gridCol w:w="2"/>
                        <w:gridCol w:w="33"/>
                        <w:gridCol w:w="155"/>
                        <w:gridCol w:w="20"/>
                        <w:gridCol w:w="129"/>
                        <w:gridCol w:w="68"/>
                        <w:gridCol w:w="105"/>
                        <w:gridCol w:w="7"/>
                        <w:gridCol w:w="5"/>
                        <w:gridCol w:w="65"/>
                        <w:gridCol w:w="58"/>
                        <w:gridCol w:w="22"/>
                        <w:gridCol w:w="8"/>
                        <w:gridCol w:w="7"/>
                        <w:gridCol w:w="73"/>
                        <w:gridCol w:w="120"/>
                        <w:gridCol w:w="72"/>
                        <w:gridCol w:w="220"/>
                        <w:gridCol w:w="15"/>
                        <w:gridCol w:w="5"/>
                        <w:gridCol w:w="60"/>
                        <w:gridCol w:w="237"/>
                        <w:gridCol w:w="11"/>
                        <w:gridCol w:w="27"/>
                        <w:gridCol w:w="15"/>
                        <w:gridCol w:w="11"/>
                        <w:gridCol w:w="14"/>
                        <w:gridCol w:w="50"/>
                        <w:gridCol w:w="103"/>
                        <w:gridCol w:w="33"/>
                        <w:gridCol w:w="99"/>
                        <w:gridCol w:w="135"/>
                        <w:gridCol w:w="5"/>
                        <w:gridCol w:w="5"/>
                        <w:gridCol w:w="12"/>
                        <w:gridCol w:w="47"/>
                        <w:gridCol w:w="168"/>
                        <w:gridCol w:w="48"/>
                        <w:gridCol w:w="4"/>
                        <w:gridCol w:w="110"/>
                        <w:gridCol w:w="12"/>
                        <w:gridCol w:w="108"/>
                        <w:gridCol w:w="4"/>
                        <w:gridCol w:w="22"/>
                        <w:gridCol w:w="47"/>
                        <w:gridCol w:w="123"/>
                        <w:gridCol w:w="170"/>
                        <w:gridCol w:w="30"/>
                        <w:gridCol w:w="18"/>
                        <w:gridCol w:w="89"/>
                        <w:gridCol w:w="47"/>
                        <w:gridCol w:w="121"/>
                        <w:gridCol w:w="45"/>
                        <w:gridCol w:w="189"/>
                        <w:gridCol w:w="10"/>
                        <w:gridCol w:w="207"/>
                        <w:gridCol w:w="86"/>
                        <w:gridCol w:w="70"/>
                        <w:gridCol w:w="8"/>
                        <w:gridCol w:w="78"/>
                        <w:gridCol w:w="75"/>
                        <w:gridCol w:w="77"/>
                        <w:gridCol w:w="122"/>
                        <w:gridCol w:w="157"/>
                        <w:gridCol w:w="95"/>
                        <w:gridCol w:w="88"/>
                        <w:gridCol w:w="55"/>
                        <w:gridCol w:w="2"/>
                        <w:gridCol w:w="283"/>
                        <w:gridCol w:w="177"/>
                        <w:gridCol w:w="77"/>
                        <w:gridCol w:w="76"/>
                        <w:gridCol w:w="119"/>
                        <w:gridCol w:w="23"/>
                        <w:gridCol w:w="144"/>
                        <w:gridCol w:w="45"/>
                        <w:gridCol w:w="116"/>
                        <w:gridCol w:w="605"/>
                        <w:gridCol w:w="176"/>
                        <w:gridCol w:w="161"/>
                        <w:gridCol w:w="173"/>
                        <w:gridCol w:w="71"/>
                        <w:gridCol w:w="6"/>
                        <w:gridCol w:w="13"/>
                        <w:gridCol w:w="2"/>
                        <w:gridCol w:w="8"/>
                        <w:gridCol w:w="76"/>
                        <w:gridCol w:w="1845"/>
                        <w:gridCol w:w="345"/>
                        <w:gridCol w:w="47"/>
                        <w:gridCol w:w="1670"/>
                        <w:gridCol w:w="13"/>
                      </w:tblGrid>
                      <w:tr w:rsidR="00000000" w14:paraId="0859560A" w14:textId="77777777">
                        <w:tblPrEx>
                          <w:tblCellMar>
                            <w:top w:w="0" w:type="dxa"/>
                            <w:bottom w:w="0" w:type="dxa"/>
                          </w:tblCellMar>
                        </w:tblPrEx>
                        <w:trPr>
                          <w:gridAfter w:val="8"/>
                          <w:wAfter w:w="2005" w:type="dxa"/>
                          <w:trHeight w:val="297"/>
                        </w:trPr>
                        <w:tc>
                          <w:tcPr>
                            <w:tcW w:w="3830" w:type="dxa"/>
                            <w:gridSpan w:val="51"/>
                            <w:tcBorders>
                              <w:top w:val="single" w:sz="4" w:space="0" w:color="001219"/>
                              <w:left w:val="single" w:sz="4" w:space="0" w:color="000203"/>
                              <w:right w:val="single" w:sz="4" w:space="0" w:color="000406"/>
                            </w:tcBorders>
                            <w:shd w:val="clear" w:color="auto" w:fill="01769F"/>
                            <w:vAlign w:val="center"/>
                          </w:tcPr>
                          <w:p w14:paraId="038F5288" w14:textId="77777777" w:rsidR="00000000"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Process </w:t>
                            </w:r>
                          </w:p>
                        </w:tc>
                        <w:tc>
                          <w:tcPr>
                            <w:tcW w:w="3932" w:type="dxa"/>
                            <w:gridSpan w:val="50"/>
                            <w:tcBorders>
                              <w:top w:val="single" w:sz="4" w:space="0" w:color="001219"/>
                              <w:left w:val="single" w:sz="4" w:space="0" w:color="000406"/>
                              <w:right w:val="single" w:sz="4" w:space="0" w:color="000406"/>
                            </w:tcBorders>
                            <w:shd w:val="clear" w:color="auto" w:fill="01769F"/>
                            <w:vAlign w:val="center"/>
                          </w:tcPr>
                          <w:p w14:paraId="2C5DDC56" w14:textId="77777777" w:rsidR="00000000"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Typical accuracy (95%probability) </w:t>
                            </w:r>
                          </w:p>
                        </w:tc>
                        <w:tc>
                          <w:tcPr>
                            <w:tcW w:w="1307" w:type="dxa"/>
                            <w:gridSpan w:val="8"/>
                            <w:tcBorders>
                              <w:top w:val="single" w:sz="4" w:space="0" w:color="001219"/>
                              <w:left w:val="single" w:sz="4" w:space="0" w:color="000406"/>
                              <w:right w:val="single" w:sz="4" w:space="0" w:color="000203"/>
                            </w:tcBorders>
                            <w:shd w:val="clear" w:color="auto" w:fill="01769F"/>
                            <w:vAlign w:val="center"/>
                          </w:tcPr>
                          <w:p w14:paraId="27DA9A2C" w14:textId="77777777" w:rsidR="00000000"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Accuracy at 1 NM (metres) </w:t>
                            </w:r>
                          </w:p>
                        </w:tc>
                      </w:tr>
                      <w:tr w:rsidR="00000000" w14:paraId="50BDE710" w14:textId="77777777">
                        <w:tblPrEx>
                          <w:tblCellMar>
                            <w:top w:w="0" w:type="dxa"/>
                            <w:bottom w:w="0" w:type="dxa"/>
                          </w:tblCellMar>
                        </w:tblPrEx>
                        <w:trPr>
                          <w:gridAfter w:val="8"/>
                          <w:wAfter w:w="2005" w:type="dxa"/>
                          <w:trHeight w:val="266"/>
                        </w:trPr>
                        <w:tc>
                          <w:tcPr>
                            <w:tcW w:w="3830" w:type="dxa"/>
                            <w:gridSpan w:val="51"/>
                            <w:tcBorders>
                              <w:top w:val="single" w:sz="2" w:space="0" w:color="01769F"/>
                              <w:left w:val="single" w:sz="4" w:space="0" w:color="000203"/>
                              <w:right w:val="single" w:sz="4" w:space="0" w:color="000406"/>
                            </w:tcBorders>
                            <w:shd w:val="clear" w:color="auto" w:fill="E3E9EE"/>
                            <w:vAlign w:val="center"/>
                          </w:tcPr>
                          <w:p w14:paraId="66467F1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Magnetic compass bearing on a light or landmark </w:t>
                            </w:r>
                          </w:p>
                        </w:tc>
                        <w:tc>
                          <w:tcPr>
                            <w:tcW w:w="3932" w:type="dxa"/>
                            <w:gridSpan w:val="50"/>
                            <w:tcBorders>
                              <w:top w:val="single" w:sz="2" w:space="0" w:color="01769F"/>
                              <w:left w:val="single" w:sz="4" w:space="0" w:color="000406"/>
                              <w:right w:val="single" w:sz="4" w:space="0" w:color="000406"/>
                            </w:tcBorders>
                            <w:shd w:val="clear" w:color="auto" w:fill="E3E9EE"/>
                            <w:vAlign w:val="center"/>
                          </w:tcPr>
                          <w:p w14:paraId="398798A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±3º The accuracy may deteriorate in high latitudes </w:t>
                            </w:r>
                          </w:p>
                        </w:tc>
                        <w:tc>
                          <w:tcPr>
                            <w:tcW w:w="1307" w:type="dxa"/>
                            <w:gridSpan w:val="8"/>
                            <w:tcBorders>
                              <w:top w:val="single" w:sz="2" w:space="0" w:color="01769F"/>
                              <w:left w:val="single" w:sz="4" w:space="0" w:color="000406"/>
                              <w:right w:val="single" w:sz="4" w:space="0" w:color="000203"/>
                            </w:tcBorders>
                            <w:shd w:val="clear" w:color="auto" w:fill="E3E9EE"/>
                          </w:tcPr>
                          <w:p w14:paraId="21F8616A"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93 </w:t>
                            </w:r>
                          </w:p>
                        </w:tc>
                      </w:tr>
                      <w:tr w:rsidR="00000000" w14:paraId="59126952" w14:textId="77777777">
                        <w:tblPrEx>
                          <w:tblCellMar>
                            <w:top w:w="0" w:type="dxa"/>
                            <w:bottom w:w="0" w:type="dxa"/>
                          </w:tblCellMar>
                        </w:tblPrEx>
                        <w:trPr>
                          <w:gridAfter w:val="8"/>
                          <w:wAfter w:w="2005" w:type="dxa"/>
                          <w:trHeight w:val="156"/>
                        </w:trPr>
                        <w:tc>
                          <w:tcPr>
                            <w:tcW w:w="3830" w:type="dxa"/>
                            <w:gridSpan w:val="51"/>
                            <w:tcBorders>
                              <w:left w:val="single" w:sz="4" w:space="0" w:color="000203"/>
                              <w:right w:val="single" w:sz="4" w:space="0" w:color="000406"/>
                            </w:tcBorders>
                            <w:vAlign w:val="center"/>
                          </w:tcPr>
                          <w:p w14:paraId="20563C9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Gyro-compass bearing on a light or landmark </w:t>
                            </w:r>
                          </w:p>
                        </w:tc>
                        <w:tc>
                          <w:tcPr>
                            <w:tcW w:w="3932" w:type="dxa"/>
                            <w:gridSpan w:val="50"/>
                            <w:tcBorders>
                              <w:left w:val="single" w:sz="4" w:space="0" w:color="000406"/>
                              <w:right w:val="single" w:sz="4" w:space="0" w:color="000406"/>
                            </w:tcBorders>
                            <w:vAlign w:val="center"/>
                          </w:tcPr>
                          <w:p w14:paraId="275E1B6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0.75º X secant latitude (below 60º of latitude) </w:t>
                            </w:r>
                          </w:p>
                        </w:tc>
                        <w:tc>
                          <w:tcPr>
                            <w:tcW w:w="1307" w:type="dxa"/>
                            <w:gridSpan w:val="8"/>
                            <w:tcBorders>
                              <w:left w:val="single" w:sz="4" w:space="0" w:color="000406"/>
                              <w:right w:val="single" w:sz="4" w:space="0" w:color="000203"/>
                            </w:tcBorders>
                            <w:vAlign w:val="center"/>
                          </w:tcPr>
                          <w:p w14:paraId="604F30D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&lt; 62 </w:t>
                            </w:r>
                          </w:p>
                        </w:tc>
                      </w:tr>
                      <w:tr w:rsidR="00000000" w14:paraId="3E4DA6BA" w14:textId="77777777">
                        <w:tblPrEx>
                          <w:tblCellMar>
                            <w:top w:w="0" w:type="dxa"/>
                            <w:bottom w:w="0" w:type="dxa"/>
                          </w:tblCellMar>
                        </w:tblPrEx>
                        <w:trPr>
                          <w:gridAfter w:val="8"/>
                          <w:wAfter w:w="2005" w:type="dxa"/>
                          <w:trHeight w:val="156"/>
                        </w:trPr>
                        <w:tc>
                          <w:tcPr>
                            <w:tcW w:w="3830" w:type="dxa"/>
                            <w:gridSpan w:val="51"/>
                            <w:tcBorders>
                              <w:left w:val="single" w:sz="4" w:space="0" w:color="000203"/>
                              <w:right w:val="single" w:sz="4" w:space="0" w:color="000406"/>
                            </w:tcBorders>
                            <w:shd w:val="clear" w:color="auto" w:fill="E3E9EE"/>
                            <w:vAlign w:val="center"/>
                          </w:tcPr>
                          <w:p w14:paraId="325F633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Radio direction finder </w:t>
                            </w:r>
                          </w:p>
                        </w:tc>
                        <w:tc>
                          <w:tcPr>
                            <w:tcW w:w="3932" w:type="dxa"/>
                            <w:gridSpan w:val="50"/>
                            <w:tcBorders>
                              <w:left w:val="single" w:sz="4" w:space="0" w:color="000406"/>
                              <w:right w:val="single" w:sz="4" w:space="0" w:color="000406"/>
                            </w:tcBorders>
                            <w:shd w:val="clear" w:color="auto" w:fill="E3E9EE"/>
                            <w:vAlign w:val="center"/>
                          </w:tcPr>
                          <w:p w14:paraId="106E8C4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±3º to ±10º </w:t>
                            </w:r>
                          </w:p>
                        </w:tc>
                        <w:tc>
                          <w:tcPr>
                            <w:tcW w:w="1307" w:type="dxa"/>
                            <w:gridSpan w:val="8"/>
                            <w:tcBorders>
                              <w:left w:val="single" w:sz="4" w:space="0" w:color="000406"/>
                              <w:right w:val="single" w:sz="4" w:space="0" w:color="000203"/>
                            </w:tcBorders>
                            <w:shd w:val="clear" w:color="auto" w:fill="E3E9EE"/>
                            <w:vAlign w:val="center"/>
                          </w:tcPr>
                          <w:p w14:paraId="7C07477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93 - 310 </w:t>
                            </w:r>
                          </w:p>
                        </w:tc>
                      </w:tr>
                      <w:tr w:rsidR="00000000" w14:paraId="16B3ED85" w14:textId="77777777">
                        <w:tblPrEx>
                          <w:tblCellMar>
                            <w:top w:w="0" w:type="dxa"/>
                            <w:bottom w:w="0" w:type="dxa"/>
                          </w:tblCellMar>
                        </w:tblPrEx>
                        <w:trPr>
                          <w:gridAfter w:val="8"/>
                          <w:wAfter w:w="2005" w:type="dxa"/>
                          <w:trHeight w:val="1367"/>
                        </w:trPr>
                        <w:tc>
                          <w:tcPr>
                            <w:tcW w:w="3830" w:type="dxa"/>
                            <w:gridSpan w:val="51"/>
                            <w:tcBorders>
                              <w:left w:val="single" w:sz="4" w:space="0" w:color="000203"/>
                              <w:bottom w:val="single" w:sz="4" w:space="0" w:color="000000"/>
                              <w:right w:val="single" w:sz="4" w:space="0" w:color="000406"/>
                            </w:tcBorders>
                          </w:tcPr>
                          <w:p w14:paraId="4402093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Radar bearing Radar distance measurement LORAN-C / CHAYKA GPS DGPS (GNSS) (ITU-R M.823/1 Format) Dead Reckoning (DR) </w:t>
                            </w:r>
                          </w:p>
                        </w:tc>
                        <w:tc>
                          <w:tcPr>
                            <w:tcW w:w="3932" w:type="dxa"/>
                            <w:gridSpan w:val="50"/>
                            <w:tcBorders>
                              <w:left w:val="single" w:sz="4" w:space="0" w:color="000406"/>
                              <w:bottom w:val="single" w:sz="4" w:space="0" w:color="000000"/>
                              <w:right w:val="single" w:sz="4" w:space="0" w:color="000406"/>
                            </w:tcBorders>
                          </w:tcPr>
                          <w:p w14:paraId="1D2815B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±1º Assuming a stabilized presentation and a reasonably steady craft 1% of the maximum range of the scale in use or 30 metres, whichever i</w:t>
                            </w:r>
                            <w:r>
                              <w:rPr>
                                <w:rFonts w:ascii="Helvetica 55 Roman" w:hAnsi="Helvetica 55 Roman" w:cs="Helvetica 55 Roman"/>
                                <w:sz w:val="18"/>
                                <w:szCs w:val="18"/>
                              </w:rPr>
                              <w:t xml:space="preserve">s the greater 0.25 nm 13 – 36 metres 1 – 3 metres Approximately 1 nautical mile for each hour of sailing </w:t>
                            </w:r>
                          </w:p>
                        </w:tc>
                        <w:tc>
                          <w:tcPr>
                            <w:tcW w:w="1307" w:type="dxa"/>
                            <w:gridSpan w:val="8"/>
                            <w:tcBorders>
                              <w:left w:val="single" w:sz="4" w:space="0" w:color="000406"/>
                              <w:bottom w:val="single" w:sz="4" w:space="0" w:color="000000"/>
                              <w:right w:val="single" w:sz="4" w:space="0" w:color="000203"/>
                            </w:tcBorders>
                          </w:tcPr>
                          <w:p w14:paraId="25D5D0B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31 </w:t>
                            </w:r>
                          </w:p>
                        </w:tc>
                      </w:tr>
                    </w:tbl>
                  </w:txbxContent>
                </v:textbox>
                <w10:wrap type="through" anchorx="page" anchory="page"/>
              </v:shape>
            </w:pict>
          </mc:Fallback>
        </mc:AlternateContent>
      </w:r>
    </w:p>
    <w:p w14:paraId="7A857312" w14:textId="77777777" w:rsidR="00541A14" w:rsidRDefault="00A450E1">
      <w:pPr>
        <w:pStyle w:val="CM172"/>
        <w:spacing w:after="202"/>
        <w:rPr>
          <w:rFonts w:ascii="Futura Book" w:hAnsi="Futura Book" w:cs="Futura Book"/>
          <w:color w:val="2C5062"/>
          <w:sz w:val="28"/>
          <w:szCs w:val="28"/>
        </w:rPr>
      </w:pPr>
      <w:r>
        <w:rPr>
          <w:rFonts w:ascii="Futura Book" w:hAnsi="Futura Book" w:cs="Futura Book"/>
          <w:b/>
          <w:bCs/>
          <w:color w:val="2C5062"/>
          <w:sz w:val="28"/>
          <w:szCs w:val="28"/>
        </w:rPr>
        <w:t xml:space="preserve">2.5 Hydrographic Considerations </w:t>
      </w:r>
    </w:p>
    <w:p w14:paraId="6C9C794A"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2.5.1 Charts </w:t>
      </w:r>
    </w:p>
    <w:p w14:paraId="49E6008C"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The IMO definition</w:t>
      </w:r>
      <w:r>
        <w:rPr>
          <w:rFonts w:ascii="Palatino" w:hAnsi="Palatino" w:cs="Palatino"/>
          <w:color w:val="000000"/>
          <w:position w:val="7"/>
          <w:sz w:val="11"/>
          <w:szCs w:val="11"/>
          <w:vertAlign w:val="superscript"/>
        </w:rPr>
        <w:t>4</w:t>
      </w:r>
      <w:r>
        <w:rPr>
          <w:rFonts w:ascii="Palatino" w:hAnsi="Palatino" w:cs="Palatino"/>
          <w:color w:val="000000"/>
          <w:sz w:val="20"/>
          <w:szCs w:val="20"/>
        </w:rPr>
        <w:t xml:space="preserve"> of a nautical chart or nautical publication is a special-purpose map or book, or a specially compiled database from which such a map or book is derived, that is issued officially by or on the authority of a Government, authorised Hydrographic Office or other relevant government </w:t>
      </w:r>
    </w:p>
    <w:p w14:paraId="17AFCDA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institution and is designed to meet the requirements of marine navigation. Nautical charts provide a graphical representation of a plane surface of a section of the earth’s sea surface constructed to include known dangers and aids to navigation. </w:t>
      </w:r>
    </w:p>
    <w:p w14:paraId="4E7174DB" w14:textId="77777777" w:rsidR="00541A14" w:rsidRDefault="00A450E1">
      <w:pPr>
        <w:pStyle w:val="CM172"/>
        <w:spacing w:after="202" w:line="286" w:lineRule="atLeast"/>
        <w:ind w:right="702"/>
        <w:rPr>
          <w:rFonts w:ascii="Palatino" w:hAnsi="Palatino" w:cs="Palatino"/>
          <w:color w:val="000000"/>
          <w:sz w:val="20"/>
          <w:szCs w:val="20"/>
        </w:rPr>
      </w:pPr>
      <w:r>
        <w:rPr>
          <w:rFonts w:ascii="Palatino" w:hAnsi="Palatino" w:cs="Palatino"/>
          <w:color w:val="000000"/>
          <w:sz w:val="20"/>
          <w:szCs w:val="20"/>
        </w:rPr>
        <w:t xml:space="preserve">The principal international organisation on charting matters is the International Hydrographic Organisation (IHO). </w:t>
      </w:r>
    </w:p>
    <w:p w14:paraId="719CD2B1"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The IHO is an intergovernmental consultative and technical organization that was established in 1921 to support the safety of navigation and the protection of the marine environment. The IHO is responsible for determining international standards for the quality of hydrographic surveys and chart production. </w:t>
      </w:r>
    </w:p>
    <w:p w14:paraId="284BC80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Electronic charts provide significant benefits in terms of navigation safety and improved operational efficiency. An electronic chart is a real-time navigation system that integrates a variety of information </w:t>
      </w:r>
    </w:p>
    <w:p w14:paraId="7E45E54C" w14:textId="77777777" w:rsidR="00541A14" w:rsidRDefault="00A450E1">
      <w:pPr>
        <w:pStyle w:val="CM162"/>
        <w:spacing w:after="552" w:line="291" w:lineRule="atLeast"/>
        <w:rPr>
          <w:rFonts w:ascii="Palatino" w:hAnsi="Palatino" w:cs="Palatino"/>
          <w:color w:val="000000"/>
          <w:sz w:val="20"/>
          <w:szCs w:val="20"/>
        </w:rPr>
      </w:pPr>
      <w:r>
        <w:rPr>
          <w:rFonts w:ascii="Palatino" w:hAnsi="Palatino" w:cs="Palatino"/>
          <w:color w:val="000000"/>
          <w:sz w:val="20"/>
          <w:szCs w:val="20"/>
        </w:rPr>
        <w:t xml:space="preserve">that is displayed and interpreted by the mariner. It is an automated decision aid capable of continuously determining a vessel’s position in relation to land, charted objects, aids-to-navigation, and unseen hazards. There are two basic types of systems using electronic charts systems. Those that </w:t>
      </w:r>
    </w:p>
    <w:p w14:paraId="5A7A8141" w14:textId="77777777" w:rsidR="00541A14" w:rsidRDefault="00A450E1">
      <w:pPr>
        <w:pStyle w:val="CM163"/>
        <w:spacing w:after="642"/>
        <w:rPr>
          <w:rFonts w:ascii="Palatino" w:hAnsi="Palatino" w:cs="Palatino"/>
          <w:color w:val="000000"/>
          <w:sz w:val="20"/>
          <w:szCs w:val="20"/>
        </w:rPr>
      </w:pPr>
      <w:r>
        <w:rPr>
          <w:rFonts w:ascii="Palatino" w:hAnsi="Palatino" w:cs="Palatino"/>
          <w:color w:val="000000"/>
          <w:position w:val="6"/>
          <w:sz w:val="20"/>
          <w:szCs w:val="20"/>
          <w:vertAlign w:val="superscript"/>
        </w:rPr>
        <w:t xml:space="preserve">4 </w:t>
      </w:r>
      <w:r>
        <w:rPr>
          <w:rFonts w:ascii="Palatino" w:hAnsi="Palatino" w:cs="Palatino"/>
          <w:color w:val="000000"/>
          <w:sz w:val="20"/>
          <w:szCs w:val="20"/>
        </w:rPr>
        <w:t xml:space="preserve">SOLAS Chapter V Regulation 2. </w:t>
      </w:r>
    </w:p>
    <w:p w14:paraId="28BD8324" w14:textId="77777777" w:rsidR="00541A14" w:rsidRDefault="00DD420F">
      <w:pPr>
        <w:pStyle w:val="Default"/>
        <w:framePr w:w="10740" w:wrap="auto" w:vAnchor="page" w:hAnchor="page" w:x="1415" w:y="16334"/>
        <w:rPr>
          <w:rFonts w:ascii="Palatino" w:hAnsi="Palatino" w:cs="Palatino"/>
          <w:sz w:val="20"/>
          <w:szCs w:val="20"/>
        </w:rPr>
      </w:pPr>
      <w:r>
        <w:rPr>
          <w:rFonts w:ascii="Palatino" w:hAnsi="Palatino" w:cs="Palatino"/>
          <w:noProof/>
          <w:sz w:val="20"/>
          <w:szCs w:val="20"/>
        </w:rPr>
        <w:drawing>
          <wp:inline distT="0" distB="0" distL="0" distR="0" wp14:anchorId="1000A896" wp14:editId="04503E5D">
            <wp:extent cx="7553960" cy="380365"/>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553960" cy="380365"/>
                    </a:xfrm>
                    <a:prstGeom prst="rect">
                      <a:avLst/>
                    </a:prstGeom>
                    <a:noFill/>
                    <a:ln>
                      <a:noFill/>
                    </a:ln>
                  </pic:spPr>
                </pic:pic>
              </a:graphicData>
            </a:graphic>
          </wp:inline>
        </w:drawing>
      </w:r>
    </w:p>
    <w:p w14:paraId="095CBE78" w14:textId="77777777" w:rsidR="00541A14" w:rsidRDefault="00DD420F">
      <w:pPr>
        <w:pStyle w:val="Default"/>
        <w:pageBreakBefore/>
        <w:framePr w:w="24798" w:wrap="auto" w:vAnchor="page" w:hAnchor="page" w:x="101" w:y="1"/>
        <w:spacing w:after="1000"/>
        <w:rPr>
          <w:rFonts w:ascii="Palatino" w:hAnsi="Palatino" w:cs="Palatino"/>
          <w:sz w:val="20"/>
          <w:szCs w:val="20"/>
        </w:rPr>
      </w:pPr>
      <w:r>
        <w:rPr>
          <w:rFonts w:ascii="Palatino" w:hAnsi="Palatino" w:cs="Palatino"/>
          <w:noProof/>
          <w:sz w:val="20"/>
          <w:szCs w:val="20"/>
        </w:rPr>
        <w:drawing>
          <wp:inline distT="0" distB="0" distL="0" distR="0" wp14:anchorId="15752E49" wp14:editId="4B7D5859">
            <wp:extent cx="7553960" cy="954405"/>
            <wp:effectExtent l="0" t="0" r="0" b="1079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553960" cy="954405"/>
                    </a:xfrm>
                    <a:prstGeom prst="rect">
                      <a:avLst/>
                    </a:prstGeom>
                    <a:noFill/>
                    <a:ln>
                      <a:noFill/>
                    </a:ln>
                  </pic:spPr>
                </pic:pic>
              </a:graphicData>
            </a:graphic>
          </wp:inline>
        </w:drawing>
      </w:r>
    </w:p>
    <w:p w14:paraId="4603B28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comply with the International Maritime Organization (IMO) requirements for vessels, known as the Electronic Chart Display and Information System (ECDIS), and all other types of electronic charts, regarded generically as Electronic Chart Systems (ECS).  Futher information on ECDIS and ECS is contained in section 4.27. </w:t>
      </w:r>
    </w:p>
    <w:p w14:paraId="16E4899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object of the IHO is to bring about: </w:t>
      </w:r>
    </w:p>
    <w:p w14:paraId="587FF1B9" w14:textId="77777777" w:rsidR="00541A14" w:rsidRDefault="00A450E1">
      <w:pPr>
        <w:pStyle w:val="Default"/>
        <w:numPr>
          <w:ilvl w:val="0"/>
          <w:numId w:val="20"/>
        </w:numPr>
        <w:spacing w:after="32"/>
        <w:rPr>
          <w:rFonts w:ascii="Palatino" w:hAnsi="Palatino" w:cs="Palatino"/>
          <w:sz w:val="20"/>
          <w:szCs w:val="20"/>
        </w:rPr>
      </w:pPr>
      <w:r>
        <w:rPr>
          <w:rFonts w:ascii="Palatino" w:hAnsi="Palatino" w:cs="Palatino"/>
          <w:sz w:val="20"/>
          <w:szCs w:val="20"/>
        </w:rPr>
        <w:t xml:space="preserve">the coordination of the activities of national hydrographic offices; </w:t>
      </w:r>
    </w:p>
    <w:p w14:paraId="3F692E0F" w14:textId="77777777" w:rsidR="00541A14" w:rsidRDefault="00A450E1">
      <w:pPr>
        <w:pStyle w:val="Default"/>
        <w:numPr>
          <w:ilvl w:val="0"/>
          <w:numId w:val="20"/>
        </w:numPr>
        <w:spacing w:after="32"/>
        <w:rPr>
          <w:rFonts w:ascii="Palatino" w:hAnsi="Palatino" w:cs="Palatino"/>
          <w:sz w:val="20"/>
          <w:szCs w:val="20"/>
        </w:rPr>
      </w:pPr>
      <w:r>
        <w:rPr>
          <w:rFonts w:ascii="Palatino" w:hAnsi="Palatino" w:cs="Palatino"/>
          <w:sz w:val="20"/>
          <w:szCs w:val="20"/>
        </w:rPr>
        <w:t xml:space="preserve">the greatest possible uniformity in nautical charts and documents; </w:t>
      </w:r>
    </w:p>
    <w:p w14:paraId="4118C5D9" w14:textId="77777777" w:rsidR="00541A14" w:rsidRDefault="00A450E1">
      <w:pPr>
        <w:pStyle w:val="Default"/>
        <w:numPr>
          <w:ilvl w:val="0"/>
          <w:numId w:val="20"/>
        </w:numPr>
        <w:rPr>
          <w:rFonts w:ascii="Palatino" w:hAnsi="Palatino" w:cs="Palatino"/>
          <w:sz w:val="20"/>
          <w:szCs w:val="20"/>
        </w:rPr>
      </w:pPr>
      <w:r>
        <w:rPr>
          <w:rFonts w:ascii="Palatino" w:hAnsi="Palatino" w:cs="Palatino"/>
          <w:sz w:val="20"/>
          <w:szCs w:val="20"/>
        </w:rPr>
        <w:t xml:space="preserve">the adoption of reliable and efficient methods of carrying out and exploiting hydrographic </w:t>
      </w:r>
    </w:p>
    <w:p w14:paraId="6E6AEBD9" w14:textId="77777777" w:rsidR="00541A14" w:rsidRDefault="00541A14">
      <w:pPr>
        <w:pStyle w:val="Default"/>
        <w:rPr>
          <w:rFonts w:ascii="Palatino" w:hAnsi="Palatino" w:cs="Palatino"/>
          <w:sz w:val="20"/>
          <w:szCs w:val="20"/>
        </w:rPr>
      </w:pPr>
    </w:p>
    <w:p w14:paraId="16E6D1C1"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surveys; and </w:t>
      </w:r>
    </w:p>
    <w:p w14:paraId="30099E9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the development of the science of hydrography and the techniques employed in descriptive </w:t>
      </w:r>
    </w:p>
    <w:p w14:paraId="7C152F7C" w14:textId="77777777" w:rsidR="00541A14" w:rsidRDefault="00A450E1">
      <w:pPr>
        <w:pStyle w:val="CM174"/>
        <w:spacing w:after="437" w:line="293" w:lineRule="atLeast"/>
        <w:ind w:left="300"/>
        <w:rPr>
          <w:rFonts w:ascii="Palatino" w:hAnsi="Palatino" w:cs="Palatino"/>
          <w:color w:val="000000"/>
          <w:sz w:val="20"/>
          <w:szCs w:val="20"/>
        </w:rPr>
      </w:pPr>
      <w:r>
        <w:rPr>
          <w:rFonts w:ascii="Palatino" w:hAnsi="Palatino" w:cs="Palatino"/>
          <w:color w:val="000000"/>
          <w:sz w:val="20"/>
          <w:szCs w:val="20"/>
        </w:rPr>
        <w:t xml:space="preserve">oceanography. </w:t>
      </w:r>
    </w:p>
    <w:p w14:paraId="53CBB031" w14:textId="77777777" w:rsidR="00541A14" w:rsidRDefault="00DD420F">
      <w:pPr>
        <w:pStyle w:val="Default"/>
        <w:framePr w:w="9901" w:wrap="auto" w:vAnchor="page" w:hAnchor="page" w:x="1426" w:y="6528"/>
        <w:spacing w:after="80"/>
        <w:rPr>
          <w:rFonts w:ascii="Palatino" w:hAnsi="Palatino" w:cs="Palatino"/>
          <w:sz w:val="20"/>
          <w:szCs w:val="20"/>
        </w:rPr>
      </w:pPr>
      <w:r>
        <w:rPr>
          <w:rFonts w:ascii="Palatino" w:hAnsi="Palatino" w:cs="Palatino"/>
          <w:noProof/>
          <w:sz w:val="20"/>
          <w:szCs w:val="20"/>
        </w:rPr>
        <w:drawing>
          <wp:inline distT="0" distB="0" distL="0" distR="0" wp14:anchorId="22B32028" wp14:editId="4CE55F7E">
            <wp:extent cx="5764530" cy="2947670"/>
            <wp:effectExtent l="0" t="0" r="127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4530" cy="2947670"/>
                    </a:xfrm>
                    <a:prstGeom prst="rect">
                      <a:avLst/>
                    </a:prstGeom>
                    <a:noFill/>
                    <a:ln>
                      <a:noFill/>
                    </a:ln>
                  </pic:spPr>
                </pic:pic>
              </a:graphicData>
            </a:graphic>
          </wp:inline>
        </w:drawing>
      </w:r>
    </w:p>
    <w:p w14:paraId="4833234A" w14:textId="77777777" w:rsidR="00541A14" w:rsidRDefault="00A450E1">
      <w:pPr>
        <w:pStyle w:val="CM165"/>
        <w:spacing w:after="85"/>
        <w:jc w:val="center"/>
        <w:rPr>
          <w:rFonts w:ascii="Palatino" w:hAnsi="Palatino" w:cs="Palatino"/>
          <w:color w:val="000000"/>
          <w:sz w:val="20"/>
          <w:szCs w:val="20"/>
        </w:rPr>
      </w:pPr>
      <w:r>
        <w:rPr>
          <w:rFonts w:ascii="Palatino" w:hAnsi="Palatino" w:cs="Palatino"/>
          <w:i/>
          <w:iCs/>
          <w:color w:val="000000"/>
          <w:sz w:val="20"/>
          <w:szCs w:val="20"/>
        </w:rPr>
        <w:t xml:space="preserve">Figure 3 – Nautical chart (courtesy of Australian Hydrographic Office) </w:t>
      </w:r>
    </w:p>
    <w:p w14:paraId="6CDD9F67"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2.5.2 Datum </w:t>
      </w:r>
    </w:p>
    <w:p w14:paraId="0D39243D" w14:textId="77777777" w:rsidR="00541A14" w:rsidRDefault="00A450E1">
      <w:pPr>
        <w:pStyle w:val="Default"/>
        <w:rPr>
          <w:rFonts w:ascii="Palatino" w:hAnsi="Palatino" w:cs="Palatino"/>
          <w:sz w:val="20"/>
          <w:szCs w:val="20"/>
        </w:rPr>
      </w:pPr>
      <w:r>
        <w:rPr>
          <w:rFonts w:ascii="Palatino" w:hAnsi="Palatino" w:cs="Palatino"/>
          <w:sz w:val="20"/>
          <w:szCs w:val="20"/>
        </w:rPr>
        <w:t xml:space="preserve">In its simplest form, a datum is an assumed or defined starting point from which measurements are </w:t>
      </w:r>
    </w:p>
    <w:p w14:paraId="642FE856" w14:textId="77777777" w:rsidR="00541A14" w:rsidRDefault="00A450E1">
      <w:pPr>
        <w:pStyle w:val="CM185"/>
        <w:spacing w:after="140"/>
        <w:rPr>
          <w:rFonts w:ascii="Palatino" w:hAnsi="Palatino" w:cs="Palatino"/>
          <w:color w:val="000000"/>
          <w:sz w:val="20"/>
          <w:szCs w:val="20"/>
        </w:rPr>
      </w:pPr>
      <w:r>
        <w:rPr>
          <w:rFonts w:ascii="Palatino" w:hAnsi="Palatino" w:cs="Palatino"/>
          <w:color w:val="000000"/>
          <w:sz w:val="20"/>
          <w:szCs w:val="20"/>
        </w:rPr>
        <w:t xml:space="preserve">taken. </w:t>
      </w:r>
    </w:p>
    <w:p w14:paraId="1CF12394" w14:textId="77777777" w:rsidR="00541A14" w:rsidRDefault="00A450E1">
      <w:pPr>
        <w:pStyle w:val="Default"/>
        <w:rPr>
          <w:rFonts w:ascii="Palatino" w:hAnsi="Palatino" w:cs="Palatino"/>
          <w:sz w:val="20"/>
          <w:szCs w:val="20"/>
        </w:rPr>
      </w:pPr>
      <w:r>
        <w:rPr>
          <w:rFonts w:ascii="Palatino" w:hAnsi="Palatino" w:cs="Palatino"/>
          <w:sz w:val="20"/>
          <w:szCs w:val="20"/>
        </w:rPr>
        <w:t xml:space="preserve">A more complex example of a datum is a </w:t>
      </w:r>
      <w:r>
        <w:rPr>
          <w:rFonts w:ascii="Palatino" w:hAnsi="Palatino" w:cs="Palatino"/>
          <w:b/>
          <w:bCs/>
          <w:sz w:val="20"/>
          <w:szCs w:val="20"/>
        </w:rPr>
        <w:t>Geodetic Datum</w:t>
      </w:r>
      <w:r>
        <w:rPr>
          <w:rFonts w:ascii="Palatino" w:hAnsi="Palatino" w:cs="Palatino"/>
          <w:sz w:val="20"/>
          <w:szCs w:val="20"/>
        </w:rPr>
        <w:t xml:space="preserve"> used in the mathematical representation </w:t>
      </w:r>
    </w:p>
    <w:p w14:paraId="69EEB3AA" w14:textId="77777777" w:rsidR="00541A14" w:rsidRDefault="00A450E1">
      <w:pPr>
        <w:pStyle w:val="Default"/>
        <w:rPr>
          <w:rFonts w:ascii="Palatino" w:hAnsi="Palatino" w:cs="Palatino"/>
          <w:sz w:val="20"/>
          <w:szCs w:val="20"/>
        </w:rPr>
      </w:pPr>
      <w:r>
        <w:rPr>
          <w:rFonts w:ascii="Palatino" w:hAnsi="Palatino" w:cs="Palatino"/>
          <w:sz w:val="20"/>
          <w:szCs w:val="20"/>
        </w:rPr>
        <w:t xml:space="preserve">of the earth’s surface. Many different data (plural of datum) have been devised over time to define </w:t>
      </w:r>
    </w:p>
    <w:p w14:paraId="056F64D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size and shape of the earth and the origin and orientation of coordinate systems for chart and mapping applications. These have evolved from the consideration of a spherical earth, through to the </w:t>
      </w:r>
      <w:r>
        <w:rPr>
          <w:rFonts w:ascii="Palatino" w:hAnsi="Palatino" w:cs="Palatino"/>
          <w:b/>
          <w:bCs/>
          <w:color w:val="000000"/>
          <w:sz w:val="20"/>
          <w:szCs w:val="20"/>
        </w:rPr>
        <w:t>geoid</w:t>
      </w:r>
      <w:r>
        <w:rPr>
          <w:rFonts w:ascii="Palatino" w:hAnsi="Palatino" w:cs="Palatino"/>
          <w:color w:val="000000"/>
          <w:sz w:val="20"/>
          <w:szCs w:val="20"/>
        </w:rPr>
        <w:t xml:space="preserve"> and ellipsoidal models, and also the planar projections used for charts and maps. </w:t>
      </w:r>
    </w:p>
    <w:p w14:paraId="1D7D3F8A" w14:textId="77777777" w:rsidR="00541A14" w:rsidRDefault="00A450E1">
      <w:pPr>
        <w:pStyle w:val="CM174"/>
        <w:spacing w:after="437" w:line="291" w:lineRule="atLeast"/>
        <w:rPr>
          <w:rFonts w:ascii="Palatino" w:hAnsi="Palatino" w:cs="Palatino"/>
          <w:color w:val="000000"/>
          <w:sz w:val="20"/>
          <w:szCs w:val="20"/>
        </w:rPr>
      </w:pPr>
      <w:r>
        <w:rPr>
          <w:rFonts w:ascii="Palatino" w:hAnsi="Palatino" w:cs="Palatino"/>
          <w:color w:val="000000"/>
          <w:sz w:val="20"/>
          <w:szCs w:val="20"/>
        </w:rPr>
        <w:t xml:space="preserve">The </w:t>
      </w:r>
      <w:r>
        <w:rPr>
          <w:rFonts w:ascii="Palatino" w:hAnsi="Palatino" w:cs="Palatino"/>
          <w:b/>
          <w:bCs/>
          <w:color w:val="000000"/>
          <w:sz w:val="20"/>
          <w:szCs w:val="20"/>
        </w:rPr>
        <w:t>geoid</w:t>
      </w:r>
      <w:r>
        <w:rPr>
          <w:rFonts w:ascii="Palatino" w:hAnsi="Palatino" w:cs="Palatino"/>
          <w:color w:val="000000"/>
          <w:sz w:val="20"/>
          <w:szCs w:val="20"/>
        </w:rPr>
        <w:t xml:space="preserve"> model considers the earth’s surface to be defined as the equipotential surface</w:t>
      </w:r>
      <w:r>
        <w:rPr>
          <w:rFonts w:ascii="Palatino" w:hAnsi="Palatino" w:cs="Palatino"/>
          <w:color w:val="000000"/>
          <w:position w:val="7"/>
          <w:sz w:val="11"/>
          <w:szCs w:val="11"/>
          <w:vertAlign w:val="superscript"/>
        </w:rPr>
        <w:t>5</w:t>
      </w:r>
      <w:r>
        <w:rPr>
          <w:rFonts w:ascii="Palatino" w:hAnsi="Palatino" w:cs="Palatino"/>
          <w:color w:val="000000"/>
          <w:sz w:val="20"/>
          <w:szCs w:val="20"/>
        </w:rPr>
        <w:t xml:space="preserve"> that would be assumed by the sea level in the absence of tides, currents, water density variations and atmospheric effects. </w:t>
      </w:r>
    </w:p>
    <w:p w14:paraId="68FB4F05" w14:textId="77777777" w:rsidR="00541A14" w:rsidRDefault="00A450E1">
      <w:pPr>
        <w:pStyle w:val="CM163"/>
        <w:spacing w:after="642"/>
        <w:rPr>
          <w:rFonts w:ascii="Palatino" w:hAnsi="Palatino" w:cs="Palatino"/>
          <w:color w:val="000000"/>
          <w:sz w:val="20"/>
          <w:szCs w:val="20"/>
        </w:rPr>
      </w:pPr>
      <w:r>
        <w:rPr>
          <w:rFonts w:ascii="Palatino" w:hAnsi="Palatino" w:cs="Palatino"/>
          <w:color w:val="000000"/>
          <w:position w:val="6"/>
          <w:sz w:val="20"/>
          <w:szCs w:val="20"/>
          <w:vertAlign w:val="superscript"/>
        </w:rPr>
        <w:t xml:space="preserve">5 </w:t>
      </w:r>
      <w:r>
        <w:rPr>
          <w:rFonts w:ascii="Palatino" w:hAnsi="Palatino" w:cs="Palatino"/>
          <w:color w:val="000000"/>
          <w:sz w:val="20"/>
          <w:szCs w:val="20"/>
        </w:rPr>
        <w:t xml:space="preserve">These have the same potential gravity at each point. </w:t>
      </w:r>
    </w:p>
    <w:p w14:paraId="0C13745F" w14:textId="77777777" w:rsidR="00541A14" w:rsidRDefault="00DD420F">
      <w:pPr>
        <w:pStyle w:val="Default"/>
        <w:framePr w:w="10730" w:wrap="auto" w:vAnchor="page" w:hAnchor="page" w:x="589" w:y="16334"/>
        <w:rPr>
          <w:rFonts w:ascii="Palatino" w:hAnsi="Palatino" w:cs="Palatino"/>
          <w:sz w:val="20"/>
          <w:szCs w:val="20"/>
        </w:rPr>
      </w:pPr>
      <w:r>
        <w:rPr>
          <w:rFonts w:ascii="Palatino" w:hAnsi="Palatino" w:cs="Palatino"/>
          <w:noProof/>
          <w:sz w:val="20"/>
          <w:szCs w:val="20"/>
        </w:rPr>
        <w:drawing>
          <wp:inline distT="0" distB="0" distL="0" distR="0" wp14:anchorId="168D511F" wp14:editId="466DDEC3">
            <wp:extent cx="7542530" cy="380365"/>
            <wp:effectExtent l="0" t="0" r="127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542530" cy="380365"/>
                    </a:xfrm>
                    <a:prstGeom prst="rect">
                      <a:avLst/>
                    </a:prstGeom>
                    <a:noFill/>
                    <a:ln>
                      <a:noFill/>
                    </a:ln>
                  </pic:spPr>
                </pic:pic>
              </a:graphicData>
            </a:graphic>
          </wp:inline>
        </w:drawing>
      </w:r>
    </w:p>
    <w:p w14:paraId="61641629" w14:textId="77777777" w:rsidR="00541A14" w:rsidRDefault="00DD420F">
      <w:pPr>
        <w:pStyle w:val="Default"/>
        <w:pageBreakBefore/>
        <w:framePr w:w="12892" w:wrap="auto" w:vAnchor="page" w:hAnchor="page" w:x="101" w:y="1"/>
        <w:spacing w:after="980"/>
        <w:rPr>
          <w:rFonts w:ascii="Palatino" w:hAnsi="Palatino" w:cs="Palatino"/>
          <w:sz w:val="20"/>
          <w:szCs w:val="20"/>
        </w:rPr>
      </w:pPr>
      <w:r>
        <w:rPr>
          <w:rFonts w:ascii="Palatino" w:hAnsi="Palatino" w:cs="Palatino"/>
          <w:noProof/>
          <w:sz w:val="20"/>
          <w:szCs w:val="20"/>
        </w:rPr>
        <w:drawing>
          <wp:inline distT="0" distB="0" distL="0" distR="0" wp14:anchorId="0007CA24" wp14:editId="45E27EC0">
            <wp:extent cx="7553960" cy="954405"/>
            <wp:effectExtent l="0" t="0" r="0" b="1079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553960" cy="954405"/>
                    </a:xfrm>
                    <a:prstGeom prst="rect">
                      <a:avLst/>
                    </a:prstGeom>
                    <a:noFill/>
                    <a:ln>
                      <a:noFill/>
                    </a:ln>
                  </pic:spPr>
                </pic:pic>
              </a:graphicData>
            </a:graphic>
          </wp:inline>
        </w:drawing>
      </w:r>
    </w:p>
    <w:p w14:paraId="57B2FED5"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A further approximation uses an </w:t>
      </w:r>
      <w:r>
        <w:rPr>
          <w:rFonts w:ascii="Palatino" w:hAnsi="Palatino" w:cs="Palatino"/>
          <w:b/>
          <w:bCs/>
          <w:color w:val="000000"/>
          <w:sz w:val="20"/>
          <w:szCs w:val="20"/>
        </w:rPr>
        <w:t>ellipsoid</w:t>
      </w:r>
      <w:r>
        <w:rPr>
          <w:rFonts w:ascii="Palatino" w:hAnsi="Palatino" w:cs="Palatino"/>
          <w:color w:val="000000"/>
          <w:sz w:val="20"/>
          <w:szCs w:val="20"/>
        </w:rPr>
        <w:t xml:space="preserve">, which is a smooth mathematical surface, to give a best-fit match of the geoid. Early ellipsoid models were developed to suit the mapping and charting of local regions or countries.  However they would not necessarily provide a satisfactory solution in other parts of the world. Some nautical charts still carry a legend referring to a local datum, for instance, Ellipsoid Hayford or International – Datum Potsdam, Paris or Lisbon. </w:t>
      </w:r>
    </w:p>
    <w:p w14:paraId="08E7065A"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Chart Datum </w:t>
      </w:r>
    </w:p>
    <w:p w14:paraId="21EB5D6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Chart datum is defined as the datum or plane of reference to which all charted depths and drying </w:t>
      </w:r>
    </w:p>
    <w:p w14:paraId="5D6BD0F3" w14:textId="77777777" w:rsidR="00541A14" w:rsidRDefault="00A450E1">
      <w:pPr>
        <w:pStyle w:val="CM173"/>
        <w:spacing w:after="340" w:line="291" w:lineRule="atLeast"/>
        <w:ind w:right="107"/>
        <w:rPr>
          <w:rFonts w:ascii="Palatino" w:hAnsi="Palatino" w:cs="Palatino"/>
          <w:color w:val="000000"/>
          <w:sz w:val="20"/>
          <w:szCs w:val="20"/>
        </w:rPr>
      </w:pPr>
      <w:r>
        <w:rPr>
          <w:rFonts w:ascii="Palatino" w:hAnsi="Palatino" w:cs="Palatino"/>
          <w:color w:val="000000"/>
          <w:sz w:val="20"/>
          <w:szCs w:val="20"/>
        </w:rPr>
        <w:t xml:space="preserve">heights are related.  It is relevant to a localised area and is a level that the tide will not frequently fall below.  It is usually defined in terms of </w:t>
      </w:r>
      <w:r>
        <w:rPr>
          <w:rFonts w:ascii="Palatino" w:hAnsi="Palatino" w:cs="Palatino"/>
          <w:b/>
          <w:bCs/>
          <w:color w:val="000000"/>
          <w:sz w:val="20"/>
          <w:szCs w:val="20"/>
        </w:rPr>
        <w:t>lowest Astronomical tide</w:t>
      </w:r>
      <w:r>
        <w:rPr>
          <w:rFonts w:ascii="Palatino" w:hAnsi="Palatino" w:cs="Palatino"/>
          <w:color w:val="000000"/>
          <w:sz w:val="20"/>
          <w:szCs w:val="20"/>
        </w:rPr>
        <w:t xml:space="preserve"> (and in some cases by Indian Spring Low Water). </w:t>
      </w:r>
    </w:p>
    <w:p w14:paraId="0C3BD684"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Levelling Datum or Vertical Control Datum </w:t>
      </w:r>
    </w:p>
    <w:p w14:paraId="6EA1506E"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These are generic terms for levelling surfaces that are used to determine levels or elevations.  Using nautical charts as an example: </w:t>
      </w:r>
    </w:p>
    <w:p w14:paraId="3D977AEE" w14:textId="77777777" w:rsidR="00541A14" w:rsidRDefault="00A450E1">
      <w:pPr>
        <w:pStyle w:val="Default"/>
        <w:numPr>
          <w:ilvl w:val="0"/>
          <w:numId w:val="21"/>
        </w:numPr>
        <w:rPr>
          <w:rFonts w:ascii="Palatino" w:hAnsi="Palatino" w:cs="Palatino"/>
          <w:sz w:val="20"/>
          <w:szCs w:val="20"/>
        </w:rPr>
      </w:pPr>
      <w:r>
        <w:rPr>
          <w:rFonts w:ascii="Palatino" w:hAnsi="Palatino" w:cs="Palatino"/>
          <w:sz w:val="20"/>
          <w:szCs w:val="20"/>
        </w:rPr>
        <w:t xml:space="preserve">water depths are measured from Chart Datum to the seabed; </w:t>
      </w:r>
    </w:p>
    <w:p w14:paraId="7753D6BF" w14:textId="77777777" w:rsidR="00541A14" w:rsidRDefault="00A450E1">
      <w:pPr>
        <w:pStyle w:val="Default"/>
        <w:numPr>
          <w:ilvl w:val="0"/>
          <w:numId w:val="21"/>
        </w:numPr>
        <w:rPr>
          <w:rFonts w:ascii="Palatino" w:hAnsi="Palatino" w:cs="Palatino"/>
          <w:sz w:val="20"/>
          <w:szCs w:val="20"/>
        </w:rPr>
      </w:pPr>
      <w:r>
        <w:rPr>
          <w:rFonts w:ascii="Palatino" w:hAnsi="Palatino" w:cs="Palatino"/>
          <w:sz w:val="20"/>
          <w:szCs w:val="20"/>
        </w:rPr>
        <w:t xml:space="preserve">elevations of land masses and man-made features are referenced to either </w:t>
      </w:r>
      <w:r>
        <w:rPr>
          <w:rFonts w:ascii="Palatino" w:hAnsi="Palatino" w:cs="Palatino"/>
          <w:b/>
          <w:bCs/>
          <w:sz w:val="20"/>
          <w:szCs w:val="20"/>
        </w:rPr>
        <w:t>mean High Water springs</w:t>
      </w:r>
      <w:r>
        <w:rPr>
          <w:rFonts w:ascii="Palatino" w:hAnsi="Palatino" w:cs="Palatino"/>
          <w:sz w:val="20"/>
          <w:szCs w:val="20"/>
        </w:rPr>
        <w:t xml:space="preserve"> (where there are predominantly semi-diurnal tides) or </w:t>
      </w:r>
      <w:r>
        <w:rPr>
          <w:rFonts w:ascii="Palatino" w:hAnsi="Palatino" w:cs="Palatino"/>
          <w:b/>
          <w:bCs/>
          <w:sz w:val="20"/>
          <w:szCs w:val="20"/>
        </w:rPr>
        <w:t xml:space="preserve">mean High High Water </w:t>
      </w:r>
      <w:r>
        <w:rPr>
          <w:rFonts w:ascii="Palatino" w:hAnsi="Palatino" w:cs="Palatino"/>
          <w:sz w:val="20"/>
          <w:szCs w:val="20"/>
        </w:rPr>
        <w:t>(where there are predominantly diurnal tides)</w:t>
      </w:r>
      <w:r>
        <w:rPr>
          <w:rFonts w:ascii="Palatino" w:hAnsi="Palatino" w:cs="Palatino"/>
          <w:position w:val="7"/>
          <w:sz w:val="11"/>
          <w:szCs w:val="11"/>
          <w:vertAlign w:val="superscript"/>
        </w:rPr>
        <w:t>6</w:t>
      </w:r>
      <w:r>
        <w:rPr>
          <w:rFonts w:ascii="Palatino" w:hAnsi="Palatino" w:cs="Palatino"/>
          <w:sz w:val="20"/>
          <w:szCs w:val="20"/>
        </w:rPr>
        <w:t xml:space="preserve">; </w:t>
      </w:r>
    </w:p>
    <w:p w14:paraId="666258DE" w14:textId="77777777" w:rsidR="00541A14" w:rsidRDefault="00A450E1">
      <w:pPr>
        <w:pStyle w:val="Default"/>
        <w:numPr>
          <w:ilvl w:val="0"/>
          <w:numId w:val="21"/>
        </w:numPr>
        <w:rPr>
          <w:rFonts w:ascii="Palatino" w:hAnsi="Palatino" w:cs="Palatino"/>
          <w:sz w:val="20"/>
          <w:szCs w:val="20"/>
        </w:rPr>
      </w:pPr>
      <w:r>
        <w:rPr>
          <w:rFonts w:ascii="Palatino" w:hAnsi="Palatino" w:cs="Palatino"/>
          <w:sz w:val="20"/>
          <w:szCs w:val="20"/>
        </w:rPr>
        <w:t xml:space="preserve">clearance heights for bridges are generally referenced to </w:t>
      </w:r>
      <w:r>
        <w:rPr>
          <w:rFonts w:ascii="Palatino" w:hAnsi="Palatino" w:cs="Palatino"/>
          <w:b/>
          <w:bCs/>
          <w:sz w:val="20"/>
          <w:szCs w:val="20"/>
        </w:rPr>
        <w:t>Highest Astronomical tide</w:t>
      </w:r>
      <w:r>
        <w:rPr>
          <w:rFonts w:ascii="Palatino" w:hAnsi="Palatino" w:cs="Palatino"/>
          <w:sz w:val="20"/>
          <w:szCs w:val="20"/>
        </w:rPr>
        <w:t xml:space="preserve">. These levels are depicted in Figure 4. The definition of these levels and other related levels are </w:t>
      </w:r>
    </w:p>
    <w:p w14:paraId="65F823AC" w14:textId="77777777" w:rsidR="00541A14" w:rsidRDefault="00541A14">
      <w:pPr>
        <w:pStyle w:val="Default"/>
        <w:rPr>
          <w:rFonts w:ascii="Palatino" w:hAnsi="Palatino" w:cs="Palatino"/>
          <w:sz w:val="20"/>
          <w:szCs w:val="20"/>
        </w:rPr>
      </w:pPr>
    </w:p>
    <w:p w14:paraId="7B7D7451" w14:textId="77777777" w:rsidR="00541A14" w:rsidRDefault="00A450E1">
      <w:pPr>
        <w:pStyle w:val="CM162"/>
        <w:spacing w:after="552" w:line="346" w:lineRule="atLeast"/>
        <w:rPr>
          <w:rFonts w:ascii="Palatino" w:hAnsi="Palatino" w:cs="Palatino"/>
          <w:color w:val="000000"/>
          <w:sz w:val="20"/>
          <w:szCs w:val="20"/>
        </w:rPr>
      </w:pPr>
      <w:r>
        <w:rPr>
          <w:rFonts w:ascii="Palatino" w:hAnsi="Palatino" w:cs="Palatino"/>
          <w:color w:val="000000"/>
          <w:sz w:val="20"/>
          <w:szCs w:val="20"/>
        </w:rPr>
        <w:t xml:space="preserve">provided in Table 3. </w:t>
      </w:r>
    </w:p>
    <w:p w14:paraId="16E44AC7" w14:textId="77777777" w:rsidR="00541A14" w:rsidRDefault="00DD420F">
      <w:pPr>
        <w:pStyle w:val="Default"/>
        <w:framePr w:w="9987" w:wrap="auto" w:vAnchor="page" w:hAnchor="page" w:x="1330" w:y="9618"/>
        <w:rPr>
          <w:rFonts w:ascii="Palatino" w:hAnsi="Palatino" w:cs="Palatino"/>
          <w:sz w:val="20"/>
          <w:szCs w:val="20"/>
        </w:rPr>
      </w:pPr>
      <w:r>
        <w:rPr>
          <w:rFonts w:ascii="Palatino" w:hAnsi="Palatino" w:cs="Palatino"/>
          <w:noProof/>
          <w:sz w:val="20"/>
          <w:szCs w:val="20"/>
        </w:rPr>
        <w:drawing>
          <wp:inline distT="0" distB="0" distL="0" distR="0" wp14:anchorId="1D256405" wp14:editId="3E7AD3E1">
            <wp:extent cx="5804535" cy="3328035"/>
            <wp:effectExtent l="0" t="0" r="1206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04535" cy="3328035"/>
                    </a:xfrm>
                    <a:prstGeom prst="rect">
                      <a:avLst/>
                    </a:prstGeom>
                    <a:noFill/>
                    <a:ln>
                      <a:noFill/>
                    </a:ln>
                  </pic:spPr>
                </pic:pic>
              </a:graphicData>
            </a:graphic>
          </wp:inline>
        </w:drawing>
      </w:r>
    </w:p>
    <w:p w14:paraId="4F1577CE" w14:textId="77777777" w:rsidR="00541A14" w:rsidRDefault="00A450E1">
      <w:pPr>
        <w:pStyle w:val="CM173"/>
        <w:spacing w:after="340"/>
        <w:ind w:left="960" w:right="267"/>
        <w:rPr>
          <w:rFonts w:ascii="Palatino" w:hAnsi="Palatino" w:cs="Palatino"/>
          <w:color w:val="000000"/>
          <w:sz w:val="20"/>
          <w:szCs w:val="20"/>
        </w:rPr>
      </w:pPr>
      <w:r>
        <w:rPr>
          <w:rFonts w:ascii="Palatino" w:hAnsi="Palatino" w:cs="Palatino"/>
          <w:i/>
          <w:iCs/>
          <w:color w:val="000000"/>
          <w:sz w:val="20"/>
          <w:szCs w:val="20"/>
        </w:rPr>
        <w:t>Figure 4 – Levelling or Vertical Control Datums (courtesy of UK Hydrographic Office)</w:t>
      </w:r>
    </w:p>
    <w:p w14:paraId="05A1E691" w14:textId="77777777" w:rsidR="00541A14" w:rsidRDefault="00A450E1">
      <w:pPr>
        <w:pStyle w:val="CM163"/>
        <w:spacing w:after="642"/>
        <w:jc w:val="center"/>
        <w:rPr>
          <w:rFonts w:ascii="Palatino" w:hAnsi="Palatino" w:cs="Palatino"/>
          <w:color w:val="000000"/>
          <w:sz w:val="20"/>
          <w:szCs w:val="20"/>
        </w:rPr>
      </w:pPr>
      <w:r>
        <w:rPr>
          <w:rFonts w:ascii="Palatino" w:hAnsi="Palatino" w:cs="Palatino"/>
          <w:color w:val="000000"/>
          <w:position w:val="6"/>
          <w:sz w:val="20"/>
          <w:szCs w:val="20"/>
          <w:vertAlign w:val="superscript"/>
        </w:rPr>
        <w:t xml:space="preserve"> 6</w:t>
      </w:r>
      <w:r>
        <w:rPr>
          <w:rFonts w:ascii="Palatino" w:hAnsi="Palatino" w:cs="Palatino"/>
          <w:color w:val="000000"/>
          <w:sz w:val="20"/>
          <w:szCs w:val="20"/>
        </w:rPr>
        <w:t xml:space="preserve">It should be noted that elevations of land features on maps are generally referenced to Mean Sea Level. </w:t>
      </w:r>
    </w:p>
    <w:p w14:paraId="2F16FC27" w14:textId="77777777" w:rsidR="00541A14" w:rsidRDefault="00DD420F">
      <w:pPr>
        <w:pStyle w:val="Default"/>
        <w:framePr w:w="10740" w:wrap="auto" w:vAnchor="page" w:hAnchor="page" w:x="1415" w:y="16334"/>
        <w:rPr>
          <w:rFonts w:ascii="Palatino" w:hAnsi="Palatino" w:cs="Palatino"/>
          <w:sz w:val="20"/>
          <w:szCs w:val="20"/>
        </w:rPr>
      </w:pPr>
      <w:r>
        <w:rPr>
          <w:rFonts w:ascii="Palatino" w:hAnsi="Palatino" w:cs="Palatino"/>
          <w:noProof/>
          <w:sz w:val="20"/>
          <w:szCs w:val="20"/>
        </w:rPr>
        <w:drawing>
          <wp:inline distT="0" distB="0" distL="0" distR="0" wp14:anchorId="091F4432" wp14:editId="0F87E365">
            <wp:extent cx="7553960" cy="38036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553960" cy="380365"/>
                    </a:xfrm>
                    <a:prstGeom prst="rect">
                      <a:avLst/>
                    </a:prstGeom>
                    <a:noFill/>
                    <a:ln>
                      <a:noFill/>
                    </a:ln>
                  </pic:spPr>
                </pic:pic>
              </a:graphicData>
            </a:graphic>
          </wp:inline>
        </w:drawing>
      </w:r>
    </w:p>
    <w:p w14:paraId="1FD435D8" w14:textId="77777777" w:rsidR="00541A14" w:rsidRDefault="00DD420F">
      <w:pPr>
        <w:pStyle w:val="Default"/>
        <w:pageBreakBefore/>
        <w:framePr w:w="24798" w:wrap="auto" w:vAnchor="page" w:hAnchor="page" w:x="101" w:y="1"/>
        <w:spacing w:after="1000"/>
        <w:rPr>
          <w:rFonts w:ascii="Palatino" w:hAnsi="Palatino" w:cs="Palatino"/>
          <w:sz w:val="20"/>
          <w:szCs w:val="20"/>
        </w:rPr>
      </w:pPr>
      <w:r>
        <w:rPr>
          <w:rFonts w:ascii="Palatino" w:hAnsi="Palatino" w:cs="Palatino"/>
          <w:noProof/>
          <w:sz w:val="20"/>
          <w:szCs w:val="20"/>
        </w:rPr>
        <w:drawing>
          <wp:inline distT="0" distB="0" distL="0" distR="0" wp14:anchorId="6B2B5A21" wp14:editId="792D85EB">
            <wp:extent cx="7553960" cy="954405"/>
            <wp:effectExtent l="0" t="0" r="0" b="1079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553960" cy="954405"/>
                    </a:xfrm>
                    <a:prstGeom prst="rect">
                      <a:avLst/>
                    </a:prstGeom>
                    <a:noFill/>
                    <a:ln>
                      <a:noFill/>
                    </a:ln>
                  </pic:spPr>
                </pic:pic>
              </a:graphicData>
            </a:graphic>
          </wp:inline>
        </w:drawing>
      </w:r>
    </w:p>
    <w:p w14:paraId="2B22527F" w14:textId="77777777" w:rsidR="00541A14" w:rsidRDefault="00A450E1">
      <w:pPr>
        <w:pStyle w:val="CM172"/>
        <w:spacing w:after="202"/>
        <w:jc w:val="center"/>
        <w:rPr>
          <w:rFonts w:ascii="Palatino" w:hAnsi="Palatino" w:cs="Palatino"/>
          <w:color w:val="000000"/>
          <w:sz w:val="20"/>
          <w:szCs w:val="20"/>
        </w:rPr>
      </w:pPr>
      <w:r>
        <w:rPr>
          <w:rFonts w:ascii="Palatino" w:hAnsi="Palatino" w:cs="Palatino"/>
          <w:b/>
          <w:bCs/>
          <w:color w:val="000000"/>
          <w:sz w:val="20"/>
          <w:szCs w:val="20"/>
        </w:rPr>
        <w:t xml:space="preserve">table 3 – Description of some common levels relevant to navigation in coastal and restricted waters </w:t>
      </w:r>
    </w:p>
    <w:p w14:paraId="5EC3A05C"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60288" behindDoc="0" locked="0" layoutInCell="0" allowOverlap="1" wp14:anchorId="627771CB" wp14:editId="1B556877">
                <wp:simplePos x="0" y="0"/>
                <wp:positionH relativeFrom="page">
                  <wp:posOffset>826770</wp:posOffset>
                </wp:positionH>
                <wp:positionV relativeFrom="page">
                  <wp:posOffset>1775460</wp:posOffset>
                </wp:positionV>
                <wp:extent cx="6261100" cy="5659120"/>
                <wp:effectExtent l="0" t="0" r="0" b="0"/>
                <wp:wrapThrough wrapText="bothSides">
                  <wp:wrapPolygon edited="0">
                    <wp:start x="0" y="0"/>
                    <wp:lineTo x="21600" y="0"/>
                    <wp:lineTo x="21600" y="21600"/>
                    <wp:lineTo x="0" y="21600"/>
                    <wp:lineTo x="0" y="0"/>
                  </wp:wrapPolygon>
                </wp:wrapThrough>
                <wp:docPr id="55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1100" cy="565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7550"/>
                              <w:gridCol w:w="1510"/>
                            </w:tblGrid>
                            <w:tr w:rsidR="00541A14" w14:paraId="1D5C662D" w14:textId="77777777">
                              <w:trPr>
                                <w:trHeight w:val="245"/>
                              </w:trPr>
                              <w:tc>
                                <w:tcPr>
                                  <w:tcW w:w="7550" w:type="dxa"/>
                                  <w:tcBorders>
                                    <w:top w:val="single" w:sz="4" w:space="0" w:color="001219"/>
                                    <w:left w:val="single" w:sz="4" w:space="0" w:color="000000"/>
                                    <w:right w:val="single" w:sz="4" w:space="0" w:color="000102"/>
                                  </w:tcBorders>
                                  <w:shd w:val="clear" w:color="auto" w:fill="01769F"/>
                                  <w:vAlign w:val="center"/>
                                </w:tcPr>
                                <w:p w14:paraId="4CA232F7"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Levels and Description </w:t>
                                  </w:r>
                                </w:p>
                              </w:tc>
                              <w:tc>
                                <w:tcPr>
                                  <w:tcW w:w="1510" w:type="dxa"/>
                                  <w:tcBorders>
                                    <w:top w:val="single" w:sz="4" w:space="0" w:color="001219"/>
                                    <w:left w:val="single" w:sz="4" w:space="0" w:color="000102"/>
                                    <w:right w:val="single" w:sz="4" w:space="0" w:color="000000"/>
                                  </w:tcBorders>
                                  <w:shd w:val="clear" w:color="auto" w:fill="01769F"/>
                                  <w:vAlign w:val="center"/>
                                </w:tcPr>
                                <w:p w14:paraId="058A1536"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Abbreviation </w:t>
                                  </w:r>
                                </w:p>
                              </w:tc>
                            </w:tr>
                            <w:tr w:rsidR="00541A14" w14:paraId="50A95833" w14:textId="77777777">
                              <w:trPr>
                                <w:trHeight w:val="3611"/>
                              </w:trPr>
                              <w:tc>
                                <w:tcPr>
                                  <w:tcW w:w="7550" w:type="dxa"/>
                                  <w:tcBorders>
                                    <w:top w:val="single" w:sz="2" w:space="0" w:color="01769F"/>
                                    <w:left w:val="single" w:sz="4" w:space="0" w:color="000000"/>
                                    <w:bottom w:val="single" w:sz="4" w:space="0" w:color="000000"/>
                                    <w:right w:val="single" w:sz="4" w:space="0" w:color="000102"/>
                                  </w:tcBorders>
                                </w:tcPr>
                                <w:p w14:paraId="7CC8909B" w14:textId="77777777" w:rsidR="00541A14" w:rsidRDefault="00A450E1">
                                  <w:pPr>
                                    <w:pStyle w:val="Default"/>
                                    <w:rPr>
                                      <w:rFonts w:ascii="Helvetica 55 Roman" w:hAnsi="Helvetica 55 Roman" w:cs="Helvetica 55 Roman"/>
                                      <w:sz w:val="18"/>
                                      <w:szCs w:val="18"/>
                                    </w:rPr>
                                  </w:pPr>
                                  <w:r>
                                    <w:rPr>
                                      <w:rFonts w:ascii="Helvetica 65 Medium" w:hAnsi="Helvetica 65 Medium" w:cs="Helvetica 65 Medium"/>
                                      <w:sz w:val="18"/>
                                      <w:szCs w:val="18"/>
                                    </w:rPr>
                                    <w:t>highest astronomical tide</w:t>
                                  </w:r>
                                  <w:r>
                                    <w:rPr>
                                      <w:rFonts w:ascii="Helvetica 55 Roman" w:hAnsi="Helvetica 55 Roman" w:cs="Helvetica 55 Roman"/>
                                      <w:sz w:val="18"/>
                                      <w:szCs w:val="18"/>
                                    </w:rPr>
                                    <w:t xml:space="preserve">:- the highest tidal level which can be predicted to occur under average meteorological conditions and under any combination of astronomical conditions (IHO Dictionary, S-32, 5th Edition, 2244) </w:t>
                                  </w:r>
                                  <w:r>
                                    <w:rPr>
                                      <w:rFonts w:ascii="Helvetica 65 Medium" w:hAnsi="Helvetica 65 Medium" w:cs="Helvetica 65 Medium"/>
                                      <w:sz w:val="18"/>
                                      <w:szCs w:val="18"/>
                                    </w:rPr>
                                    <w:t>mean higher high water</w:t>
                                  </w:r>
                                  <w:r>
                                    <w:rPr>
                                      <w:rFonts w:ascii="Helvetica 55 Roman" w:hAnsi="Helvetica 55 Roman" w:cs="Helvetica 55 Roman"/>
                                      <w:sz w:val="18"/>
                                      <w:szCs w:val="18"/>
                                    </w:rPr>
                                    <w:t>:- the average height of higher high waters at a place over a 19</w:t>
                                  </w:r>
                                  <w:r>
                                    <w:rPr>
                                      <w:rFonts w:ascii="Helvetica 55 Roman" w:hAnsi="Helvetica 55 Roman" w:cs="Helvetica 55 Roman"/>
                                      <w:sz w:val="18"/>
                                      <w:szCs w:val="18"/>
                                    </w:rPr>
                                    <w:softHyphen/>
                                    <w:t xml:space="preserve">year period. (IHO Dictionary, S-32, 5th Edition, 3140) </w:t>
                                  </w:r>
                                  <w:r>
                                    <w:rPr>
                                      <w:rFonts w:ascii="Helvetica 65 Medium" w:hAnsi="Helvetica 65 Medium" w:cs="Helvetica 65 Medium"/>
                                      <w:sz w:val="18"/>
                                      <w:szCs w:val="18"/>
                                    </w:rPr>
                                    <w:t>mean high water springs</w:t>
                                  </w:r>
                                  <w:r>
                                    <w:rPr>
                                      <w:rFonts w:ascii="Helvetica 55 Roman" w:hAnsi="Helvetica 55 Roman" w:cs="Helvetica 55 Roman"/>
                                      <w:sz w:val="18"/>
                                      <w:szCs w:val="18"/>
                                    </w:rPr>
                                    <w:t xml:space="preserve">:- the average height of the high waters of spring tides. Also called spring high water. (IHO Dictionary, S-32, 5th Edition, 3144) </w:t>
                                  </w:r>
                                  <w:r>
                                    <w:rPr>
                                      <w:rFonts w:ascii="Helvetica 65 Medium" w:hAnsi="Helvetica 65 Medium" w:cs="Helvetica 65 Medium"/>
                                      <w:sz w:val="18"/>
                                      <w:szCs w:val="18"/>
                                    </w:rPr>
                                    <w:t>mean sea level</w:t>
                                  </w:r>
                                  <w:r>
                                    <w:rPr>
                                      <w:rFonts w:ascii="Helvetica 55 Roman" w:hAnsi="Helvetica 55 Roman" w:cs="Helvetica 55 Roman"/>
                                      <w:sz w:val="18"/>
                                      <w:szCs w:val="18"/>
                                    </w:rPr>
                                    <w:t xml:space="preserve">:- the average height of the surface of the sea at a tide station for all stages of the tide over a 19-year period, usually determined from hourly height readings measured from a fixed predetermined reference level. (IHO Dictionary, S-32, 5th Edition, 3156) </w:t>
                                  </w:r>
                                  <w:r>
                                    <w:rPr>
                                      <w:rFonts w:ascii="Helvetica 65 Medium" w:hAnsi="Helvetica 65 Medium" w:cs="Helvetica 65 Medium"/>
                                      <w:sz w:val="18"/>
                                      <w:szCs w:val="18"/>
                                    </w:rPr>
                                    <w:t>mean low water springs</w:t>
                                  </w:r>
                                  <w:r>
                                    <w:rPr>
                                      <w:rFonts w:ascii="Helvetica 55 Roman" w:hAnsi="Helvetica 55 Roman" w:cs="Helvetica 55 Roman"/>
                                      <w:sz w:val="18"/>
                                      <w:szCs w:val="18"/>
                                    </w:rPr>
                                    <w:t xml:space="preserve">:- the average height of the low waters of spring tides. Also called spring low water. (IHO Dictionary, S-32, 5th Edition, 3150) </w:t>
                                  </w:r>
                                  <w:r>
                                    <w:rPr>
                                      <w:rFonts w:ascii="Helvetica 65 Medium" w:hAnsi="Helvetica 65 Medium" w:cs="Helvetica 65 Medium"/>
                                      <w:sz w:val="18"/>
                                      <w:szCs w:val="18"/>
                                    </w:rPr>
                                    <w:t>mean lower low water</w:t>
                                  </w:r>
                                  <w:r>
                                    <w:rPr>
                                      <w:rFonts w:ascii="Helvetica 55 Roman" w:hAnsi="Helvetica 55 Roman" w:cs="Helvetica 55 Roman"/>
                                      <w:sz w:val="18"/>
                                      <w:szCs w:val="18"/>
                                    </w:rPr>
                                    <w:t>:- the average height of the lower low waters at a place over a 19</w:t>
                                  </w:r>
                                  <w:r>
                                    <w:rPr>
                                      <w:rFonts w:ascii="Helvetica 55 Roman" w:hAnsi="Helvetica 55 Roman" w:cs="Helvetica 55 Roman"/>
                                      <w:sz w:val="18"/>
                                      <w:szCs w:val="18"/>
                                    </w:rPr>
                                    <w:softHyphen/>
                                    <w:t xml:space="preserve">year period. (IHO Dictionary, S-32, 5th Edition, 3145) </w:t>
                                  </w:r>
                                  <w:r>
                                    <w:rPr>
                                      <w:rFonts w:ascii="Helvetica 65 Medium" w:hAnsi="Helvetica 65 Medium" w:cs="Helvetica 65 Medium"/>
                                      <w:sz w:val="18"/>
                                      <w:szCs w:val="18"/>
                                    </w:rPr>
                                    <w:t>Indian spring low water</w:t>
                                  </w:r>
                                  <w:r>
                                    <w:rPr>
                                      <w:rFonts w:ascii="Helvetica 55 Roman" w:hAnsi="Helvetica 55 Roman" w:cs="Helvetica 55 Roman"/>
                                      <w:sz w:val="18"/>
                                      <w:szCs w:val="18"/>
                                    </w:rPr>
                                    <w:t xml:space="preserve">:- a tidal datum approximating the level of the mean of the lower low water at spring tides. Also called Indian tidal plane. (IHO Dictionary, S-32, 5th Edition, 2427) ISLW was defined by G.H. Darwin for the tides of India at a level below MSL and is found by subtracting the sum of the harmonic constituents M2, S2, K1 and O1 from Mean Sea Level </w:t>
                                  </w:r>
                                  <w:r>
                                    <w:rPr>
                                      <w:rFonts w:ascii="Helvetica 65 Medium" w:hAnsi="Helvetica 65 Medium" w:cs="Helvetica 65 Medium"/>
                                      <w:sz w:val="18"/>
                                      <w:szCs w:val="18"/>
                                    </w:rPr>
                                    <w:t>lowest astronomical tide</w:t>
                                  </w:r>
                                  <w:r>
                                    <w:rPr>
                                      <w:rFonts w:ascii="Helvetica 55 Roman" w:hAnsi="Helvetica 55 Roman" w:cs="Helvetica 55 Roman"/>
                                      <w:sz w:val="18"/>
                                      <w:szCs w:val="18"/>
                                    </w:rPr>
                                    <w:t xml:space="preserve">:- the lowest tide level which can be predicted to occur under average meteorological conditions and under any combination of astronomical conditions. (IHO Dictionary, S-32, 5th Edition, 2936) </w:t>
                                  </w:r>
                                </w:p>
                              </w:tc>
                              <w:tc>
                                <w:tcPr>
                                  <w:tcW w:w="1510" w:type="dxa"/>
                                  <w:tcBorders>
                                    <w:top w:val="single" w:sz="2" w:space="0" w:color="01769F"/>
                                    <w:left w:val="single" w:sz="4" w:space="0" w:color="000102"/>
                                    <w:bottom w:val="single" w:sz="4" w:space="0" w:color="000000"/>
                                    <w:right w:val="single" w:sz="4" w:space="0" w:color="000000"/>
                                  </w:tcBorders>
                                </w:tcPr>
                                <w:p w14:paraId="3560765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HAT MHHW MHWS MSL MLWS MLLW ISLW LAT </w:t>
                                  </w:r>
                                </w:p>
                              </w:tc>
                            </w:tr>
                          </w:tbl>
                          <w:p w14:paraId="15C532D0"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margin-left:65.1pt;margin-top:139.8pt;width:493pt;height:445.6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32"/>
                        <w:gridCol w:w="473"/>
                        <w:gridCol w:w="115"/>
                        <w:gridCol w:w="42"/>
                        <w:gridCol w:w="33"/>
                        <w:gridCol w:w="120"/>
                        <w:gridCol w:w="182"/>
                        <w:gridCol w:w="5"/>
                        <w:gridCol w:w="28"/>
                        <w:gridCol w:w="70"/>
                        <w:gridCol w:w="65"/>
                        <w:gridCol w:w="87"/>
                        <w:gridCol w:w="30"/>
                        <w:gridCol w:w="50"/>
                        <w:gridCol w:w="10"/>
                        <w:gridCol w:w="110"/>
                        <w:gridCol w:w="15"/>
                        <w:gridCol w:w="55"/>
                        <w:gridCol w:w="20"/>
                        <w:gridCol w:w="50"/>
                        <w:gridCol w:w="50"/>
                        <w:gridCol w:w="60"/>
                        <w:gridCol w:w="58"/>
                        <w:gridCol w:w="95"/>
                        <w:gridCol w:w="2"/>
                        <w:gridCol w:w="33"/>
                        <w:gridCol w:w="155"/>
                        <w:gridCol w:w="20"/>
                        <w:gridCol w:w="129"/>
                        <w:gridCol w:w="68"/>
                        <w:gridCol w:w="105"/>
                        <w:gridCol w:w="7"/>
                        <w:gridCol w:w="5"/>
                        <w:gridCol w:w="65"/>
                        <w:gridCol w:w="58"/>
                        <w:gridCol w:w="22"/>
                        <w:gridCol w:w="8"/>
                        <w:gridCol w:w="7"/>
                        <w:gridCol w:w="73"/>
                        <w:gridCol w:w="120"/>
                        <w:gridCol w:w="72"/>
                        <w:gridCol w:w="220"/>
                        <w:gridCol w:w="15"/>
                        <w:gridCol w:w="5"/>
                        <w:gridCol w:w="60"/>
                        <w:gridCol w:w="237"/>
                        <w:gridCol w:w="11"/>
                        <w:gridCol w:w="27"/>
                        <w:gridCol w:w="15"/>
                        <w:gridCol w:w="25"/>
                        <w:gridCol w:w="50"/>
                        <w:gridCol w:w="103"/>
                        <w:gridCol w:w="33"/>
                        <w:gridCol w:w="99"/>
                        <w:gridCol w:w="135"/>
                        <w:gridCol w:w="5"/>
                        <w:gridCol w:w="5"/>
                        <w:gridCol w:w="12"/>
                        <w:gridCol w:w="47"/>
                        <w:gridCol w:w="168"/>
                        <w:gridCol w:w="48"/>
                        <w:gridCol w:w="4"/>
                        <w:gridCol w:w="110"/>
                        <w:gridCol w:w="12"/>
                        <w:gridCol w:w="108"/>
                        <w:gridCol w:w="4"/>
                        <w:gridCol w:w="22"/>
                        <w:gridCol w:w="47"/>
                        <w:gridCol w:w="123"/>
                        <w:gridCol w:w="170"/>
                        <w:gridCol w:w="30"/>
                        <w:gridCol w:w="18"/>
                        <w:gridCol w:w="89"/>
                        <w:gridCol w:w="47"/>
                        <w:gridCol w:w="121"/>
                        <w:gridCol w:w="45"/>
                        <w:gridCol w:w="189"/>
                        <w:gridCol w:w="10"/>
                        <w:gridCol w:w="207"/>
                        <w:gridCol w:w="86"/>
                        <w:gridCol w:w="70"/>
                        <w:gridCol w:w="8"/>
                        <w:gridCol w:w="78"/>
                        <w:gridCol w:w="75"/>
                        <w:gridCol w:w="77"/>
                        <w:gridCol w:w="122"/>
                        <w:gridCol w:w="157"/>
                        <w:gridCol w:w="95"/>
                        <w:gridCol w:w="88"/>
                        <w:gridCol w:w="55"/>
                        <w:gridCol w:w="2"/>
                        <w:gridCol w:w="283"/>
                        <w:gridCol w:w="177"/>
                        <w:gridCol w:w="77"/>
                        <w:gridCol w:w="76"/>
                        <w:gridCol w:w="119"/>
                        <w:gridCol w:w="23"/>
                        <w:gridCol w:w="144"/>
                        <w:gridCol w:w="161"/>
                        <w:gridCol w:w="605"/>
                        <w:gridCol w:w="176"/>
                        <w:gridCol w:w="161"/>
                        <w:gridCol w:w="173"/>
                        <w:gridCol w:w="71"/>
                        <w:gridCol w:w="6"/>
                        <w:gridCol w:w="13"/>
                        <w:gridCol w:w="2"/>
                        <w:gridCol w:w="8"/>
                        <w:gridCol w:w="76"/>
                        <w:gridCol w:w="1845"/>
                        <w:gridCol w:w="345"/>
                        <w:gridCol w:w="47"/>
                        <w:gridCol w:w="1670"/>
                        <w:gridCol w:w="13"/>
                      </w:tblGrid>
                      <w:tr w:rsidR="00000000" w14:paraId="1D5C662D" w14:textId="77777777">
                        <w:tblPrEx>
                          <w:tblCellMar>
                            <w:top w:w="0" w:type="dxa"/>
                            <w:bottom w:w="0" w:type="dxa"/>
                          </w:tblCellMar>
                        </w:tblPrEx>
                        <w:trPr>
                          <w:gridAfter w:val="10"/>
                          <w:wAfter w:w="2009" w:type="dxa"/>
                          <w:trHeight w:val="245"/>
                        </w:trPr>
                        <w:tc>
                          <w:tcPr>
                            <w:tcW w:w="7550" w:type="dxa"/>
                            <w:gridSpan w:val="97"/>
                            <w:tcBorders>
                              <w:top w:val="single" w:sz="4" w:space="0" w:color="001219"/>
                              <w:left w:val="single" w:sz="4" w:space="0" w:color="000000"/>
                              <w:right w:val="single" w:sz="4" w:space="0" w:color="000102"/>
                            </w:tcBorders>
                            <w:shd w:val="clear" w:color="auto" w:fill="01769F"/>
                            <w:vAlign w:val="center"/>
                          </w:tcPr>
                          <w:p w14:paraId="4CA232F7"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Levels and Description </w:t>
                            </w:r>
                          </w:p>
                        </w:tc>
                        <w:tc>
                          <w:tcPr>
                            <w:tcW w:w="1510" w:type="dxa"/>
                            <w:gridSpan w:val="8"/>
                            <w:tcBorders>
                              <w:top w:val="single" w:sz="4" w:space="0" w:color="001219"/>
                              <w:left w:val="single" w:sz="4" w:space="0" w:color="000102"/>
                              <w:right w:val="single" w:sz="4" w:space="0" w:color="000000"/>
                            </w:tcBorders>
                            <w:shd w:val="clear" w:color="auto" w:fill="01769F"/>
                            <w:vAlign w:val="center"/>
                          </w:tcPr>
                          <w:p w14:paraId="058A1536"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Abbreviation </w:t>
                            </w:r>
                          </w:p>
                        </w:tc>
                      </w:tr>
                      <w:tr w:rsidR="00000000" w14:paraId="50A95833" w14:textId="77777777">
                        <w:tblPrEx>
                          <w:tblCellMar>
                            <w:top w:w="0" w:type="dxa"/>
                            <w:bottom w:w="0" w:type="dxa"/>
                          </w:tblCellMar>
                        </w:tblPrEx>
                        <w:trPr>
                          <w:gridAfter w:val="10"/>
                          <w:wAfter w:w="2009" w:type="dxa"/>
                          <w:trHeight w:val="3611"/>
                        </w:trPr>
                        <w:tc>
                          <w:tcPr>
                            <w:tcW w:w="7550" w:type="dxa"/>
                            <w:gridSpan w:val="97"/>
                            <w:tcBorders>
                              <w:top w:val="single" w:sz="2" w:space="0" w:color="01769F"/>
                              <w:left w:val="single" w:sz="4" w:space="0" w:color="000000"/>
                              <w:bottom w:val="single" w:sz="4" w:space="0" w:color="000000"/>
                              <w:right w:val="single" w:sz="4" w:space="0" w:color="000102"/>
                            </w:tcBorders>
                          </w:tcPr>
                          <w:p w14:paraId="7CC8909B" w14:textId="77777777" w:rsidR="00000000" w:rsidRDefault="00A450E1">
                            <w:pPr>
                              <w:pStyle w:val="Default"/>
                              <w:rPr>
                                <w:rFonts w:ascii="Helvetica 55 Roman" w:hAnsi="Helvetica 55 Roman" w:cs="Helvetica 55 Roman"/>
                                <w:sz w:val="18"/>
                                <w:szCs w:val="18"/>
                              </w:rPr>
                            </w:pPr>
                            <w:r>
                              <w:rPr>
                                <w:rFonts w:ascii="Helvetica 65 Medium" w:hAnsi="Helvetica 65 Medium" w:cs="Helvetica 65 Medium"/>
                                <w:sz w:val="18"/>
                                <w:szCs w:val="18"/>
                              </w:rPr>
                              <w:t>highest astronomical tide</w:t>
                            </w:r>
                            <w:r>
                              <w:rPr>
                                <w:rFonts w:ascii="Helvetica 55 Roman" w:hAnsi="Helvetica 55 Roman" w:cs="Helvetica 55 Roman"/>
                                <w:sz w:val="18"/>
                                <w:szCs w:val="18"/>
                              </w:rPr>
                              <w:t xml:space="preserve">:- the highest tidal level which can be predicted to occur under average meteorological conditions and under any combination of astronomical conditions (IHO Dictionary, S-32, 5th Edition, 2244) </w:t>
                            </w:r>
                            <w:r>
                              <w:rPr>
                                <w:rFonts w:ascii="Helvetica 65 Medium" w:hAnsi="Helvetica 65 Medium" w:cs="Helvetica 65 Medium"/>
                                <w:sz w:val="18"/>
                                <w:szCs w:val="18"/>
                              </w:rPr>
                              <w:t>mean higher high water</w:t>
                            </w:r>
                            <w:r>
                              <w:rPr>
                                <w:rFonts w:ascii="Helvetica 55 Roman" w:hAnsi="Helvetica 55 Roman" w:cs="Helvetica 55 Roman"/>
                                <w:sz w:val="18"/>
                                <w:szCs w:val="18"/>
                              </w:rPr>
                              <w:t>:- the average height of higher high wat</w:t>
                            </w:r>
                            <w:r>
                              <w:rPr>
                                <w:rFonts w:ascii="Helvetica 55 Roman" w:hAnsi="Helvetica 55 Roman" w:cs="Helvetica 55 Roman"/>
                                <w:sz w:val="18"/>
                                <w:szCs w:val="18"/>
                              </w:rPr>
                              <w:t>ers at a place over a 19</w:t>
                            </w:r>
                            <w:r>
                              <w:rPr>
                                <w:rFonts w:ascii="Helvetica 55 Roman" w:hAnsi="Helvetica 55 Roman" w:cs="Helvetica 55 Roman"/>
                                <w:sz w:val="18"/>
                                <w:szCs w:val="18"/>
                              </w:rPr>
                              <w:softHyphen/>
                              <w:t xml:space="preserve">year period. (IHO Dictionary, S-32, 5th Edition, 3140) </w:t>
                            </w:r>
                            <w:r>
                              <w:rPr>
                                <w:rFonts w:ascii="Helvetica 65 Medium" w:hAnsi="Helvetica 65 Medium" w:cs="Helvetica 65 Medium"/>
                                <w:sz w:val="18"/>
                                <w:szCs w:val="18"/>
                              </w:rPr>
                              <w:t>mean high water springs</w:t>
                            </w:r>
                            <w:r>
                              <w:rPr>
                                <w:rFonts w:ascii="Helvetica 55 Roman" w:hAnsi="Helvetica 55 Roman" w:cs="Helvetica 55 Roman"/>
                                <w:sz w:val="18"/>
                                <w:szCs w:val="18"/>
                              </w:rPr>
                              <w:t xml:space="preserve">:- the average height of the high waters of spring tides. Also called spring high water. (IHO Dictionary, S-32, 5th Edition, 3144) </w:t>
                            </w:r>
                            <w:r>
                              <w:rPr>
                                <w:rFonts w:ascii="Helvetica 65 Medium" w:hAnsi="Helvetica 65 Medium" w:cs="Helvetica 65 Medium"/>
                                <w:sz w:val="18"/>
                                <w:szCs w:val="18"/>
                              </w:rPr>
                              <w:t>mean sea level</w:t>
                            </w:r>
                            <w:r>
                              <w:rPr>
                                <w:rFonts w:ascii="Helvetica 55 Roman" w:hAnsi="Helvetica 55 Roman" w:cs="Helvetica 55 Roman"/>
                                <w:sz w:val="18"/>
                                <w:szCs w:val="18"/>
                              </w:rPr>
                              <w:t>:- the a</w:t>
                            </w:r>
                            <w:r>
                              <w:rPr>
                                <w:rFonts w:ascii="Helvetica 55 Roman" w:hAnsi="Helvetica 55 Roman" w:cs="Helvetica 55 Roman"/>
                                <w:sz w:val="18"/>
                                <w:szCs w:val="18"/>
                              </w:rPr>
                              <w:t xml:space="preserve">verage height of the surface of the sea at a tide station for all stages of the tide over a 19-year period, usually determined from hourly height readings measured from a fixed predetermined reference level. (IHO Dictionary, S-32, 5th Edition, 3156) </w:t>
                            </w:r>
                            <w:r>
                              <w:rPr>
                                <w:rFonts w:ascii="Helvetica 65 Medium" w:hAnsi="Helvetica 65 Medium" w:cs="Helvetica 65 Medium"/>
                                <w:sz w:val="18"/>
                                <w:szCs w:val="18"/>
                              </w:rPr>
                              <w:t>mean l</w:t>
                            </w:r>
                            <w:r>
                              <w:rPr>
                                <w:rFonts w:ascii="Helvetica 65 Medium" w:hAnsi="Helvetica 65 Medium" w:cs="Helvetica 65 Medium"/>
                                <w:sz w:val="18"/>
                                <w:szCs w:val="18"/>
                              </w:rPr>
                              <w:t>ow water springs</w:t>
                            </w:r>
                            <w:r>
                              <w:rPr>
                                <w:rFonts w:ascii="Helvetica 55 Roman" w:hAnsi="Helvetica 55 Roman" w:cs="Helvetica 55 Roman"/>
                                <w:sz w:val="18"/>
                                <w:szCs w:val="18"/>
                              </w:rPr>
                              <w:t xml:space="preserve">:- the average height of the low waters of spring tides. Also called spring low water. (IHO Dictionary, S-32, 5th Edition, 3150) </w:t>
                            </w:r>
                            <w:r>
                              <w:rPr>
                                <w:rFonts w:ascii="Helvetica 65 Medium" w:hAnsi="Helvetica 65 Medium" w:cs="Helvetica 65 Medium"/>
                                <w:sz w:val="18"/>
                                <w:szCs w:val="18"/>
                              </w:rPr>
                              <w:t>mean lower low water</w:t>
                            </w:r>
                            <w:r>
                              <w:rPr>
                                <w:rFonts w:ascii="Helvetica 55 Roman" w:hAnsi="Helvetica 55 Roman" w:cs="Helvetica 55 Roman"/>
                                <w:sz w:val="18"/>
                                <w:szCs w:val="18"/>
                              </w:rPr>
                              <w:t>:- the average height of the lower low waters at a place over a 19</w:t>
                            </w:r>
                            <w:r>
                              <w:rPr>
                                <w:rFonts w:ascii="Helvetica 55 Roman" w:hAnsi="Helvetica 55 Roman" w:cs="Helvetica 55 Roman"/>
                                <w:sz w:val="18"/>
                                <w:szCs w:val="18"/>
                              </w:rPr>
                              <w:softHyphen/>
                              <w:t>year period. (IHO Dictio</w:t>
                            </w:r>
                            <w:r>
                              <w:rPr>
                                <w:rFonts w:ascii="Helvetica 55 Roman" w:hAnsi="Helvetica 55 Roman" w:cs="Helvetica 55 Roman"/>
                                <w:sz w:val="18"/>
                                <w:szCs w:val="18"/>
                              </w:rPr>
                              <w:t xml:space="preserve">nary, S-32, 5th Edition, 3145) </w:t>
                            </w:r>
                            <w:r>
                              <w:rPr>
                                <w:rFonts w:ascii="Helvetica 65 Medium" w:hAnsi="Helvetica 65 Medium" w:cs="Helvetica 65 Medium"/>
                                <w:sz w:val="18"/>
                                <w:szCs w:val="18"/>
                              </w:rPr>
                              <w:t>Indian spring low water</w:t>
                            </w:r>
                            <w:r>
                              <w:rPr>
                                <w:rFonts w:ascii="Helvetica 55 Roman" w:hAnsi="Helvetica 55 Roman" w:cs="Helvetica 55 Roman"/>
                                <w:sz w:val="18"/>
                                <w:szCs w:val="18"/>
                              </w:rPr>
                              <w:t>:- a tidal datum approximating the level of the mean of the lower low water at spring tides. Also called Indian tidal plane. (IHO Dictionary, S-32, 5th Edition, 2427) ISLW was defined by G.H. Darwin for</w:t>
                            </w:r>
                            <w:r>
                              <w:rPr>
                                <w:rFonts w:ascii="Helvetica 55 Roman" w:hAnsi="Helvetica 55 Roman" w:cs="Helvetica 55 Roman"/>
                                <w:sz w:val="18"/>
                                <w:szCs w:val="18"/>
                              </w:rPr>
                              <w:t xml:space="preserve"> the tides of India at a level below MSL and is found by subtracting the sum of the harmonic constituents M2, S2, K1 and O1 from Mean Sea Level </w:t>
                            </w:r>
                            <w:r>
                              <w:rPr>
                                <w:rFonts w:ascii="Helvetica 65 Medium" w:hAnsi="Helvetica 65 Medium" w:cs="Helvetica 65 Medium"/>
                                <w:sz w:val="18"/>
                                <w:szCs w:val="18"/>
                              </w:rPr>
                              <w:t>lowest astronomical tide</w:t>
                            </w:r>
                            <w:r>
                              <w:rPr>
                                <w:rFonts w:ascii="Helvetica 55 Roman" w:hAnsi="Helvetica 55 Roman" w:cs="Helvetica 55 Roman"/>
                                <w:sz w:val="18"/>
                                <w:szCs w:val="18"/>
                              </w:rPr>
                              <w:t>:- the lowest tide level which can be predicted to occur under average meteorological co</w:t>
                            </w:r>
                            <w:r>
                              <w:rPr>
                                <w:rFonts w:ascii="Helvetica 55 Roman" w:hAnsi="Helvetica 55 Roman" w:cs="Helvetica 55 Roman"/>
                                <w:sz w:val="18"/>
                                <w:szCs w:val="18"/>
                              </w:rPr>
                              <w:t xml:space="preserve">nditions and under any combination of astronomical conditions. (IHO Dictionary, S-32, 5th Edition, 2936) </w:t>
                            </w:r>
                          </w:p>
                        </w:tc>
                        <w:tc>
                          <w:tcPr>
                            <w:tcW w:w="1510" w:type="dxa"/>
                            <w:gridSpan w:val="8"/>
                            <w:tcBorders>
                              <w:top w:val="single" w:sz="2" w:space="0" w:color="01769F"/>
                              <w:left w:val="single" w:sz="4" w:space="0" w:color="000102"/>
                              <w:bottom w:val="single" w:sz="4" w:space="0" w:color="000000"/>
                              <w:right w:val="single" w:sz="4" w:space="0" w:color="000000"/>
                            </w:tcBorders>
                          </w:tcPr>
                          <w:p w14:paraId="3560765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HAT MHHW MHWS MSL MLWS MLLW ISLW LAT </w:t>
                            </w:r>
                          </w:p>
                        </w:tc>
                      </w:tr>
                    </w:tbl>
                  </w:txbxContent>
                </v:textbox>
                <w10:wrap type="through" anchorx="page" anchory="page"/>
              </v:shape>
            </w:pict>
          </mc:Fallback>
        </mc:AlternateContent>
      </w:r>
    </w:p>
    <w:p w14:paraId="11EBDB8A"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Chart Datum Issues </w:t>
      </w:r>
    </w:p>
    <w:p w14:paraId="2052091D"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Until the advent of satellite navigation, nautical charts were generally produced to local and national data. The now widely used GPS positioning system uses an earth centred datum referred to as World Geodetic System</w:t>
      </w:r>
      <w:r>
        <w:rPr>
          <w:rFonts w:ascii="Palatino" w:hAnsi="Palatino" w:cs="Palatino"/>
          <w:color w:val="000000"/>
          <w:position w:val="7"/>
          <w:sz w:val="11"/>
          <w:szCs w:val="11"/>
          <w:vertAlign w:val="superscript"/>
        </w:rPr>
        <w:t>7</w:t>
      </w:r>
      <w:r>
        <w:rPr>
          <w:rFonts w:ascii="Palatino" w:hAnsi="Palatino" w:cs="Palatino"/>
          <w:color w:val="000000"/>
          <w:sz w:val="20"/>
          <w:szCs w:val="20"/>
        </w:rPr>
        <w:t xml:space="preserve"> 1984 (WGS-84) is considered to be the best compromise for representing the whole of earth’s surface. </w:t>
      </w:r>
    </w:p>
    <w:p w14:paraId="0634580F"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Generally, WGS-84 is the geodetic system associated with the differential correction information broadcast by maritime DGPS stations using the ITU-R M.823/1 signal format. </w:t>
      </w:r>
    </w:p>
    <w:p w14:paraId="2122E59B" w14:textId="77777777" w:rsidR="00541A14" w:rsidRDefault="00A450E1">
      <w:pPr>
        <w:pStyle w:val="CM164"/>
        <w:spacing w:after="1215" w:line="291" w:lineRule="atLeast"/>
        <w:rPr>
          <w:rFonts w:ascii="Palatino" w:hAnsi="Palatino" w:cs="Palatino"/>
          <w:color w:val="000000"/>
          <w:sz w:val="20"/>
          <w:szCs w:val="20"/>
        </w:rPr>
      </w:pPr>
      <w:r>
        <w:rPr>
          <w:rFonts w:ascii="Palatino" w:hAnsi="Palatino" w:cs="Palatino"/>
          <w:color w:val="000000"/>
          <w:sz w:val="20"/>
          <w:szCs w:val="20"/>
        </w:rPr>
        <w:t xml:space="preserve">The IHO Technical Resolution B1.1 recommends that all countries that issue national navigational charts should base these on the WGS 84 geodetic system. For many countries this simple objective </w:t>
      </w:r>
    </w:p>
    <w:p w14:paraId="52CF40F3" w14:textId="77777777" w:rsidR="00541A14" w:rsidRDefault="00A450E1">
      <w:pPr>
        <w:pStyle w:val="CM163"/>
        <w:spacing w:after="642" w:line="220" w:lineRule="atLeast"/>
        <w:rPr>
          <w:rFonts w:ascii="Palatino" w:hAnsi="Palatino" w:cs="Palatino"/>
          <w:color w:val="000000"/>
          <w:sz w:val="20"/>
          <w:szCs w:val="20"/>
        </w:rPr>
      </w:pPr>
      <w:r>
        <w:rPr>
          <w:rFonts w:ascii="Palatino" w:hAnsi="Palatino" w:cs="Palatino"/>
          <w:color w:val="000000"/>
          <w:position w:val="6"/>
          <w:sz w:val="20"/>
          <w:szCs w:val="20"/>
          <w:vertAlign w:val="superscript"/>
        </w:rPr>
        <w:t>7</w:t>
      </w:r>
      <w:r>
        <w:rPr>
          <w:rFonts w:ascii="Palatino" w:hAnsi="Palatino" w:cs="Palatino"/>
          <w:color w:val="000000"/>
          <w:sz w:val="20"/>
          <w:szCs w:val="20"/>
        </w:rPr>
        <w:t xml:space="preserve">The World Geodetic System (WGS) is a consistent set of parameters for describing the size and shape of theearth, positions of a network of points with respect to the centre of mass of the Earth, transformations from major geodetic data and the potential of the Earth. (IMO Resolution A860(20)). </w:t>
      </w:r>
    </w:p>
    <w:p w14:paraId="73FB9BB7" w14:textId="77777777" w:rsidR="00541A14" w:rsidRDefault="00DD420F">
      <w:pPr>
        <w:pStyle w:val="Default"/>
        <w:framePr w:w="12690" w:wrap="auto" w:vAnchor="page" w:hAnchor="page" w:x="101" w:y="15124"/>
        <w:rPr>
          <w:rFonts w:ascii="Palatino" w:hAnsi="Palatino" w:cs="Palatino"/>
          <w:sz w:val="20"/>
          <w:szCs w:val="20"/>
        </w:rPr>
      </w:pPr>
      <w:r>
        <w:rPr>
          <w:rFonts w:ascii="Palatino" w:hAnsi="Palatino" w:cs="Palatino"/>
          <w:noProof/>
          <w:sz w:val="20"/>
          <w:szCs w:val="20"/>
        </w:rPr>
        <w:drawing>
          <wp:inline distT="0" distB="0" distL="0" distR="0" wp14:anchorId="36957067" wp14:editId="1E05EAB9">
            <wp:extent cx="7542530" cy="380365"/>
            <wp:effectExtent l="0" t="0" r="1270" b="63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542530" cy="380365"/>
                    </a:xfrm>
                    <a:prstGeom prst="rect">
                      <a:avLst/>
                    </a:prstGeom>
                    <a:noFill/>
                    <a:ln>
                      <a:noFill/>
                    </a:ln>
                  </pic:spPr>
                </pic:pic>
              </a:graphicData>
            </a:graphic>
          </wp:inline>
        </w:drawing>
      </w:r>
    </w:p>
    <w:p w14:paraId="1691BBD6" w14:textId="77777777" w:rsidR="00541A14" w:rsidRDefault="00DD420F">
      <w:pPr>
        <w:pStyle w:val="Default"/>
        <w:pageBreakBefore/>
        <w:framePr w:w="12892" w:wrap="auto" w:vAnchor="page" w:hAnchor="page" w:x="101" w:y="1"/>
        <w:spacing w:after="980"/>
        <w:rPr>
          <w:rFonts w:ascii="Palatino" w:hAnsi="Palatino" w:cs="Palatino"/>
          <w:sz w:val="20"/>
          <w:szCs w:val="20"/>
        </w:rPr>
      </w:pPr>
      <w:r>
        <w:rPr>
          <w:rFonts w:ascii="Palatino" w:hAnsi="Palatino" w:cs="Palatino"/>
          <w:noProof/>
          <w:sz w:val="20"/>
          <w:szCs w:val="20"/>
        </w:rPr>
        <w:drawing>
          <wp:inline distT="0" distB="0" distL="0" distR="0" wp14:anchorId="640A83BC" wp14:editId="026CBCE9">
            <wp:extent cx="7553960" cy="954405"/>
            <wp:effectExtent l="0" t="0" r="0" b="1079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553960" cy="954405"/>
                    </a:xfrm>
                    <a:prstGeom prst="rect">
                      <a:avLst/>
                    </a:prstGeom>
                    <a:noFill/>
                    <a:ln>
                      <a:noFill/>
                    </a:ln>
                  </pic:spPr>
                </pic:pic>
              </a:graphicData>
            </a:graphic>
          </wp:inline>
        </w:drawing>
      </w:r>
    </w:p>
    <w:p w14:paraId="6FDFBA0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represents a formidable workload and will take a number of years to achieve.  Consequently, many nautical charts will continue to refer to data other than WGS-84 and discrepancies of several hundred metres can exist between a GPS derived position and the charted position.  During this transitional period, it is important for navigators and other persons using charts to: </w:t>
      </w:r>
    </w:p>
    <w:p w14:paraId="74F1CFED" w14:textId="77777777" w:rsidR="00541A14" w:rsidRDefault="00A450E1">
      <w:pPr>
        <w:pStyle w:val="Default"/>
        <w:numPr>
          <w:ilvl w:val="0"/>
          <w:numId w:val="22"/>
        </w:numPr>
        <w:spacing w:after="32"/>
        <w:rPr>
          <w:rFonts w:ascii="Palatino" w:hAnsi="Palatino" w:cs="Palatino"/>
          <w:sz w:val="20"/>
          <w:szCs w:val="20"/>
        </w:rPr>
      </w:pPr>
      <w:r>
        <w:rPr>
          <w:rFonts w:ascii="Palatino" w:hAnsi="Palatino" w:cs="Palatino"/>
          <w:sz w:val="20"/>
          <w:szCs w:val="20"/>
        </w:rPr>
        <w:t xml:space="preserve">be aware of the datum applicable to the chart in use; </w:t>
      </w:r>
    </w:p>
    <w:p w14:paraId="7BC2A850" w14:textId="77777777" w:rsidR="00541A14" w:rsidRDefault="00A450E1">
      <w:pPr>
        <w:pStyle w:val="Default"/>
        <w:numPr>
          <w:ilvl w:val="0"/>
          <w:numId w:val="22"/>
        </w:numPr>
        <w:spacing w:after="32"/>
        <w:rPr>
          <w:rFonts w:ascii="Palatino" w:hAnsi="Palatino" w:cs="Palatino"/>
          <w:sz w:val="20"/>
          <w:szCs w:val="20"/>
        </w:rPr>
      </w:pPr>
      <w:r>
        <w:rPr>
          <w:rFonts w:ascii="Palatino" w:hAnsi="Palatino" w:cs="Palatino"/>
          <w:sz w:val="20"/>
          <w:szCs w:val="20"/>
        </w:rPr>
        <w:t xml:space="preserve">include the applicable reference datum when communicating a measured position; </w:t>
      </w:r>
    </w:p>
    <w:p w14:paraId="75BFF095" w14:textId="77777777" w:rsidR="00541A14" w:rsidRDefault="00A450E1">
      <w:pPr>
        <w:pStyle w:val="Default"/>
        <w:numPr>
          <w:ilvl w:val="0"/>
          <w:numId w:val="22"/>
        </w:numPr>
        <w:rPr>
          <w:rFonts w:ascii="Palatino" w:hAnsi="Palatino" w:cs="Palatino"/>
          <w:sz w:val="20"/>
          <w:szCs w:val="20"/>
        </w:rPr>
      </w:pPr>
      <w:r>
        <w:rPr>
          <w:rFonts w:ascii="Palatino" w:hAnsi="Palatino" w:cs="Palatino"/>
          <w:sz w:val="20"/>
          <w:szCs w:val="20"/>
        </w:rPr>
        <w:t xml:space="preserve">determine whether or not a satellite derived position can be directly plotted onto a chart.  In </w:t>
      </w:r>
    </w:p>
    <w:p w14:paraId="5F7D7724" w14:textId="77777777" w:rsidR="00541A14" w:rsidRDefault="00541A14">
      <w:pPr>
        <w:pStyle w:val="Default"/>
        <w:rPr>
          <w:rFonts w:ascii="Palatino" w:hAnsi="Palatino" w:cs="Palatino"/>
          <w:sz w:val="20"/>
          <w:szCs w:val="20"/>
        </w:rPr>
      </w:pPr>
    </w:p>
    <w:p w14:paraId="6B509962" w14:textId="77777777" w:rsidR="00541A14" w:rsidRDefault="00A450E1">
      <w:pPr>
        <w:pStyle w:val="CM165"/>
        <w:spacing w:after="85" w:line="286" w:lineRule="atLeast"/>
        <w:ind w:left="300" w:right="95"/>
        <w:rPr>
          <w:rFonts w:ascii="Palatino" w:hAnsi="Palatino" w:cs="Palatino"/>
          <w:color w:val="000000"/>
          <w:sz w:val="20"/>
          <w:szCs w:val="20"/>
        </w:rPr>
      </w:pPr>
      <w:r>
        <w:rPr>
          <w:rFonts w:ascii="Palatino" w:hAnsi="Palatino" w:cs="Palatino"/>
          <w:color w:val="000000"/>
          <w:sz w:val="20"/>
          <w:szCs w:val="20"/>
        </w:rPr>
        <w:t xml:space="preserve">some cases a chart will include information for adjusting a satellite derived position to align to the chart datum; </w:t>
      </w:r>
    </w:p>
    <w:p w14:paraId="0E1947B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be aware that some GPS receivers have the facility to automatically convert (and display) WGS</w:t>
      </w:r>
      <w:r>
        <w:rPr>
          <w:rFonts w:ascii="Palatino" w:hAnsi="Palatino" w:cs="Palatino"/>
          <w:color w:val="000000"/>
          <w:sz w:val="20"/>
          <w:szCs w:val="20"/>
        </w:rPr>
        <w:softHyphen/>
      </w:r>
    </w:p>
    <w:p w14:paraId="7AE17F9C" w14:textId="77777777" w:rsidR="00541A14" w:rsidRDefault="00A450E1">
      <w:pPr>
        <w:pStyle w:val="CM172"/>
        <w:spacing w:after="202" w:line="293" w:lineRule="atLeast"/>
        <w:ind w:left="300" w:right="205"/>
        <w:rPr>
          <w:rFonts w:ascii="Palatino" w:hAnsi="Palatino" w:cs="Palatino"/>
          <w:color w:val="000000"/>
          <w:sz w:val="20"/>
          <w:szCs w:val="20"/>
        </w:rPr>
      </w:pPr>
      <w:r>
        <w:rPr>
          <w:rFonts w:ascii="Palatino" w:hAnsi="Palatino" w:cs="Palatino"/>
          <w:color w:val="000000"/>
          <w:sz w:val="20"/>
          <w:szCs w:val="20"/>
        </w:rPr>
        <w:t xml:space="preserve">84 positions into other geodetic coordinate systems.  The user should be aware of the settings that have been applied to the receiver. </w:t>
      </w:r>
    </w:p>
    <w:p w14:paraId="37E98A18" w14:textId="77777777" w:rsidR="00541A14" w:rsidRDefault="00A450E1">
      <w:pPr>
        <w:pStyle w:val="CM170"/>
        <w:spacing w:after="887"/>
        <w:rPr>
          <w:rFonts w:ascii="Palatino" w:hAnsi="Palatino" w:cs="Palatino"/>
          <w:color w:val="000000"/>
          <w:sz w:val="20"/>
          <w:szCs w:val="20"/>
        </w:rPr>
      </w:pPr>
      <w:r>
        <w:rPr>
          <w:rFonts w:ascii="Palatino" w:hAnsi="Palatino" w:cs="Palatino"/>
          <w:color w:val="000000"/>
          <w:sz w:val="20"/>
          <w:szCs w:val="20"/>
        </w:rPr>
        <w:t>Examples of the style of note found on some charts</w:t>
      </w:r>
      <w:r>
        <w:rPr>
          <w:rFonts w:ascii="Palatino" w:hAnsi="Palatino" w:cs="Palatino"/>
          <w:color w:val="000000"/>
          <w:position w:val="7"/>
          <w:sz w:val="11"/>
          <w:szCs w:val="11"/>
          <w:vertAlign w:val="superscript"/>
        </w:rPr>
        <w:t>8</w:t>
      </w:r>
      <w:r>
        <w:rPr>
          <w:rFonts w:ascii="Palatino" w:hAnsi="Palatino" w:cs="Palatino"/>
          <w:color w:val="000000"/>
          <w:sz w:val="20"/>
          <w:szCs w:val="20"/>
        </w:rPr>
        <w:t xml:space="preserve"> are shown in Figure 5. </w:t>
      </w:r>
    </w:p>
    <w:p w14:paraId="15638F77" w14:textId="77777777" w:rsidR="00541A14" w:rsidRDefault="00DD420F">
      <w:pPr>
        <w:pStyle w:val="Default"/>
        <w:framePr w:w="9200" w:wrap="auto" w:vAnchor="page" w:hAnchor="page" w:x="1747" w:y="7603"/>
        <w:spacing w:after="320"/>
        <w:rPr>
          <w:rFonts w:ascii="Palatino" w:hAnsi="Palatino" w:cs="Palatino"/>
          <w:sz w:val="20"/>
          <w:szCs w:val="20"/>
        </w:rPr>
      </w:pPr>
      <w:r>
        <w:rPr>
          <w:rFonts w:ascii="Palatino" w:hAnsi="Palatino" w:cs="Palatino"/>
          <w:noProof/>
          <w:sz w:val="20"/>
          <w:szCs w:val="20"/>
        </w:rPr>
        <w:drawing>
          <wp:inline distT="0" distB="0" distL="0" distR="0" wp14:anchorId="2097E28E" wp14:editId="7DDB25FF">
            <wp:extent cx="5321935" cy="2590165"/>
            <wp:effectExtent l="0" t="0" r="12065"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1935" cy="2590165"/>
                    </a:xfrm>
                    <a:prstGeom prst="rect">
                      <a:avLst/>
                    </a:prstGeom>
                    <a:noFill/>
                    <a:ln>
                      <a:noFill/>
                    </a:ln>
                  </pic:spPr>
                </pic:pic>
              </a:graphicData>
            </a:graphic>
          </wp:inline>
        </w:drawing>
      </w:r>
    </w:p>
    <w:p w14:paraId="27838C6B" w14:textId="77777777" w:rsidR="00541A14" w:rsidRDefault="00A450E1">
      <w:pPr>
        <w:pStyle w:val="CM186"/>
        <w:spacing w:after="3180"/>
        <w:jc w:val="center"/>
        <w:rPr>
          <w:rFonts w:ascii="Palatino" w:hAnsi="Palatino" w:cs="Palatino"/>
          <w:color w:val="000000"/>
          <w:sz w:val="20"/>
          <w:szCs w:val="20"/>
        </w:rPr>
      </w:pPr>
      <w:r>
        <w:rPr>
          <w:rFonts w:ascii="Palatino" w:hAnsi="Palatino" w:cs="Palatino"/>
          <w:i/>
          <w:iCs/>
          <w:color w:val="000000"/>
          <w:sz w:val="20"/>
          <w:szCs w:val="20"/>
        </w:rPr>
        <w:t xml:space="preserve">Figure 5 – GPS Notes on Charts </w:t>
      </w:r>
    </w:p>
    <w:p w14:paraId="7CAEA395" w14:textId="77777777" w:rsidR="00541A14" w:rsidRDefault="00A450E1">
      <w:pPr>
        <w:pStyle w:val="CM163"/>
        <w:spacing w:after="642"/>
        <w:rPr>
          <w:rFonts w:ascii="Palatino" w:hAnsi="Palatino" w:cs="Palatino"/>
          <w:color w:val="000000"/>
          <w:sz w:val="20"/>
          <w:szCs w:val="20"/>
        </w:rPr>
      </w:pPr>
      <w:r>
        <w:rPr>
          <w:rFonts w:ascii="Palatino" w:hAnsi="Palatino" w:cs="Palatino"/>
          <w:color w:val="000000"/>
          <w:position w:val="6"/>
          <w:sz w:val="20"/>
          <w:szCs w:val="20"/>
          <w:vertAlign w:val="superscript"/>
        </w:rPr>
        <w:t>8</w:t>
      </w:r>
      <w:r>
        <w:rPr>
          <w:rFonts w:ascii="Palatino" w:hAnsi="Palatino" w:cs="Palatino"/>
          <w:color w:val="000000"/>
          <w:sz w:val="20"/>
          <w:szCs w:val="20"/>
        </w:rPr>
        <w:t xml:space="preserve">Examples taken from Australian Charts. </w:t>
      </w:r>
    </w:p>
    <w:p w14:paraId="52C68C9B" w14:textId="77777777" w:rsidR="00541A14" w:rsidRDefault="00DD420F">
      <w:pPr>
        <w:pStyle w:val="Default"/>
        <w:framePr w:w="10740" w:wrap="auto" w:vAnchor="page" w:hAnchor="page" w:x="1415" w:y="16334"/>
        <w:rPr>
          <w:rFonts w:ascii="Palatino" w:hAnsi="Palatino" w:cs="Palatino"/>
          <w:sz w:val="20"/>
          <w:szCs w:val="20"/>
        </w:rPr>
      </w:pPr>
      <w:r>
        <w:rPr>
          <w:rFonts w:ascii="Palatino" w:hAnsi="Palatino" w:cs="Palatino"/>
          <w:noProof/>
          <w:sz w:val="20"/>
          <w:szCs w:val="20"/>
        </w:rPr>
        <w:drawing>
          <wp:inline distT="0" distB="0" distL="0" distR="0" wp14:anchorId="5B4D9242" wp14:editId="49F0DA19">
            <wp:extent cx="7553960" cy="380365"/>
            <wp:effectExtent l="0" t="0" r="0" b="63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553960" cy="380365"/>
                    </a:xfrm>
                    <a:prstGeom prst="rect">
                      <a:avLst/>
                    </a:prstGeom>
                    <a:noFill/>
                    <a:ln>
                      <a:noFill/>
                    </a:ln>
                  </pic:spPr>
                </pic:pic>
              </a:graphicData>
            </a:graphic>
          </wp:inline>
        </w:drawing>
      </w:r>
    </w:p>
    <w:p w14:paraId="260CEB5B" w14:textId="77777777" w:rsidR="00541A14" w:rsidRDefault="00DD420F">
      <w:pPr>
        <w:pStyle w:val="Default"/>
        <w:pageBreakBefore/>
        <w:framePr w:w="12724" w:wrap="auto" w:vAnchor="page" w:hAnchor="page" w:x="101" w:y="1"/>
        <w:spacing w:after="1000"/>
        <w:rPr>
          <w:rFonts w:ascii="Palatino" w:hAnsi="Palatino" w:cs="Palatino"/>
          <w:sz w:val="20"/>
          <w:szCs w:val="20"/>
        </w:rPr>
      </w:pPr>
      <w:r>
        <w:rPr>
          <w:rFonts w:ascii="Palatino" w:hAnsi="Palatino" w:cs="Palatino"/>
          <w:noProof/>
          <w:sz w:val="20"/>
          <w:szCs w:val="20"/>
        </w:rPr>
        <w:drawing>
          <wp:inline distT="0" distB="0" distL="0" distR="0" wp14:anchorId="37EBCF0B" wp14:editId="6C72AA4A">
            <wp:extent cx="7553960" cy="954405"/>
            <wp:effectExtent l="0" t="0" r="0" b="1079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553960" cy="954405"/>
                    </a:xfrm>
                    <a:prstGeom prst="rect">
                      <a:avLst/>
                    </a:prstGeom>
                    <a:noFill/>
                    <a:ln>
                      <a:noFill/>
                    </a:ln>
                  </pic:spPr>
                </pic:pic>
              </a:graphicData>
            </a:graphic>
          </wp:inline>
        </w:drawing>
      </w:r>
    </w:p>
    <w:p w14:paraId="58ADBBC1"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2.5.3 Accuracy of Charts </w:t>
      </w:r>
    </w:p>
    <w:p w14:paraId="1C08AFB6"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At a national level, it is important that the Authorities responsible for aids to navigation and hydrographic services work together to ensure that both the network or mix of aids to navigation provided, and the available charts are appropriate for mariners to navigate safely. </w:t>
      </w:r>
    </w:p>
    <w:p w14:paraId="14498F5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accuracy requirements for general navigation can be related to the scale of the chart necessary for each part of the passage which in turn will be determined by the local conditions and type of vessel. </w:t>
      </w:r>
    </w:p>
    <w:p w14:paraId="650DD01B" w14:textId="77777777" w:rsidR="00541A14" w:rsidRDefault="00A450E1">
      <w:pPr>
        <w:pStyle w:val="CM172"/>
        <w:spacing w:after="202" w:line="291" w:lineRule="atLeast"/>
        <w:ind w:right="107"/>
        <w:rPr>
          <w:rFonts w:ascii="Palatino" w:hAnsi="Palatino" w:cs="Palatino"/>
          <w:color w:val="000000"/>
          <w:sz w:val="20"/>
          <w:szCs w:val="20"/>
        </w:rPr>
      </w:pPr>
      <w:r>
        <w:rPr>
          <w:rFonts w:ascii="Palatino" w:hAnsi="Palatino" w:cs="Palatino"/>
          <w:color w:val="000000"/>
          <w:sz w:val="20"/>
          <w:szCs w:val="20"/>
        </w:rPr>
        <w:t xml:space="preserve">Table 4 shows chart scales with the corresponding accuracy requirements recommended by IHO and the equivalent dimension of a 0.5 mm dot on a chart. </w:t>
      </w:r>
    </w:p>
    <w:p w14:paraId="5DF5762C"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b/>
          <w:bCs/>
          <w:color w:val="000000"/>
          <w:sz w:val="20"/>
          <w:szCs w:val="20"/>
        </w:rPr>
        <w:t xml:space="preserve">table 4 – Chart scales, applications and related accuracy considerations </w:t>
      </w:r>
    </w:p>
    <w:p w14:paraId="2CC35213"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61312" behindDoc="0" locked="0" layoutInCell="0" allowOverlap="1" wp14:anchorId="05FBDC29" wp14:editId="2A39CD5D">
                <wp:simplePos x="0" y="0"/>
                <wp:positionH relativeFrom="page">
                  <wp:posOffset>996950</wp:posOffset>
                </wp:positionH>
                <wp:positionV relativeFrom="page">
                  <wp:posOffset>3642995</wp:posOffset>
                </wp:positionV>
                <wp:extent cx="6269990" cy="3242945"/>
                <wp:effectExtent l="0" t="0" r="0" b="0"/>
                <wp:wrapThrough wrapText="bothSides">
                  <wp:wrapPolygon edited="0">
                    <wp:start x="0" y="0"/>
                    <wp:lineTo x="21600" y="0"/>
                    <wp:lineTo x="21600" y="21600"/>
                    <wp:lineTo x="0" y="21600"/>
                    <wp:lineTo x="0" y="0"/>
                  </wp:wrapPolygon>
                </wp:wrapThrough>
                <wp:docPr id="55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9990" cy="3242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677"/>
                              <w:gridCol w:w="2100"/>
                              <w:gridCol w:w="3030"/>
                              <w:gridCol w:w="2267"/>
                            </w:tblGrid>
                            <w:tr w:rsidR="00541A14" w14:paraId="5A884F19" w14:textId="77777777">
                              <w:trPr>
                                <w:trHeight w:val="325"/>
                              </w:trPr>
                              <w:tc>
                                <w:tcPr>
                                  <w:tcW w:w="1677" w:type="dxa"/>
                                  <w:tcBorders>
                                    <w:top w:val="single" w:sz="4" w:space="0" w:color="001219"/>
                                    <w:left w:val="single" w:sz="4" w:space="0" w:color="000203"/>
                                    <w:right w:val="single" w:sz="4" w:space="0" w:color="000507"/>
                                  </w:tcBorders>
                                  <w:shd w:val="clear" w:color="auto" w:fill="01769F"/>
                                  <w:vAlign w:val="center"/>
                                </w:tcPr>
                                <w:p w14:paraId="009BD566" w14:textId="77777777" w:rsidR="00541A14" w:rsidRDefault="00A450E1">
                                  <w:pPr>
                                    <w:pStyle w:val="Default"/>
                                    <w:jc w:val="center"/>
                                    <w:rPr>
                                      <w:rFonts w:ascii="Helvetica 55 Roman" w:hAnsi="Helvetica 55 Roman" w:cs="Helvetica 55 Roman"/>
                                      <w:color w:val="FFFFFF"/>
                                      <w:sz w:val="10"/>
                                      <w:szCs w:val="10"/>
                                    </w:rPr>
                                  </w:pPr>
                                  <w:r>
                                    <w:rPr>
                                      <w:rFonts w:ascii="Helvetica 55 Roman" w:hAnsi="Helvetica 55 Roman" w:cs="Helvetica 55 Roman"/>
                                      <w:color w:val="FFFFFF"/>
                                      <w:sz w:val="18"/>
                                      <w:szCs w:val="18"/>
                                    </w:rPr>
                                    <w:t>Chart scale</w:t>
                                  </w:r>
                                  <w:r>
                                    <w:rPr>
                                      <w:rFonts w:ascii="Helvetica 55 Roman" w:hAnsi="Helvetica 55 Roman" w:cs="Helvetica 55 Roman"/>
                                      <w:color w:val="FFFFFF"/>
                                      <w:sz w:val="10"/>
                                      <w:szCs w:val="10"/>
                                    </w:rPr>
                                    <w:t xml:space="preserve">9 </w:t>
                                  </w:r>
                                </w:p>
                              </w:tc>
                              <w:tc>
                                <w:tcPr>
                                  <w:tcW w:w="2100" w:type="dxa"/>
                                  <w:tcBorders>
                                    <w:top w:val="single" w:sz="4" w:space="0" w:color="001219"/>
                                    <w:left w:val="single" w:sz="4" w:space="0" w:color="000507"/>
                                    <w:right w:val="single" w:sz="4" w:space="0" w:color="000507"/>
                                  </w:tcBorders>
                                  <w:shd w:val="clear" w:color="auto" w:fill="01769F"/>
                                  <w:vAlign w:val="center"/>
                                </w:tcPr>
                                <w:p w14:paraId="75566ACA"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Corresponding need for accuracy (metres) </w:t>
                                  </w:r>
                                </w:p>
                              </w:tc>
                              <w:tc>
                                <w:tcPr>
                                  <w:tcW w:w="3030" w:type="dxa"/>
                                  <w:tcBorders>
                                    <w:top w:val="single" w:sz="4" w:space="0" w:color="001219"/>
                                    <w:left w:val="single" w:sz="4" w:space="0" w:color="000507"/>
                                    <w:right w:val="single" w:sz="4" w:space="0" w:color="000507"/>
                                  </w:tcBorders>
                                  <w:shd w:val="clear" w:color="auto" w:fill="01769F"/>
                                  <w:vAlign w:val="center"/>
                                </w:tcPr>
                                <w:p w14:paraId="0F4BC531" w14:textId="77777777" w:rsidR="00541A14" w:rsidRDefault="00A450E1">
                                  <w:pPr>
                                    <w:pStyle w:val="Default"/>
                                    <w:rPr>
                                      <w:rFonts w:ascii="Helvetica 55 Roman" w:hAnsi="Helvetica 55 Roman" w:cs="Helvetica 55 Roman"/>
                                      <w:color w:val="FFFFFF"/>
                                      <w:sz w:val="10"/>
                                      <w:szCs w:val="10"/>
                                    </w:rPr>
                                  </w:pPr>
                                  <w:r>
                                    <w:rPr>
                                      <w:rFonts w:ascii="Helvetica 55 Roman" w:hAnsi="Helvetica 55 Roman" w:cs="Helvetica 55 Roman"/>
                                      <w:color w:val="FFFFFF"/>
                                      <w:sz w:val="18"/>
                                      <w:szCs w:val="18"/>
                                    </w:rPr>
                                    <w:t>Approximate pencil width (0.5 mm) equivalence (metres)</w:t>
                                  </w:r>
                                  <w:r>
                                    <w:rPr>
                                      <w:rFonts w:ascii="Helvetica 55 Roman" w:hAnsi="Helvetica 55 Roman" w:cs="Helvetica 55 Roman"/>
                                      <w:color w:val="FFFFFF"/>
                                      <w:sz w:val="10"/>
                                      <w:szCs w:val="10"/>
                                    </w:rPr>
                                    <w:t xml:space="preserve">10 </w:t>
                                  </w:r>
                                </w:p>
                              </w:tc>
                              <w:tc>
                                <w:tcPr>
                                  <w:tcW w:w="2267" w:type="dxa"/>
                                  <w:tcBorders>
                                    <w:top w:val="single" w:sz="4" w:space="0" w:color="001219"/>
                                    <w:left w:val="single" w:sz="4" w:space="0" w:color="000507"/>
                                    <w:right w:val="single" w:sz="4" w:space="0" w:color="000203"/>
                                  </w:tcBorders>
                                  <w:shd w:val="clear" w:color="auto" w:fill="01769F"/>
                                  <w:vAlign w:val="center"/>
                                </w:tcPr>
                                <w:p w14:paraId="68D8A6EA"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Application </w:t>
                                  </w:r>
                                </w:p>
                              </w:tc>
                            </w:tr>
                            <w:tr w:rsidR="00541A14" w14:paraId="7259911C" w14:textId="77777777">
                              <w:trPr>
                                <w:trHeight w:val="1916"/>
                              </w:trPr>
                              <w:tc>
                                <w:tcPr>
                                  <w:tcW w:w="1677" w:type="dxa"/>
                                  <w:tcBorders>
                                    <w:top w:val="single" w:sz="2" w:space="0" w:color="01769F"/>
                                    <w:left w:val="single" w:sz="4" w:space="0" w:color="000203"/>
                                    <w:bottom w:val="single" w:sz="4" w:space="0" w:color="000000"/>
                                    <w:right w:val="single" w:sz="4" w:space="0" w:color="000507"/>
                                  </w:tcBorders>
                                </w:tcPr>
                                <w:p w14:paraId="3A4F681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1:10,000,000 1:2,500,000 1:750,000 1:300,000 1:100,000 1:50,000 1:15,000 1:10,000 1:5,000 </w:t>
                                  </w:r>
                                </w:p>
                              </w:tc>
                              <w:tc>
                                <w:tcPr>
                                  <w:tcW w:w="2100" w:type="dxa"/>
                                  <w:tcBorders>
                                    <w:top w:val="single" w:sz="2" w:space="0" w:color="01769F"/>
                                    <w:left w:val="single" w:sz="4" w:space="0" w:color="000507"/>
                                    <w:bottom w:val="single" w:sz="4" w:space="0" w:color="000000"/>
                                    <w:right w:val="single" w:sz="4" w:space="0" w:color="000507"/>
                                  </w:tcBorders>
                                </w:tcPr>
                                <w:p w14:paraId="13593DC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10,000 2,500 750 300 100 50 15 10 5 </w:t>
                                  </w:r>
                                </w:p>
                              </w:tc>
                              <w:tc>
                                <w:tcPr>
                                  <w:tcW w:w="3030" w:type="dxa"/>
                                  <w:tcBorders>
                                    <w:top w:val="single" w:sz="2" w:space="0" w:color="01769F"/>
                                    <w:left w:val="single" w:sz="4" w:space="0" w:color="000507"/>
                                    <w:bottom w:val="single" w:sz="4" w:space="0" w:color="000000"/>
                                    <w:right w:val="single" w:sz="4" w:space="0" w:color="000507"/>
                                  </w:tcBorders>
                                </w:tcPr>
                                <w:p w14:paraId="61A3EC0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5000 1250 375 150 50 25 7.5 5 2.5 </w:t>
                                  </w:r>
                                </w:p>
                              </w:tc>
                              <w:tc>
                                <w:tcPr>
                                  <w:tcW w:w="2267" w:type="dxa"/>
                                  <w:tcBorders>
                                    <w:top w:val="single" w:sz="2" w:space="0" w:color="01769F"/>
                                    <w:left w:val="single" w:sz="4" w:space="0" w:color="000507"/>
                                    <w:bottom w:val="single" w:sz="4" w:space="0" w:color="000000"/>
                                    <w:right w:val="single" w:sz="4" w:space="0" w:color="000203"/>
                                  </w:tcBorders>
                                  <w:vAlign w:val="bottom"/>
                                </w:tcPr>
                                <w:p w14:paraId="68A3E37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Ocean navigation Ocean navigation Coastal navigation Coastal navigation Approach Approach Restricted waters Harbour plans </w:t>
                                  </w:r>
                                </w:p>
                              </w:tc>
                            </w:tr>
                          </w:tbl>
                          <w:p w14:paraId="7BA54179"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9" type="#_x0000_t202" style="position:absolute;margin-left:78.5pt;margin-top:286.85pt;width:493.7pt;height:255.3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32"/>
                        <w:gridCol w:w="473"/>
                        <w:gridCol w:w="115"/>
                        <w:gridCol w:w="42"/>
                        <w:gridCol w:w="33"/>
                        <w:gridCol w:w="120"/>
                        <w:gridCol w:w="182"/>
                        <w:gridCol w:w="5"/>
                        <w:gridCol w:w="28"/>
                        <w:gridCol w:w="70"/>
                        <w:gridCol w:w="65"/>
                        <w:gridCol w:w="87"/>
                        <w:gridCol w:w="30"/>
                        <w:gridCol w:w="50"/>
                        <w:gridCol w:w="10"/>
                        <w:gridCol w:w="110"/>
                        <w:gridCol w:w="15"/>
                        <w:gridCol w:w="55"/>
                        <w:gridCol w:w="20"/>
                        <w:gridCol w:w="50"/>
                        <w:gridCol w:w="50"/>
                        <w:gridCol w:w="60"/>
                        <w:gridCol w:w="58"/>
                        <w:gridCol w:w="95"/>
                        <w:gridCol w:w="2"/>
                        <w:gridCol w:w="33"/>
                        <w:gridCol w:w="155"/>
                        <w:gridCol w:w="20"/>
                        <w:gridCol w:w="129"/>
                        <w:gridCol w:w="68"/>
                        <w:gridCol w:w="105"/>
                        <w:gridCol w:w="7"/>
                        <w:gridCol w:w="5"/>
                        <w:gridCol w:w="65"/>
                        <w:gridCol w:w="58"/>
                        <w:gridCol w:w="22"/>
                        <w:gridCol w:w="8"/>
                        <w:gridCol w:w="7"/>
                        <w:gridCol w:w="73"/>
                        <w:gridCol w:w="120"/>
                        <w:gridCol w:w="72"/>
                        <w:gridCol w:w="220"/>
                        <w:gridCol w:w="15"/>
                        <w:gridCol w:w="5"/>
                        <w:gridCol w:w="60"/>
                        <w:gridCol w:w="237"/>
                        <w:gridCol w:w="11"/>
                        <w:gridCol w:w="27"/>
                        <w:gridCol w:w="15"/>
                        <w:gridCol w:w="25"/>
                        <w:gridCol w:w="50"/>
                        <w:gridCol w:w="103"/>
                        <w:gridCol w:w="33"/>
                        <w:gridCol w:w="99"/>
                        <w:gridCol w:w="135"/>
                        <w:gridCol w:w="5"/>
                        <w:gridCol w:w="5"/>
                        <w:gridCol w:w="12"/>
                        <w:gridCol w:w="47"/>
                        <w:gridCol w:w="168"/>
                        <w:gridCol w:w="48"/>
                        <w:gridCol w:w="4"/>
                        <w:gridCol w:w="110"/>
                        <w:gridCol w:w="12"/>
                        <w:gridCol w:w="108"/>
                        <w:gridCol w:w="4"/>
                        <w:gridCol w:w="22"/>
                        <w:gridCol w:w="47"/>
                        <w:gridCol w:w="123"/>
                        <w:gridCol w:w="170"/>
                        <w:gridCol w:w="30"/>
                        <w:gridCol w:w="18"/>
                        <w:gridCol w:w="89"/>
                        <w:gridCol w:w="47"/>
                        <w:gridCol w:w="121"/>
                        <w:gridCol w:w="45"/>
                        <w:gridCol w:w="189"/>
                        <w:gridCol w:w="10"/>
                        <w:gridCol w:w="207"/>
                        <w:gridCol w:w="86"/>
                        <w:gridCol w:w="70"/>
                        <w:gridCol w:w="8"/>
                        <w:gridCol w:w="78"/>
                        <w:gridCol w:w="75"/>
                        <w:gridCol w:w="77"/>
                        <w:gridCol w:w="122"/>
                        <w:gridCol w:w="157"/>
                        <w:gridCol w:w="95"/>
                        <w:gridCol w:w="88"/>
                        <w:gridCol w:w="55"/>
                        <w:gridCol w:w="2"/>
                        <w:gridCol w:w="283"/>
                        <w:gridCol w:w="177"/>
                        <w:gridCol w:w="77"/>
                        <w:gridCol w:w="76"/>
                        <w:gridCol w:w="119"/>
                        <w:gridCol w:w="23"/>
                        <w:gridCol w:w="144"/>
                        <w:gridCol w:w="161"/>
                        <w:gridCol w:w="605"/>
                        <w:gridCol w:w="176"/>
                        <w:gridCol w:w="161"/>
                        <w:gridCol w:w="173"/>
                        <w:gridCol w:w="71"/>
                        <w:gridCol w:w="6"/>
                        <w:gridCol w:w="13"/>
                        <w:gridCol w:w="2"/>
                        <w:gridCol w:w="8"/>
                        <w:gridCol w:w="76"/>
                        <w:gridCol w:w="1845"/>
                        <w:gridCol w:w="345"/>
                        <w:gridCol w:w="47"/>
                        <w:gridCol w:w="1670"/>
                        <w:gridCol w:w="13"/>
                      </w:tblGrid>
                      <w:tr w:rsidR="00000000" w14:paraId="5A884F19" w14:textId="77777777">
                        <w:tblPrEx>
                          <w:tblCellMar>
                            <w:top w:w="0" w:type="dxa"/>
                            <w:bottom w:w="0" w:type="dxa"/>
                          </w:tblCellMar>
                        </w:tblPrEx>
                        <w:trPr>
                          <w:gridAfter w:val="8"/>
                          <w:wAfter w:w="2003" w:type="dxa"/>
                          <w:trHeight w:val="325"/>
                        </w:trPr>
                        <w:tc>
                          <w:tcPr>
                            <w:tcW w:w="1677" w:type="dxa"/>
                            <w:gridSpan w:val="13"/>
                            <w:tcBorders>
                              <w:top w:val="single" w:sz="4" w:space="0" w:color="001219"/>
                              <w:left w:val="single" w:sz="4" w:space="0" w:color="000203"/>
                              <w:right w:val="single" w:sz="4" w:space="0" w:color="000507"/>
                            </w:tcBorders>
                            <w:shd w:val="clear" w:color="auto" w:fill="01769F"/>
                            <w:vAlign w:val="center"/>
                          </w:tcPr>
                          <w:p w14:paraId="009BD566" w14:textId="77777777" w:rsidR="00000000" w:rsidRDefault="00A450E1">
                            <w:pPr>
                              <w:pStyle w:val="Default"/>
                              <w:jc w:val="center"/>
                              <w:rPr>
                                <w:rFonts w:ascii="Helvetica 55 Roman" w:hAnsi="Helvetica 55 Roman" w:cs="Helvetica 55 Roman"/>
                                <w:color w:val="FFFFFF"/>
                                <w:sz w:val="10"/>
                                <w:szCs w:val="10"/>
                              </w:rPr>
                            </w:pPr>
                            <w:r>
                              <w:rPr>
                                <w:rFonts w:ascii="Helvetica 55 Roman" w:hAnsi="Helvetica 55 Roman" w:cs="Helvetica 55 Roman"/>
                                <w:color w:val="FFFFFF"/>
                                <w:sz w:val="18"/>
                                <w:szCs w:val="18"/>
                              </w:rPr>
                              <w:t>Chart scale</w:t>
                            </w:r>
                            <w:r>
                              <w:rPr>
                                <w:rFonts w:ascii="Helvetica 55 Roman" w:hAnsi="Helvetica 55 Roman" w:cs="Helvetica 55 Roman"/>
                                <w:color w:val="FFFFFF"/>
                                <w:sz w:val="10"/>
                                <w:szCs w:val="10"/>
                              </w:rPr>
                              <w:t xml:space="preserve">9 </w:t>
                            </w:r>
                          </w:p>
                        </w:tc>
                        <w:tc>
                          <w:tcPr>
                            <w:tcW w:w="2100" w:type="dxa"/>
                            <w:gridSpan w:val="35"/>
                            <w:tcBorders>
                              <w:top w:val="single" w:sz="4" w:space="0" w:color="001219"/>
                              <w:left w:val="single" w:sz="4" w:space="0" w:color="000507"/>
                              <w:right w:val="single" w:sz="4" w:space="0" w:color="000507"/>
                            </w:tcBorders>
                            <w:shd w:val="clear" w:color="auto" w:fill="01769F"/>
                            <w:vAlign w:val="center"/>
                          </w:tcPr>
                          <w:p w14:paraId="75566ACA" w14:textId="77777777" w:rsidR="00000000"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Corresponding need for accuracy (metres) </w:t>
                            </w:r>
                          </w:p>
                        </w:tc>
                        <w:tc>
                          <w:tcPr>
                            <w:tcW w:w="3030" w:type="dxa"/>
                            <w:gridSpan w:val="43"/>
                            <w:tcBorders>
                              <w:top w:val="single" w:sz="4" w:space="0" w:color="001219"/>
                              <w:left w:val="single" w:sz="4" w:space="0" w:color="000507"/>
                              <w:right w:val="single" w:sz="4" w:space="0" w:color="000507"/>
                            </w:tcBorders>
                            <w:shd w:val="clear" w:color="auto" w:fill="01769F"/>
                            <w:vAlign w:val="center"/>
                          </w:tcPr>
                          <w:p w14:paraId="0F4BC531" w14:textId="77777777" w:rsidR="00000000" w:rsidRDefault="00A450E1">
                            <w:pPr>
                              <w:pStyle w:val="Default"/>
                              <w:rPr>
                                <w:rFonts w:ascii="Helvetica 55 Roman" w:hAnsi="Helvetica 55 Roman" w:cs="Helvetica 55 Roman"/>
                                <w:color w:val="FFFFFF"/>
                                <w:sz w:val="10"/>
                                <w:szCs w:val="10"/>
                              </w:rPr>
                            </w:pPr>
                            <w:r>
                              <w:rPr>
                                <w:rFonts w:ascii="Helvetica 55 Roman" w:hAnsi="Helvetica 55 Roman" w:cs="Helvetica 55 Roman"/>
                                <w:color w:val="FFFFFF"/>
                                <w:sz w:val="18"/>
                                <w:szCs w:val="18"/>
                              </w:rPr>
                              <w:t>App</w:t>
                            </w:r>
                            <w:r>
                              <w:rPr>
                                <w:rFonts w:ascii="Helvetica 55 Roman" w:hAnsi="Helvetica 55 Roman" w:cs="Helvetica 55 Roman"/>
                                <w:color w:val="FFFFFF"/>
                                <w:sz w:val="18"/>
                                <w:szCs w:val="18"/>
                              </w:rPr>
                              <w:t>roximate pencil width (0.5 mm) equivalence (metres)</w:t>
                            </w:r>
                            <w:r>
                              <w:rPr>
                                <w:rFonts w:ascii="Helvetica 55 Roman" w:hAnsi="Helvetica 55 Roman" w:cs="Helvetica 55 Roman"/>
                                <w:color w:val="FFFFFF"/>
                                <w:sz w:val="10"/>
                                <w:szCs w:val="10"/>
                              </w:rPr>
                              <w:t xml:space="preserve">10 </w:t>
                            </w:r>
                          </w:p>
                        </w:tc>
                        <w:tc>
                          <w:tcPr>
                            <w:tcW w:w="2267" w:type="dxa"/>
                            <w:gridSpan w:val="16"/>
                            <w:tcBorders>
                              <w:top w:val="single" w:sz="4" w:space="0" w:color="001219"/>
                              <w:left w:val="single" w:sz="4" w:space="0" w:color="000507"/>
                              <w:right w:val="single" w:sz="4" w:space="0" w:color="000203"/>
                            </w:tcBorders>
                            <w:shd w:val="clear" w:color="auto" w:fill="01769F"/>
                            <w:vAlign w:val="center"/>
                          </w:tcPr>
                          <w:p w14:paraId="68D8A6EA" w14:textId="77777777" w:rsidR="00000000"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Application </w:t>
                            </w:r>
                          </w:p>
                        </w:tc>
                      </w:tr>
                      <w:tr w:rsidR="00000000" w14:paraId="7259911C" w14:textId="77777777">
                        <w:tblPrEx>
                          <w:tblCellMar>
                            <w:top w:w="0" w:type="dxa"/>
                            <w:bottom w:w="0" w:type="dxa"/>
                          </w:tblCellMar>
                        </w:tblPrEx>
                        <w:trPr>
                          <w:gridAfter w:val="8"/>
                          <w:wAfter w:w="2003" w:type="dxa"/>
                          <w:trHeight w:val="1916"/>
                        </w:trPr>
                        <w:tc>
                          <w:tcPr>
                            <w:tcW w:w="1677" w:type="dxa"/>
                            <w:gridSpan w:val="13"/>
                            <w:tcBorders>
                              <w:top w:val="single" w:sz="2" w:space="0" w:color="01769F"/>
                              <w:left w:val="single" w:sz="4" w:space="0" w:color="000203"/>
                              <w:bottom w:val="single" w:sz="4" w:space="0" w:color="000000"/>
                              <w:right w:val="single" w:sz="4" w:space="0" w:color="000507"/>
                            </w:tcBorders>
                          </w:tcPr>
                          <w:p w14:paraId="3A4F681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1:10,000,000 1:2,500,000 1:750,000 1:300,000 1:100,000 1:50,000 1:15,000 1:10,000 1:5,000 </w:t>
                            </w:r>
                          </w:p>
                        </w:tc>
                        <w:tc>
                          <w:tcPr>
                            <w:tcW w:w="2100" w:type="dxa"/>
                            <w:gridSpan w:val="35"/>
                            <w:tcBorders>
                              <w:top w:val="single" w:sz="2" w:space="0" w:color="01769F"/>
                              <w:left w:val="single" w:sz="4" w:space="0" w:color="000507"/>
                              <w:bottom w:val="single" w:sz="4" w:space="0" w:color="000000"/>
                              <w:right w:val="single" w:sz="4" w:space="0" w:color="000507"/>
                            </w:tcBorders>
                          </w:tcPr>
                          <w:p w14:paraId="13593DC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10,000 2,500 750 300 100 50 15 10 5 </w:t>
                            </w:r>
                          </w:p>
                        </w:tc>
                        <w:tc>
                          <w:tcPr>
                            <w:tcW w:w="3030" w:type="dxa"/>
                            <w:gridSpan w:val="43"/>
                            <w:tcBorders>
                              <w:top w:val="single" w:sz="2" w:space="0" w:color="01769F"/>
                              <w:left w:val="single" w:sz="4" w:space="0" w:color="000507"/>
                              <w:bottom w:val="single" w:sz="4" w:space="0" w:color="000000"/>
                              <w:right w:val="single" w:sz="4" w:space="0" w:color="000507"/>
                            </w:tcBorders>
                          </w:tcPr>
                          <w:p w14:paraId="61A3EC0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5000 1250 375 150 50 25 7.5 5 2.5 </w:t>
                            </w:r>
                          </w:p>
                        </w:tc>
                        <w:tc>
                          <w:tcPr>
                            <w:tcW w:w="2267" w:type="dxa"/>
                            <w:gridSpan w:val="16"/>
                            <w:tcBorders>
                              <w:top w:val="single" w:sz="2" w:space="0" w:color="01769F"/>
                              <w:left w:val="single" w:sz="4" w:space="0" w:color="000507"/>
                              <w:bottom w:val="single" w:sz="4" w:space="0" w:color="000000"/>
                              <w:right w:val="single" w:sz="4" w:space="0" w:color="000203"/>
                            </w:tcBorders>
                            <w:vAlign w:val="bottom"/>
                          </w:tcPr>
                          <w:p w14:paraId="68A3E37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Ocean navigation Ocean navigation Coastal navigation Coastal navigation Approach Approach Restricted waters Harbour plans </w:t>
                            </w:r>
                          </w:p>
                        </w:tc>
                      </w:tr>
                    </w:tbl>
                  </w:txbxContent>
                </v:textbox>
                <w10:wrap type="through" anchorx="page" anchory="page"/>
              </v:shape>
            </w:pict>
          </mc:Fallback>
        </mc:AlternateContent>
      </w:r>
    </w:p>
    <w:p w14:paraId="5C305F71"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2.5.4 Charted Buoy Positions </w:t>
      </w:r>
    </w:p>
    <w:p w14:paraId="46CA6943"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No reliance can be placed on floating aids always maintaining their exact positions. Buoys should, </w:t>
      </w:r>
    </w:p>
    <w:p w14:paraId="5E3508CD" w14:textId="77777777" w:rsidR="00541A14" w:rsidRDefault="00A450E1">
      <w:pPr>
        <w:pStyle w:val="CM165"/>
        <w:spacing w:after="85"/>
        <w:ind w:right="282"/>
        <w:rPr>
          <w:rFonts w:ascii="Palatino" w:hAnsi="Palatino" w:cs="Palatino"/>
          <w:color w:val="000000"/>
          <w:sz w:val="20"/>
          <w:szCs w:val="20"/>
        </w:rPr>
      </w:pPr>
      <w:r>
        <w:rPr>
          <w:rFonts w:ascii="Palatino" w:hAnsi="Palatino" w:cs="Palatino"/>
          <w:color w:val="000000"/>
          <w:sz w:val="20"/>
          <w:szCs w:val="20"/>
        </w:rPr>
        <w:t xml:space="preserve">therefore be regarded with caution and not as an infallible navigation mark, especially when in </w:t>
      </w:r>
    </w:p>
    <w:p w14:paraId="339F9C08" w14:textId="77777777" w:rsidR="00541A14" w:rsidRDefault="00A450E1">
      <w:pPr>
        <w:pStyle w:val="CM165"/>
        <w:spacing w:after="85"/>
        <w:ind w:right="100"/>
        <w:rPr>
          <w:rFonts w:ascii="Palatino" w:hAnsi="Palatino" w:cs="Palatino"/>
          <w:color w:val="000000"/>
          <w:sz w:val="20"/>
          <w:szCs w:val="20"/>
        </w:rPr>
      </w:pPr>
      <w:r>
        <w:rPr>
          <w:rFonts w:ascii="Palatino" w:hAnsi="Palatino" w:cs="Palatino"/>
          <w:color w:val="000000"/>
          <w:sz w:val="20"/>
          <w:szCs w:val="20"/>
        </w:rPr>
        <w:t xml:space="preserve">exposed positions. A ship should always, when possible, navigate by bearings of fixed objects or </w:t>
      </w:r>
    </w:p>
    <w:p w14:paraId="0D31A68B" w14:textId="77777777" w:rsidR="00541A14" w:rsidRDefault="00A450E1">
      <w:pPr>
        <w:pStyle w:val="CM187"/>
        <w:spacing w:after="2867"/>
        <w:jc w:val="both"/>
        <w:rPr>
          <w:rFonts w:ascii="Palatino" w:hAnsi="Palatino" w:cs="Palatino"/>
          <w:color w:val="000000"/>
          <w:sz w:val="20"/>
          <w:szCs w:val="20"/>
        </w:rPr>
      </w:pPr>
      <w:r>
        <w:rPr>
          <w:rFonts w:ascii="Palatino" w:hAnsi="Palatino" w:cs="Palatino"/>
          <w:color w:val="000000"/>
          <w:sz w:val="20"/>
          <w:szCs w:val="20"/>
        </w:rPr>
        <w:t xml:space="preserve">angles between them, and not by buoys. </w:t>
      </w:r>
    </w:p>
    <w:p w14:paraId="44CEC87C" w14:textId="77777777" w:rsidR="00541A14" w:rsidRDefault="00A450E1">
      <w:pPr>
        <w:pStyle w:val="CM163"/>
        <w:spacing w:after="642" w:line="346" w:lineRule="atLeast"/>
        <w:rPr>
          <w:rFonts w:ascii="Palatino" w:hAnsi="Palatino" w:cs="Palatino"/>
          <w:color w:val="000000"/>
          <w:sz w:val="20"/>
          <w:szCs w:val="20"/>
        </w:rPr>
      </w:pPr>
      <w:r>
        <w:rPr>
          <w:rFonts w:ascii="Palatino" w:hAnsi="Palatino" w:cs="Palatino"/>
          <w:color w:val="000000"/>
          <w:position w:val="6"/>
          <w:sz w:val="20"/>
          <w:szCs w:val="20"/>
          <w:vertAlign w:val="superscript"/>
        </w:rPr>
        <w:t>9</w:t>
      </w:r>
      <w:r>
        <w:rPr>
          <w:rFonts w:ascii="Palatino" w:hAnsi="Palatino" w:cs="Palatino"/>
          <w:color w:val="000000"/>
          <w:sz w:val="20"/>
          <w:szCs w:val="20"/>
        </w:rPr>
        <w:t xml:space="preserve">The chart scale is generally referenced to a particular latitude eg. 1:300,000 at lat 27º 15’ S. </w:t>
      </w:r>
      <w:r>
        <w:rPr>
          <w:rFonts w:ascii="Palatino" w:hAnsi="Palatino" w:cs="Palatino"/>
          <w:color w:val="000000"/>
          <w:position w:val="6"/>
          <w:sz w:val="20"/>
          <w:szCs w:val="20"/>
          <w:vertAlign w:val="superscript"/>
        </w:rPr>
        <w:t>10</w:t>
      </w:r>
      <w:r>
        <w:rPr>
          <w:rFonts w:ascii="Palatino" w:hAnsi="Palatino" w:cs="Palatino"/>
          <w:color w:val="000000"/>
          <w:sz w:val="20"/>
          <w:szCs w:val="20"/>
        </w:rPr>
        <w:t xml:space="preserve">This information may be helpful in assessing the practical accuracy requirements for laying buoy moorings. </w:t>
      </w:r>
    </w:p>
    <w:p w14:paraId="4BEE1A68" w14:textId="77777777" w:rsidR="00541A14" w:rsidRDefault="00DD420F">
      <w:pPr>
        <w:pStyle w:val="Default"/>
        <w:framePr w:w="10730" w:wrap="auto" w:vAnchor="page" w:hAnchor="page" w:x="589" w:y="16334"/>
        <w:rPr>
          <w:rFonts w:ascii="Palatino" w:hAnsi="Palatino" w:cs="Palatino"/>
          <w:sz w:val="20"/>
          <w:szCs w:val="20"/>
        </w:rPr>
      </w:pPr>
      <w:r>
        <w:rPr>
          <w:rFonts w:ascii="Palatino" w:hAnsi="Palatino" w:cs="Palatino"/>
          <w:noProof/>
          <w:sz w:val="20"/>
          <w:szCs w:val="20"/>
        </w:rPr>
        <w:drawing>
          <wp:inline distT="0" distB="0" distL="0" distR="0" wp14:anchorId="068832AB" wp14:editId="320C8158">
            <wp:extent cx="7542530" cy="380365"/>
            <wp:effectExtent l="0" t="0" r="1270"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542530" cy="380365"/>
                    </a:xfrm>
                    <a:prstGeom prst="rect">
                      <a:avLst/>
                    </a:prstGeom>
                    <a:noFill/>
                    <a:ln>
                      <a:noFill/>
                    </a:ln>
                  </pic:spPr>
                </pic:pic>
              </a:graphicData>
            </a:graphic>
          </wp:inline>
        </w:drawing>
      </w:r>
    </w:p>
    <w:p w14:paraId="0877EE10" w14:textId="77777777" w:rsidR="00541A14" w:rsidRDefault="00DD420F">
      <w:pPr>
        <w:pStyle w:val="Default"/>
        <w:pageBreakBefore/>
        <w:framePr w:w="12725" w:wrap="auto" w:vAnchor="page" w:hAnchor="page" w:x="101" w:y="15039"/>
        <w:rPr>
          <w:rFonts w:ascii="Palatino" w:hAnsi="Palatino" w:cs="Palatino"/>
          <w:sz w:val="20"/>
          <w:szCs w:val="20"/>
        </w:rPr>
      </w:pPr>
      <w:r>
        <w:rPr>
          <w:rFonts w:ascii="Palatino" w:hAnsi="Palatino" w:cs="Palatino"/>
          <w:noProof/>
          <w:sz w:val="20"/>
          <w:szCs w:val="20"/>
        </w:rPr>
        <w:drawing>
          <wp:inline distT="0" distB="0" distL="0" distR="0" wp14:anchorId="24CAE1CA" wp14:editId="1644CD8A">
            <wp:extent cx="7553960" cy="106946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553960" cy="10694670"/>
                    </a:xfrm>
                    <a:prstGeom prst="rect">
                      <a:avLst/>
                    </a:prstGeom>
                    <a:noFill/>
                    <a:ln>
                      <a:noFill/>
                    </a:ln>
                  </pic:spPr>
                </pic:pic>
              </a:graphicData>
            </a:graphic>
          </wp:inline>
        </w:drawing>
      </w:r>
    </w:p>
    <w:p w14:paraId="7BF48CF6" w14:textId="77777777" w:rsidR="00541A14" w:rsidRDefault="00DD420F">
      <w:pPr>
        <w:pStyle w:val="Default"/>
        <w:pageBreakBefore/>
        <w:framePr w:w="24763" w:wrap="auto" w:vAnchor="page" w:hAnchor="page" w:x="101" w:y="1"/>
        <w:spacing w:after="700"/>
        <w:rPr>
          <w:rFonts w:ascii="Palatino" w:hAnsi="Palatino" w:cs="Palatino"/>
          <w:sz w:val="20"/>
          <w:szCs w:val="20"/>
        </w:rPr>
      </w:pPr>
      <w:r>
        <w:rPr>
          <w:rFonts w:ascii="Palatino" w:hAnsi="Palatino" w:cs="Palatino"/>
          <w:noProof/>
          <w:sz w:val="20"/>
          <w:szCs w:val="20"/>
        </w:rPr>
        <w:drawing>
          <wp:inline distT="0" distB="0" distL="0" distR="0" wp14:anchorId="688DE1B9" wp14:editId="2619780F">
            <wp:extent cx="7553960" cy="115316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6FD0BF90" w14:textId="77777777" w:rsidR="00541A14" w:rsidRDefault="00A450E1">
      <w:pPr>
        <w:pStyle w:val="CM172"/>
        <w:spacing w:after="202"/>
        <w:jc w:val="both"/>
        <w:rPr>
          <w:rFonts w:ascii="Palatino" w:hAnsi="Palatino" w:cs="Palatino"/>
          <w:color w:val="000000"/>
          <w:sz w:val="20"/>
          <w:szCs w:val="20"/>
        </w:rPr>
      </w:pPr>
      <w:r>
        <w:rPr>
          <w:rFonts w:ascii="Palatino" w:hAnsi="Palatino" w:cs="Palatino"/>
          <w:color w:val="000000"/>
          <w:sz w:val="20"/>
          <w:szCs w:val="20"/>
        </w:rPr>
        <w:t xml:space="preserve">The effectiveness of a visual aid to navigation is determined by factors such as: </w:t>
      </w:r>
    </w:p>
    <w:p w14:paraId="3651DD71" w14:textId="77777777" w:rsidR="00541A14" w:rsidRDefault="00A450E1">
      <w:pPr>
        <w:pStyle w:val="Default"/>
        <w:numPr>
          <w:ilvl w:val="0"/>
          <w:numId w:val="23"/>
        </w:numPr>
        <w:rPr>
          <w:rFonts w:ascii="Palatino" w:hAnsi="Palatino" w:cs="Palatino"/>
          <w:sz w:val="20"/>
          <w:szCs w:val="20"/>
        </w:rPr>
      </w:pPr>
      <w:r>
        <w:rPr>
          <w:rFonts w:ascii="Palatino" w:hAnsi="Palatino" w:cs="Palatino"/>
          <w:sz w:val="20"/>
          <w:szCs w:val="20"/>
        </w:rPr>
        <w:t xml:space="preserve">type and characteristics of the aid provided; </w:t>
      </w:r>
    </w:p>
    <w:p w14:paraId="7DA901B4" w14:textId="77777777" w:rsidR="00541A14" w:rsidRDefault="00A450E1">
      <w:pPr>
        <w:pStyle w:val="Default"/>
        <w:numPr>
          <w:ilvl w:val="0"/>
          <w:numId w:val="23"/>
        </w:numPr>
        <w:rPr>
          <w:rFonts w:ascii="Palatino" w:hAnsi="Palatino" w:cs="Palatino"/>
          <w:sz w:val="20"/>
          <w:szCs w:val="20"/>
        </w:rPr>
      </w:pPr>
      <w:r>
        <w:rPr>
          <w:rFonts w:ascii="Palatino" w:hAnsi="Palatino" w:cs="Palatino"/>
          <w:sz w:val="20"/>
          <w:szCs w:val="20"/>
        </w:rPr>
        <w:t xml:space="preserve">location of the aid relative to typical routes taken by vessels; </w:t>
      </w:r>
    </w:p>
    <w:p w14:paraId="57B3456F" w14:textId="77777777" w:rsidR="00541A14" w:rsidRDefault="00A450E1">
      <w:pPr>
        <w:pStyle w:val="Default"/>
        <w:numPr>
          <w:ilvl w:val="0"/>
          <w:numId w:val="23"/>
        </w:numPr>
        <w:rPr>
          <w:rFonts w:ascii="Palatino" w:hAnsi="Palatino" w:cs="Palatino"/>
          <w:sz w:val="20"/>
          <w:szCs w:val="20"/>
        </w:rPr>
      </w:pPr>
      <w:r>
        <w:rPr>
          <w:rFonts w:ascii="Palatino" w:hAnsi="Palatino" w:cs="Palatino"/>
          <w:sz w:val="20"/>
          <w:szCs w:val="20"/>
        </w:rPr>
        <w:t xml:space="preserve">distance (range) of the aid from the observer; </w:t>
      </w:r>
    </w:p>
    <w:p w14:paraId="137B94A9" w14:textId="77777777" w:rsidR="00541A14" w:rsidRDefault="00A450E1">
      <w:pPr>
        <w:pStyle w:val="Default"/>
        <w:numPr>
          <w:ilvl w:val="0"/>
          <w:numId w:val="23"/>
        </w:numPr>
        <w:rPr>
          <w:rFonts w:ascii="Palatino" w:hAnsi="Palatino" w:cs="Palatino"/>
          <w:sz w:val="20"/>
          <w:szCs w:val="20"/>
        </w:rPr>
      </w:pPr>
      <w:r>
        <w:rPr>
          <w:rFonts w:ascii="Palatino" w:hAnsi="Palatino" w:cs="Palatino"/>
          <w:sz w:val="20"/>
          <w:szCs w:val="20"/>
        </w:rPr>
        <w:t xml:space="preserve">atmospheric conditions; </w:t>
      </w:r>
    </w:p>
    <w:p w14:paraId="0702C900" w14:textId="77777777" w:rsidR="00541A14" w:rsidRDefault="00A450E1">
      <w:pPr>
        <w:pStyle w:val="Default"/>
        <w:numPr>
          <w:ilvl w:val="0"/>
          <w:numId w:val="23"/>
        </w:numPr>
        <w:rPr>
          <w:rFonts w:ascii="Palatino" w:hAnsi="Palatino" w:cs="Palatino"/>
          <w:sz w:val="20"/>
          <w:szCs w:val="20"/>
        </w:rPr>
      </w:pPr>
      <w:r>
        <w:rPr>
          <w:rFonts w:ascii="Palatino" w:hAnsi="Palatino" w:cs="Palatino"/>
          <w:sz w:val="20"/>
          <w:szCs w:val="20"/>
        </w:rPr>
        <w:t xml:space="preserve">contrast relative to background conditions (conspicuity); and </w:t>
      </w:r>
    </w:p>
    <w:p w14:paraId="10E5C1EB" w14:textId="77777777" w:rsidR="00541A14" w:rsidRDefault="00A450E1">
      <w:pPr>
        <w:pStyle w:val="Default"/>
        <w:numPr>
          <w:ilvl w:val="0"/>
          <w:numId w:val="23"/>
        </w:numPr>
        <w:rPr>
          <w:rFonts w:ascii="Palatino" w:hAnsi="Palatino" w:cs="Palatino"/>
          <w:sz w:val="20"/>
          <w:szCs w:val="20"/>
        </w:rPr>
      </w:pPr>
      <w:r>
        <w:rPr>
          <w:rFonts w:ascii="Palatino" w:hAnsi="Palatino" w:cs="Palatino"/>
          <w:sz w:val="20"/>
          <w:szCs w:val="20"/>
        </w:rPr>
        <w:t xml:space="preserve">the reliability and availability of the aid. </w:t>
      </w:r>
    </w:p>
    <w:p w14:paraId="594D21B2" w14:textId="77777777" w:rsidR="00541A14" w:rsidRDefault="00541A14">
      <w:pPr>
        <w:pStyle w:val="Default"/>
        <w:rPr>
          <w:rFonts w:ascii="Palatino" w:hAnsi="Palatino" w:cs="Palatino"/>
          <w:sz w:val="20"/>
          <w:szCs w:val="20"/>
        </w:rPr>
      </w:pPr>
    </w:p>
    <w:p w14:paraId="7F1294E2"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Visual aids to navigation can be distinguished by a wide range of characteristics such as: </w:t>
      </w:r>
    </w:p>
    <w:p w14:paraId="06E69F89" w14:textId="77777777" w:rsidR="00541A14" w:rsidRDefault="00A450E1">
      <w:pPr>
        <w:pStyle w:val="Default"/>
        <w:numPr>
          <w:ilvl w:val="0"/>
          <w:numId w:val="24"/>
        </w:numPr>
        <w:rPr>
          <w:rFonts w:ascii="Palatino" w:hAnsi="Palatino" w:cs="Palatino"/>
          <w:sz w:val="20"/>
          <w:szCs w:val="20"/>
        </w:rPr>
      </w:pPr>
      <w:r>
        <w:rPr>
          <w:rFonts w:ascii="Palatino" w:hAnsi="Palatino" w:cs="Palatino"/>
          <w:sz w:val="20"/>
          <w:szCs w:val="20"/>
        </w:rPr>
        <w:t xml:space="preserve">type; shape; size; colour; names, retro-reflective features; letters and numbers. </w:t>
      </w:r>
    </w:p>
    <w:p w14:paraId="588300F1" w14:textId="77777777" w:rsidR="00541A14" w:rsidRDefault="00A450E1">
      <w:pPr>
        <w:pStyle w:val="Default"/>
        <w:numPr>
          <w:ilvl w:val="0"/>
          <w:numId w:val="24"/>
        </w:numPr>
        <w:rPr>
          <w:rFonts w:ascii="Palatino" w:hAnsi="Palatino" w:cs="Palatino"/>
          <w:sz w:val="20"/>
          <w:szCs w:val="20"/>
        </w:rPr>
      </w:pPr>
      <w:r>
        <w:rPr>
          <w:rFonts w:ascii="Palatino" w:hAnsi="Palatino" w:cs="Palatino"/>
          <w:sz w:val="20"/>
          <w:szCs w:val="20"/>
        </w:rPr>
        <w:t xml:space="preserve">lit/unlit; signal character; light intensity; sectors; inclusion of subsidiary aids; </w:t>
      </w:r>
    </w:p>
    <w:p w14:paraId="34C803E7" w14:textId="77777777" w:rsidR="00541A14" w:rsidRDefault="00A450E1">
      <w:pPr>
        <w:pStyle w:val="Default"/>
        <w:numPr>
          <w:ilvl w:val="0"/>
          <w:numId w:val="24"/>
        </w:numPr>
        <w:rPr>
          <w:rFonts w:ascii="Palatino" w:hAnsi="Palatino" w:cs="Palatino"/>
          <w:sz w:val="20"/>
          <w:szCs w:val="20"/>
        </w:rPr>
      </w:pPr>
      <w:r>
        <w:rPr>
          <w:rFonts w:ascii="Palatino" w:hAnsi="Palatino" w:cs="Palatino"/>
          <w:sz w:val="20"/>
          <w:szCs w:val="20"/>
        </w:rPr>
        <w:t xml:space="preserve">fixed structure; floating platform; construction materials; and </w:t>
      </w:r>
    </w:p>
    <w:p w14:paraId="784A9366" w14:textId="77777777" w:rsidR="00541A14" w:rsidRDefault="00A450E1">
      <w:pPr>
        <w:pStyle w:val="Default"/>
        <w:numPr>
          <w:ilvl w:val="0"/>
          <w:numId w:val="24"/>
        </w:numPr>
        <w:rPr>
          <w:rFonts w:ascii="Palatino" w:hAnsi="Palatino" w:cs="Palatino"/>
          <w:sz w:val="20"/>
          <w:szCs w:val="20"/>
        </w:rPr>
      </w:pPr>
      <w:r>
        <w:rPr>
          <w:rFonts w:ascii="Palatino" w:hAnsi="Palatino" w:cs="Palatino"/>
          <w:sz w:val="20"/>
          <w:szCs w:val="20"/>
        </w:rPr>
        <w:t xml:space="preserve">location; elevation; relationship to other aids to navigation and observable features. </w:t>
      </w:r>
    </w:p>
    <w:p w14:paraId="6005B221" w14:textId="77777777" w:rsidR="00541A14" w:rsidRDefault="00541A14">
      <w:pPr>
        <w:pStyle w:val="Default"/>
        <w:rPr>
          <w:rFonts w:ascii="Palatino" w:hAnsi="Palatino" w:cs="Palatino"/>
          <w:sz w:val="20"/>
          <w:szCs w:val="20"/>
        </w:rPr>
      </w:pPr>
    </w:p>
    <w:p w14:paraId="558F826A" w14:textId="77777777" w:rsidR="00541A14" w:rsidRDefault="00DD420F">
      <w:pPr>
        <w:pStyle w:val="Default"/>
        <w:framePr w:w="9891" w:wrap="auto" w:vAnchor="page" w:hAnchor="page" w:x="1397" w:y="7155"/>
        <w:spacing w:after="160"/>
        <w:rPr>
          <w:rFonts w:ascii="Palatino" w:hAnsi="Palatino" w:cs="Palatino"/>
          <w:sz w:val="20"/>
          <w:szCs w:val="20"/>
        </w:rPr>
      </w:pPr>
      <w:r>
        <w:rPr>
          <w:rFonts w:ascii="Palatino" w:hAnsi="Palatino" w:cs="Palatino"/>
          <w:noProof/>
          <w:sz w:val="20"/>
          <w:szCs w:val="20"/>
        </w:rPr>
        <w:drawing>
          <wp:inline distT="0" distB="0" distL="0" distR="0" wp14:anchorId="3A1FA8F9" wp14:editId="6BA223E8">
            <wp:extent cx="5764530" cy="3555365"/>
            <wp:effectExtent l="0" t="0" r="1270" b="63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4530" cy="3555365"/>
                    </a:xfrm>
                    <a:prstGeom prst="rect">
                      <a:avLst/>
                    </a:prstGeom>
                    <a:noFill/>
                    <a:ln>
                      <a:noFill/>
                    </a:ln>
                  </pic:spPr>
                </pic:pic>
              </a:graphicData>
            </a:graphic>
          </wp:inline>
        </w:drawing>
      </w:r>
    </w:p>
    <w:p w14:paraId="7D8B01F5" w14:textId="77777777" w:rsidR="00541A14" w:rsidRDefault="00A450E1">
      <w:pPr>
        <w:pStyle w:val="CM1"/>
        <w:jc w:val="center"/>
        <w:rPr>
          <w:rFonts w:ascii="Palatino" w:hAnsi="Palatino" w:cs="Palatino"/>
          <w:color w:val="000000"/>
          <w:sz w:val="20"/>
          <w:szCs w:val="20"/>
        </w:rPr>
      </w:pPr>
      <w:r>
        <w:rPr>
          <w:rFonts w:ascii="Palatino" w:hAnsi="Palatino" w:cs="Palatino"/>
          <w:i/>
          <w:iCs/>
          <w:color w:val="000000"/>
          <w:sz w:val="20"/>
          <w:szCs w:val="20"/>
        </w:rPr>
        <w:t xml:space="preserve">Photo courtesy of IALA </w:t>
      </w:r>
    </w:p>
    <w:p w14:paraId="58D711F5" w14:textId="77777777" w:rsidR="00541A14" w:rsidRDefault="00A450E1">
      <w:pPr>
        <w:pStyle w:val="CM165"/>
        <w:spacing w:after="85"/>
        <w:jc w:val="both"/>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4DD8CAE1" w14:textId="77777777" w:rsidR="00541A14" w:rsidRDefault="009E3F25">
      <w:pPr>
        <w:pStyle w:val="CM165"/>
        <w:spacing w:after="85" w:line="251" w:lineRule="atLeast"/>
        <w:jc w:val="both"/>
        <w:rPr>
          <w:rFonts w:ascii="Palatino" w:hAnsi="Palatino" w:cs="Palatino"/>
          <w:color w:val="000000"/>
          <w:sz w:val="20"/>
          <w:szCs w:val="20"/>
        </w:rPr>
      </w:pPr>
      <w:hyperlink r:id="rId70" w:history="1">
        <w:r w:rsidR="00A450E1">
          <w:rPr>
            <w:rFonts w:ascii="Palatino" w:hAnsi="Palatino" w:cs="Palatino"/>
            <w:i/>
            <w:iCs/>
            <w:color w:val="000000"/>
            <w:sz w:val="20"/>
            <w:szCs w:val="20"/>
          </w:rPr>
          <w:t>IALA Recommendation O-130 on Categorisation and Availability Objectives for Short Range Aids to</w:t>
        </w:r>
      </w:hyperlink>
      <w:hyperlink r:id="rId71" w:history="1">
        <w:r w:rsidR="00A450E1">
          <w:rPr>
            <w:rFonts w:ascii="Palatino" w:hAnsi="Palatino" w:cs="Palatino"/>
            <w:i/>
            <w:iCs/>
            <w:color w:val="000000"/>
            <w:sz w:val="20"/>
            <w:szCs w:val="20"/>
          </w:rPr>
          <w:t xml:space="preserve">Navigation; </w:t>
        </w:r>
      </w:hyperlink>
    </w:p>
    <w:p w14:paraId="10EC02A4" w14:textId="77777777" w:rsidR="00541A14" w:rsidRDefault="009E3F25">
      <w:pPr>
        <w:pStyle w:val="CM183"/>
        <w:spacing w:after="1585" w:line="251" w:lineRule="atLeast"/>
        <w:jc w:val="both"/>
        <w:rPr>
          <w:rFonts w:ascii="Palatino" w:hAnsi="Palatino" w:cs="Palatino"/>
          <w:color w:val="000000"/>
          <w:sz w:val="20"/>
          <w:szCs w:val="20"/>
        </w:rPr>
      </w:pPr>
      <w:hyperlink r:id="rId72" w:history="1">
        <w:r w:rsidR="00A450E1">
          <w:rPr>
            <w:rFonts w:ascii="Palatino" w:hAnsi="Palatino" w:cs="Palatino"/>
            <w:i/>
            <w:iCs/>
            <w:color w:val="000000"/>
            <w:sz w:val="20"/>
            <w:szCs w:val="20"/>
          </w:rPr>
          <w:t xml:space="preserve">IALA Guideline 1035 on Availability and Reliability of Aids to Navigation. </w:t>
        </w:r>
      </w:hyperlink>
    </w:p>
    <w:p w14:paraId="492E0C71"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4648781D" wp14:editId="6534BBB0">
            <wp:extent cx="7553960" cy="420370"/>
            <wp:effectExtent l="0" t="0" r="0" b="1143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06A0341B" w14:textId="77777777" w:rsidR="00541A14" w:rsidRDefault="00DD420F">
      <w:pPr>
        <w:pStyle w:val="Default"/>
        <w:pageBreakBefore/>
        <w:framePr w:w="12857" w:wrap="auto" w:vAnchor="page" w:hAnchor="page" w:x="101" w:y="1"/>
        <w:spacing w:after="760"/>
        <w:rPr>
          <w:rFonts w:ascii="Palatino" w:hAnsi="Palatino" w:cs="Palatino"/>
          <w:sz w:val="20"/>
          <w:szCs w:val="20"/>
        </w:rPr>
      </w:pPr>
      <w:r>
        <w:rPr>
          <w:rFonts w:ascii="Palatino" w:hAnsi="Palatino" w:cs="Palatino"/>
          <w:noProof/>
          <w:sz w:val="20"/>
          <w:szCs w:val="20"/>
        </w:rPr>
        <w:drawing>
          <wp:inline distT="0" distB="0" distL="0" distR="0" wp14:anchorId="33112FE5" wp14:editId="35673FAE">
            <wp:extent cx="7553960" cy="115316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4AFB963F"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3.1.1 Signal Colours </w:t>
      </w:r>
    </w:p>
    <w:p w14:paraId="30BFCFB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IALA has made recommendations on colours for lighted aids to navigation and for surface colours for visual signals on aids to navigation. </w:t>
      </w:r>
    </w:p>
    <w:p w14:paraId="498FAD37" w14:textId="77777777" w:rsidR="00541A14" w:rsidRDefault="00A450E1">
      <w:pPr>
        <w:pStyle w:val="CM26"/>
        <w:ind w:right="177"/>
        <w:rPr>
          <w:rFonts w:ascii="Palatino" w:hAnsi="Palatino" w:cs="Palatino"/>
          <w:color w:val="000000"/>
          <w:sz w:val="20"/>
          <w:szCs w:val="20"/>
        </w:rPr>
      </w:pPr>
      <w:r>
        <w:rPr>
          <w:rFonts w:ascii="Palatino" w:hAnsi="Palatino" w:cs="Palatino"/>
          <w:color w:val="000000"/>
          <w:sz w:val="20"/>
          <w:szCs w:val="20"/>
        </w:rPr>
        <w:t xml:space="preserve">Marine aid-to-navigation signal lights use a five-colour system comprising white, red green, yellow and blue, as defined in IALA Recommendation E-200 Part 1.  Although the colour regions defined in </w:t>
      </w:r>
    </w:p>
    <w:p w14:paraId="27F4F0BF"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this IALA recommendation agree with those given in the International Commission on Illumination (CIE) Standard S 004/E 2001</w:t>
      </w:r>
      <w:r>
        <w:rPr>
          <w:rFonts w:ascii="Palatino" w:hAnsi="Palatino" w:cs="Palatino"/>
          <w:color w:val="000000"/>
          <w:position w:val="7"/>
          <w:sz w:val="11"/>
          <w:szCs w:val="11"/>
          <w:vertAlign w:val="superscript"/>
        </w:rPr>
        <w:t>11</w:t>
      </w:r>
      <w:r>
        <w:rPr>
          <w:rFonts w:ascii="Palatino" w:hAnsi="Palatino" w:cs="Palatino"/>
          <w:color w:val="000000"/>
          <w:sz w:val="20"/>
          <w:szCs w:val="20"/>
        </w:rPr>
        <w:t xml:space="preserve">  “Colours of Light Signals”, the boundaries of each colour region differ in some cases. Furthermore, in their standard, CIE recommend that signal systems should normally comprise no more than four colours.  </w:t>
      </w:r>
    </w:p>
    <w:p w14:paraId="7AC49A16" w14:textId="77777777" w:rsidR="00541A14" w:rsidRDefault="00A450E1">
      <w:pPr>
        <w:pStyle w:val="CM185"/>
        <w:spacing w:after="140" w:line="291" w:lineRule="atLeast"/>
        <w:rPr>
          <w:rFonts w:ascii="Palatino" w:hAnsi="Palatino" w:cs="Palatino"/>
          <w:color w:val="000000"/>
          <w:sz w:val="20"/>
          <w:szCs w:val="20"/>
        </w:rPr>
      </w:pPr>
      <w:r>
        <w:rPr>
          <w:rFonts w:ascii="Palatino" w:hAnsi="Palatino" w:cs="Palatino"/>
          <w:color w:val="000000"/>
          <w:sz w:val="20"/>
          <w:szCs w:val="20"/>
        </w:rPr>
        <w:t xml:space="preserve">Recommended surface colours for visual signals on aids to navigation are as follows: </w:t>
      </w:r>
    </w:p>
    <w:p w14:paraId="635841DD" w14:textId="77777777" w:rsidR="00541A14" w:rsidRDefault="00A450E1">
      <w:pPr>
        <w:pStyle w:val="Default"/>
        <w:numPr>
          <w:ilvl w:val="0"/>
          <w:numId w:val="25"/>
        </w:numPr>
        <w:spacing w:after="12"/>
        <w:rPr>
          <w:rFonts w:ascii="Palatino" w:hAnsi="Palatino" w:cs="Palatino"/>
          <w:sz w:val="20"/>
          <w:szCs w:val="20"/>
        </w:rPr>
      </w:pPr>
      <w:r>
        <w:rPr>
          <w:rFonts w:ascii="Palatino" w:hAnsi="Palatino" w:cs="Palatino"/>
          <w:sz w:val="20"/>
          <w:szCs w:val="20"/>
        </w:rPr>
        <w:t>Ordinary colours should be limited to white, black, red, green, yellow or blue</w:t>
      </w:r>
      <w:r>
        <w:rPr>
          <w:rFonts w:ascii="Palatino" w:hAnsi="Palatino" w:cs="Palatino"/>
          <w:position w:val="7"/>
          <w:sz w:val="11"/>
          <w:szCs w:val="11"/>
          <w:vertAlign w:val="superscript"/>
        </w:rPr>
        <w:t>12</w:t>
      </w:r>
      <w:r>
        <w:rPr>
          <w:rFonts w:ascii="Palatino" w:hAnsi="Palatino" w:cs="Palatino"/>
          <w:sz w:val="20"/>
          <w:szCs w:val="20"/>
        </w:rPr>
        <w:t xml:space="preserve">. </w:t>
      </w:r>
    </w:p>
    <w:p w14:paraId="4BE3AF80" w14:textId="77777777" w:rsidR="00541A14" w:rsidRDefault="00A450E1">
      <w:pPr>
        <w:pStyle w:val="Default"/>
        <w:numPr>
          <w:ilvl w:val="0"/>
          <w:numId w:val="25"/>
        </w:numPr>
        <w:rPr>
          <w:rFonts w:ascii="Palatino" w:hAnsi="Palatino" w:cs="Palatino"/>
          <w:sz w:val="20"/>
          <w:szCs w:val="20"/>
        </w:rPr>
      </w:pPr>
      <w:r>
        <w:rPr>
          <w:rFonts w:ascii="Palatino" w:hAnsi="Palatino" w:cs="Palatino"/>
          <w:sz w:val="20"/>
          <w:szCs w:val="20"/>
        </w:rPr>
        <w:t xml:space="preserve">Orange and fluorescent red, yellow, green or orange may be used for special purposes requiring </w:t>
      </w:r>
    </w:p>
    <w:p w14:paraId="78D090C5" w14:textId="77777777" w:rsidR="00541A14" w:rsidRDefault="00541A14">
      <w:pPr>
        <w:pStyle w:val="Default"/>
        <w:rPr>
          <w:rFonts w:ascii="Palatino" w:hAnsi="Palatino" w:cs="Palatino"/>
          <w:sz w:val="20"/>
          <w:szCs w:val="20"/>
        </w:rPr>
      </w:pPr>
    </w:p>
    <w:p w14:paraId="744EDC82"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high conspicuity. </w:t>
      </w:r>
    </w:p>
    <w:p w14:paraId="106E6CAD" w14:textId="77777777" w:rsidR="00541A14" w:rsidRDefault="00A450E1">
      <w:pPr>
        <w:pStyle w:val="CM185"/>
        <w:spacing w:after="140" w:line="291" w:lineRule="atLeast"/>
        <w:rPr>
          <w:rFonts w:ascii="Palatino" w:hAnsi="Palatino" w:cs="Palatino"/>
          <w:color w:val="000000"/>
          <w:sz w:val="20"/>
          <w:szCs w:val="20"/>
        </w:rPr>
      </w:pPr>
      <w:r>
        <w:rPr>
          <w:rFonts w:ascii="Palatino" w:hAnsi="Palatino" w:cs="Palatino"/>
          <w:color w:val="000000"/>
          <w:sz w:val="20"/>
          <w:szCs w:val="20"/>
        </w:rPr>
        <w:t xml:space="preserve">The CIE standard on the measurement of colours (colorimetry) is based on three reference colours (ie. a tri-stimulus system) that in varying combination can generate the spectrum of colours.  A particular </w:t>
      </w:r>
      <w:r>
        <w:rPr>
          <w:rFonts w:ascii="Palatino" w:hAnsi="Palatino" w:cs="Palatino"/>
          <w:b/>
          <w:bCs/>
          <w:color w:val="000000"/>
          <w:sz w:val="20"/>
          <w:szCs w:val="20"/>
        </w:rPr>
        <w:t>colour function</w:t>
      </w:r>
      <w:r>
        <w:rPr>
          <w:rFonts w:ascii="Palatino" w:hAnsi="Palatino" w:cs="Palatino"/>
          <w:color w:val="000000"/>
          <w:sz w:val="20"/>
          <w:szCs w:val="20"/>
        </w:rPr>
        <w:t xml:space="preserve"> is described by the symbols; </w:t>
      </w:r>
      <w:r>
        <w:rPr>
          <w:rFonts w:ascii="Palatino" w:hAnsi="Palatino" w:cs="Palatino"/>
          <w:b/>
          <w:bCs/>
          <w:color w:val="000000"/>
          <w:sz w:val="20"/>
          <w:szCs w:val="20"/>
        </w:rPr>
        <w:t>X, Y</w:t>
      </w:r>
      <w:r>
        <w:rPr>
          <w:rFonts w:ascii="Palatino" w:hAnsi="Palatino" w:cs="Palatino"/>
          <w:color w:val="000000"/>
          <w:sz w:val="20"/>
          <w:szCs w:val="20"/>
        </w:rPr>
        <w:t xml:space="preserve"> and </w:t>
      </w:r>
      <w:r>
        <w:rPr>
          <w:rFonts w:ascii="Palatino" w:hAnsi="Palatino" w:cs="Palatino"/>
          <w:b/>
          <w:bCs/>
          <w:color w:val="000000"/>
          <w:sz w:val="20"/>
          <w:szCs w:val="20"/>
        </w:rPr>
        <w:t>Z</w:t>
      </w:r>
      <w:r>
        <w:rPr>
          <w:rFonts w:ascii="Palatino" w:hAnsi="Palatino" w:cs="Palatino"/>
          <w:color w:val="000000"/>
          <w:sz w:val="20"/>
          <w:szCs w:val="20"/>
        </w:rPr>
        <w:t xml:space="preserve"> that represent the proportions of the reference colours. </w:t>
      </w:r>
    </w:p>
    <w:p w14:paraId="774BEFA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Using ratios of the tri-stimulus values, such that: X + Y + Z = 1, colours can be defined in terms of </w:t>
      </w:r>
    </w:p>
    <w:p w14:paraId="3735CC75"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b/>
          <w:bCs/>
          <w:i/>
          <w:iCs/>
          <w:color w:val="000000"/>
          <w:sz w:val="20"/>
          <w:szCs w:val="20"/>
        </w:rPr>
        <w:t>chromaticity</w:t>
      </w:r>
      <w:r>
        <w:rPr>
          <w:rFonts w:ascii="Palatino" w:hAnsi="Palatino" w:cs="Palatino"/>
          <w:color w:val="000000"/>
          <w:sz w:val="20"/>
          <w:szCs w:val="20"/>
        </w:rPr>
        <w:t xml:space="preserve"> using just the </w:t>
      </w:r>
      <w:r>
        <w:rPr>
          <w:rFonts w:ascii="Palatino" w:hAnsi="Palatino" w:cs="Palatino"/>
          <w:b/>
          <w:bCs/>
          <w:color w:val="000000"/>
          <w:sz w:val="20"/>
          <w:szCs w:val="20"/>
        </w:rPr>
        <w:t xml:space="preserve">x </w:t>
      </w:r>
      <w:r>
        <w:rPr>
          <w:rFonts w:ascii="Palatino" w:hAnsi="Palatino" w:cs="Palatino"/>
          <w:color w:val="000000"/>
          <w:sz w:val="20"/>
          <w:szCs w:val="20"/>
        </w:rPr>
        <w:t xml:space="preserve">[= X / (X+Y+z)] and </w:t>
      </w:r>
      <w:r>
        <w:rPr>
          <w:rFonts w:ascii="Palatino" w:hAnsi="Palatino" w:cs="Palatino"/>
          <w:b/>
          <w:bCs/>
          <w:color w:val="000000"/>
          <w:sz w:val="20"/>
          <w:szCs w:val="20"/>
        </w:rPr>
        <w:t>y</w:t>
      </w:r>
      <w:r>
        <w:rPr>
          <w:rFonts w:ascii="Palatino" w:hAnsi="Palatino" w:cs="Palatino"/>
          <w:color w:val="000000"/>
          <w:sz w:val="20"/>
          <w:szCs w:val="20"/>
        </w:rPr>
        <w:t xml:space="preserve"> [= Y/ (X+Y+z)] values.  The advantage of this arrangement is that colours can be mapped on a two-dimensional </w:t>
      </w:r>
      <w:r>
        <w:rPr>
          <w:rFonts w:ascii="Palatino" w:hAnsi="Palatino" w:cs="Palatino"/>
          <w:b/>
          <w:bCs/>
          <w:i/>
          <w:iCs/>
          <w:color w:val="000000"/>
          <w:sz w:val="20"/>
          <w:szCs w:val="20"/>
        </w:rPr>
        <w:t>chromaticity diagram</w:t>
      </w:r>
      <w:r>
        <w:rPr>
          <w:rFonts w:ascii="Palatino" w:hAnsi="Palatino" w:cs="Palatino"/>
          <w:color w:val="000000"/>
          <w:sz w:val="20"/>
          <w:szCs w:val="20"/>
        </w:rPr>
        <w:t xml:space="preserve">. </w:t>
      </w:r>
    </w:p>
    <w:p w14:paraId="25F188D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CIE colour standards for marine signalling can be depicted as areas on the chromaticity diagram.  </w:t>
      </w:r>
    </w:p>
    <w:p w14:paraId="3E1B358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These areas are defined by boundaries expressed as functions of x and y (equations). </w:t>
      </w:r>
    </w:p>
    <w:p w14:paraId="34E1A0A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If the chromaticity co-ordinates of a coloured light, filter material or a paint product are known, its </w:t>
      </w:r>
    </w:p>
    <w:p w14:paraId="4EDD4FB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acceptability for marine signalling applications can easily be determined. </w:t>
      </w:r>
    </w:p>
    <w:p w14:paraId="1B47A43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If the chromaticity co-ordinates of a coloured light, filter material or a paint product are known, its </w:t>
      </w:r>
    </w:p>
    <w:p w14:paraId="2673236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acceptability for marine signalling applications can easily be determined. </w:t>
      </w:r>
    </w:p>
    <w:p w14:paraId="2A20F477" w14:textId="77777777" w:rsidR="00541A14" w:rsidRDefault="00A450E1">
      <w:pPr>
        <w:pStyle w:val="CM172"/>
        <w:spacing w:after="202" w:line="346" w:lineRule="atLeast"/>
        <w:rPr>
          <w:rFonts w:ascii="Palatino" w:hAnsi="Palatino" w:cs="Palatino"/>
          <w:color w:val="000000"/>
          <w:sz w:val="20"/>
          <w:szCs w:val="20"/>
        </w:rPr>
      </w:pPr>
      <w:r>
        <w:rPr>
          <w:rFonts w:ascii="Palatino" w:hAnsi="Palatino" w:cs="Palatino"/>
          <w:color w:val="000000"/>
          <w:sz w:val="20"/>
          <w:szCs w:val="20"/>
        </w:rPr>
        <w:t>The CIE standard for signalling colours has recently been revised, with some adjustments to the boundaries of signal colours. For further details on this issue please refer to CIE S 004/E-2001 Colours of Light Signals</w:t>
      </w:r>
      <w:r>
        <w:rPr>
          <w:rFonts w:ascii="Palatino" w:hAnsi="Palatino" w:cs="Palatino"/>
          <w:color w:val="000000"/>
          <w:position w:val="7"/>
          <w:sz w:val="11"/>
          <w:szCs w:val="11"/>
          <w:vertAlign w:val="superscript"/>
        </w:rPr>
        <w:t>13</w:t>
      </w:r>
      <w:r>
        <w:rPr>
          <w:rFonts w:ascii="Palatino" w:hAnsi="Palatino" w:cs="Palatino"/>
          <w:color w:val="000000"/>
          <w:sz w:val="20"/>
          <w:szCs w:val="20"/>
        </w:rPr>
        <w:t xml:space="preserve">. </w:t>
      </w:r>
    </w:p>
    <w:p w14:paraId="4D4F43DC"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74EB2576" w14:textId="77777777" w:rsidR="00541A14" w:rsidRDefault="009E3F25">
      <w:pPr>
        <w:pStyle w:val="CM169"/>
        <w:spacing w:after="65" w:line="293" w:lineRule="atLeast"/>
        <w:ind w:left="300"/>
        <w:rPr>
          <w:rFonts w:ascii="Palatino" w:hAnsi="Palatino" w:cs="Palatino"/>
          <w:color w:val="000000"/>
          <w:sz w:val="20"/>
          <w:szCs w:val="20"/>
        </w:rPr>
      </w:pPr>
      <w:hyperlink r:id="rId75" w:history="1">
        <w:r w:rsidR="00A450E1">
          <w:rPr>
            <w:rFonts w:ascii="Palatino" w:hAnsi="Palatino" w:cs="Palatino"/>
            <w:i/>
            <w:iCs/>
            <w:color w:val="000000"/>
            <w:sz w:val="20"/>
            <w:szCs w:val="20"/>
          </w:rPr>
          <w:t xml:space="preserve">IALA Recommendation E-106 for the use of retro-reflecting material on aids to navigation marks within the </w:t>
        </w:r>
      </w:hyperlink>
    </w:p>
    <w:p w14:paraId="7C091833" w14:textId="77777777" w:rsidR="00541A14" w:rsidRDefault="009E3F25">
      <w:pPr>
        <w:pStyle w:val="CM18"/>
        <w:ind w:left="300"/>
        <w:rPr>
          <w:rFonts w:ascii="Palatino" w:hAnsi="Palatino" w:cs="Palatino"/>
          <w:color w:val="000000"/>
          <w:sz w:val="20"/>
          <w:szCs w:val="20"/>
        </w:rPr>
      </w:pPr>
      <w:hyperlink r:id="rId76" w:history="1">
        <w:r w:rsidR="00A450E1">
          <w:rPr>
            <w:rFonts w:ascii="Palatino" w:hAnsi="Palatino" w:cs="Palatino"/>
            <w:i/>
            <w:iCs/>
            <w:color w:val="000000"/>
            <w:sz w:val="20"/>
            <w:szCs w:val="20"/>
          </w:rPr>
          <w:t xml:space="preserve">IALA Maritime Buoyage System. </w:t>
        </w:r>
      </w:hyperlink>
    </w:p>
    <w:p w14:paraId="03F251F2" w14:textId="77777777" w:rsidR="00541A14" w:rsidRDefault="009E3F25">
      <w:pPr>
        <w:pStyle w:val="CM165"/>
        <w:spacing w:after="85" w:line="293" w:lineRule="atLeast"/>
        <w:ind w:left="300"/>
        <w:rPr>
          <w:rFonts w:ascii="Palatino" w:hAnsi="Palatino" w:cs="Palatino"/>
          <w:color w:val="000000"/>
          <w:sz w:val="20"/>
          <w:szCs w:val="20"/>
        </w:rPr>
      </w:pPr>
      <w:hyperlink r:id="rId77" w:history="1">
        <w:r w:rsidR="00A450E1">
          <w:rPr>
            <w:rFonts w:ascii="Palatino" w:hAnsi="Palatino" w:cs="Palatino"/>
            <w:i/>
            <w:iCs/>
            <w:color w:val="000000"/>
            <w:sz w:val="20"/>
            <w:szCs w:val="20"/>
          </w:rPr>
          <w:t xml:space="preserve">Recommendation E-108 for the surface colours used as visual signals on aids to navigation. </w:t>
        </w:r>
      </w:hyperlink>
    </w:p>
    <w:p w14:paraId="023E564F" w14:textId="77777777" w:rsidR="00541A14" w:rsidRDefault="009E3F25">
      <w:pPr>
        <w:pStyle w:val="CM174"/>
        <w:spacing w:after="437" w:line="293" w:lineRule="atLeast"/>
        <w:ind w:left="300"/>
        <w:rPr>
          <w:rFonts w:ascii="Palatino" w:hAnsi="Palatino" w:cs="Palatino"/>
          <w:color w:val="000000"/>
          <w:sz w:val="20"/>
          <w:szCs w:val="20"/>
        </w:rPr>
      </w:pPr>
      <w:hyperlink r:id="rId78" w:history="1">
        <w:r w:rsidR="00A450E1">
          <w:rPr>
            <w:rFonts w:ascii="Palatino" w:hAnsi="Palatino" w:cs="Palatino"/>
            <w:i/>
            <w:iCs/>
            <w:color w:val="000000"/>
            <w:sz w:val="20"/>
            <w:szCs w:val="20"/>
          </w:rPr>
          <w:t xml:space="preserve">Recommendation E-200-3 on Marine Signal Lights - Measurement. </w:t>
        </w:r>
      </w:hyperlink>
    </w:p>
    <w:p w14:paraId="2C81BA51" w14:textId="77777777" w:rsidR="00541A14" w:rsidRDefault="00A450E1">
      <w:pPr>
        <w:pStyle w:val="CM165"/>
        <w:spacing w:after="85" w:line="251" w:lineRule="atLeast"/>
        <w:rPr>
          <w:rFonts w:ascii="Palatino" w:hAnsi="Palatino" w:cs="Palatino"/>
          <w:color w:val="000000"/>
          <w:sz w:val="18"/>
          <w:szCs w:val="18"/>
        </w:rPr>
      </w:pPr>
      <w:r>
        <w:rPr>
          <w:rFonts w:ascii="Palatino" w:hAnsi="Palatino" w:cs="Palatino"/>
          <w:color w:val="000000"/>
          <w:position w:val="6"/>
          <w:sz w:val="20"/>
          <w:szCs w:val="20"/>
          <w:vertAlign w:val="superscript"/>
        </w:rPr>
        <w:t>11</w:t>
      </w:r>
      <w:r>
        <w:rPr>
          <w:rFonts w:ascii="Palatino" w:hAnsi="Palatino" w:cs="Palatino"/>
          <w:color w:val="000000"/>
          <w:sz w:val="20"/>
          <w:szCs w:val="20"/>
        </w:rPr>
        <w:t>CIE S 004/E 2001 replaces CIE 2.2 - 1975, “Colours of Light Signals”</w:t>
      </w:r>
      <w:r>
        <w:rPr>
          <w:rFonts w:ascii="Palatino" w:hAnsi="Palatino" w:cs="Palatino"/>
          <w:color w:val="000000"/>
          <w:sz w:val="18"/>
          <w:szCs w:val="18"/>
        </w:rPr>
        <w:t xml:space="preserve">. </w:t>
      </w:r>
      <w:r>
        <w:rPr>
          <w:rFonts w:ascii="Palatino" w:hAnsi="Palatino" w:cs="Palatino"/>
          <w:color w:val="000000"/>
          <w:position w:val="6"/>
          <w:sz w:val="18"/>
          <w:szCs w:val="18"/>
          <w:vertAlign w:val="superscript"/>
        </w:rPr>
        <w:t>12</w:t>
      </w:r>
      <w:r>
        <w:rPr>
          <w:rFonts w:ascii="Palatino" w:hAnsi="Palatino" w:cs="Palatino"/>
          <w:color w:val="000000"/>
          <w:sz w:val="20"/>
          <w:szCs w:val="20"/>
        </w:rPr>
        <w:t>Blue surface colours may be used in inland waterways, estuaries and harbours where the colours may be see</w:t>
      </w:r>
      <w:r>
        <w:rPr>
          <w:rFonts w:ascii="Palatino" w:hAnsi="Palatino" w:cs="Palatino"/>
          <w:color w:val="000000"/>
          <w:sz w:val="18"/>
          <w:szCs w:val="18"/>
        </w:rPr>
        <w:t xml:space="preserve">n at close range. See IALA Recommendation E108.  In addition, blue lights are being tested for use on emergency wreck marking buoys – </w:t>
      </w:r>
      <w:hyperlink r:id="rId79" w:history="1">
        <w:r>
          <w:rPr>
            <w:rFonts w:ascii="Palatino" w:hAnsi="Palatino" w:cs="Palatino"/>
            <w:color w:val="000000"/>
            <w:sz w:val="18"/>
            <w:szCs w:val="18"/>
          </w:rPr>
          <w:t xml:space="preserve">IALA Recommendation O-133 refers. </w:t>
        </w:r>
      </w:hyperlink>
    </w:p>
    <w:p w14:paraId="07D56FF3" w14:textId="77777777" w:rsidR="00541A14" w:rsidRDefault="00A450E1">
      <w:pPr>
        <w:pStyle w:val="CM188"/>
        <w:spacing w:after="600"/>
        <w:rPr>
          <w:rFonts w:ascii="Palatino" w:hAnsi="Palatino" w:cs="Palatino"/>
          <w:color w:val="000000"/>
          <w:sz w:val="20"/>
          <w:szCs w:val="20"/>
        </w:rPr>
      </w:pPr>
      <w:r>
        <w:rPr>
          <w:rFonts w:ascii="Palatino" w:hAnsi="Palatino" w:cs="Palatino"/>
          <w:color w:val="000000"/>
          <w:position w:val="6"/>
          <w:sz w:val="18"/>
          <w:szCs w:val="18"/>
          <w:vertAlign w:val="superscript"/>
        </w:rPr>
        <w:t>13</w:t>
      </w:r>
      <w:r>
        <w:rPr>
          <w:rFonts w:ascii="Palatino" w:hAnsi="Palatino" w:cs="Palatino"/>
          <w:color w:val="000000"/>
          <w:sz w:val="20"/>
          <w:szCs w:val="20"/>
        </w:rPr>
        <w:t xml:space="preserve">CIE web site address: </w:t>
      </w:r>
      <w:hyperlink r:id="rId80" w:history="1">
        <w:r>
          <w:rPr>
            <w:rFonts w:ascii="Palatino" w:hAnsi="Palatino" w:cs="Palatino"/>
            <w:color w:val="000000"/>
            <w:sz w:val="18"/>
            <w:szCs w:val="18"/>
          </w:rPr>
          <w:t xml:space="preserve">www.cie.co.at/cie </w:t>
        </w:r>
      </w:hyperlink>
    </w:p>
    <w:p w14:paraId="22348270"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5502C7BB" wp14:editId="66B542BF">
            <wp:extent cx="7542530" cy="420370"/>
            <wp:effectExtent l="0" t="0" r="1270" b="1143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537CCF43" w14:textId="77777777" w:rsidR="00541A14" w:rsidRDefault="00DD420F">
      <w:pPr>
        <w:pStyle w:val="Default"/>
        <w:pageBreakBefore/>
        <w:framePr w:w="24763" w:wrap="auto" w:vAnchor="page" w:hAnchor="page" w:x="101" w:y="1"/>
        <w:spacing w:after="700"/>
        <w:rPr>
          <w:rFonts w:ascii="Palatino" w:hAnsi="Palatino" w:cs="Palatino"/>
          <w:sz w:val="20"/>
          <w:szCs w:val="20"/>
        </w:rPr>
      </w:pPr>
      <w:r>
        <w:rPr>
          <w:rFonts w:ascii="Palatino" w:hAnsi="Palatino" w:cs="Palatino"/>
          <w:noProof/>
          <w:sz w:val="20"/>
          <w:szCs w:val="20"/>
        </w:rPr>
        <w:drawing>
          <wp:inline distT="0" distB="0" distL="0" distR="0" wp14:anchorId="52CE9637" wp14:editId="5A65AD58">
            <wp:extent cx="7553960" cy="115316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76282F9A"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 xml:space="preserve">Figure 6 – </w:t>
      </w:r>
    </w:p>
    <w:p w14:paraId="7EB72738"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Illustration of the colour zones on the 1931 CIE chromaticity diagram. (Note that the colour rendering is</w:t>
      </w:r>
    </w:p>
    <w:p w14:paraId="53688E59"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only indicative and should not be</w:t>
      </w:r>
    </w:p>
    <w:p w14:paraId="6D29C1AC" w14:textId="77777777" w:rsidR="00541A14" w:rsidRDefault="00A450E1">
      <w:pPr>
        <w:pStyle w:val="CM189"/>
        <w:spacing w:after="5595" w:line="291" w:lineRule="atLeast"/>
        <w:rPr>
          <w:rFonts w:ascii="Palatino" w:hAnsi="Palatino" w:cs="Palatino"/>
          <w:color w:val="000000"/>
          <w:sz w:val="20"/>
          <w:szCs w:val="20"/>
        </w:rPr>
      </w:pPr>
      <w:r>
        <w:rPr>
          <w:rFonts w:ascii="Palatino" w:hAnsi="Palatino" w:cs="Palatino"/>
          <w:i/>
          <w:iCs/>
          <w:color w:val="000000"/>
          <w:sz w:val="20"/>
          <w:szCs w:val="20"/>
        </w:rPr>
        <w:t xml:space="preserve">taken as fully accurate) </w:t>
      </w:r>
    </w:p>
    <w:p w14:paraId="75F7DF6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i/>
          <w:iCs/>
          <w:color w:val="000000"/>
          <w:sz w:val="20"/>
          <w:szCs w:val="20"/>
        </w:rPr>
        <w:t xml:space="preserve">Figure 7 – </w:t>
      </w:r>
    </w:p>
    <w:p w14:paraId="4142D022" w14:textId="77777777" w:rsidR="00541A14" w:rsidRDefault="00A450E1">
      <w:pPr>
        <w:pStyle w:val="Default"/>
        <w:spacing w:line="240" w:lineRule="atLeast"/>
        <w:ind w:right="210"/>
        <w:rPr>
          <w:rFonts w:ascii="Palatino" w:hAnsi="Palatino" w:cs="Palatino"/>
          <w:sz w:val="20"/>
          <w:szCs w:val="20"/>
        </w:rPr>
      </w:pPr>
      <w:r>
        <w:rPr>
          <w:rFonts w:ascii="Palatino" w:hAnsi="Palatino" w:cs="Palatino"/>
          <w:i/>
          <w:iCs/>
          <w:sz w:val="20"/>
          <w:szCs w:val="20"/>
        </w:rPr>
        <w:t>IALA allowed chromaticity areas for red, orange, yellow, green, blue, white and black of Ordinary</w:t>
      </w:r>
    </w:p>
    <w:p w14:paraId="3B376E1C" w14:textId="77777777" w:rsidR="00541A14" w:rsidRDefault="00A450E1">
      <w:pPr>
        <w:pStyle w:val="Default"/>
        <w:spacing w:line="240" w:lineRule="atLeast"/>
        <w:ind w:right="135"/>
        <w:rPr>
          <w:rFonts w:ascii="Palatino" w:hAnsi="Palatino" w:cs="Palatino"/>
          <w:sz w:val="20"/>
          <w:szCs w:val="20"/>
        </w:rPr>
      </w:pPr>
      <w:r>
        <w:rPr>
          <w:rFonts w:ascii="Palatino" w:hAnsi="Palatino" w:cs="Palatino"/>
          <w:i/>
          <w:iCs/>
          <w:sz w:val="20"/>
          <w:szCs w:val="20"/>
        </w:rPr>
        <w:t>Surface Colours (As plotted on the1983 CIE chromaticity diagram -</w:t>
      </w:r>
    </w:p>
    <w:p w14:paraId="58880621" w14:textId="77777777" w:rsidR="00541A14" w:rsidRDefault="00A450E1">
      <w:pPr>
        <w:pStyle w:val="CM190"/>
        <w:spacing w:after="1020" w:line="251" w:lineRule="atLeast"/>
        <w:rPr>
          <w:rFonts w:ascii="Palatino" w:hAnsi="Palatino" w:cs="Palatino"/>
          <w:color w:val="000000"/>
          <w:sz w:val="20"/>
          <w:szCs w:val="20"/>
        </w:rPr>
      </w:pPr>
      <w:r>
        <w:rPr>
          <w:rFonts w:ascii="Palatino" w:hAnsi="Palatino" w:cs="Palatino"/>
          <w:i/>
          <w:iCs/>
          <w:color w:val="000000"/>
          <w:sz w:val="20"/>
          <w:szCs w:val="20"/>
        </w:rPr>
        <w:t xml:space="preserve">Courtesy of CIE) </w:t>
      </w:r>
    </w:p>
    <w:p w14:paraId="756017A5" w14:textId="77777777" w:rsidR="00541A14" w:rsidRDefault="00DD420F">
      <w:pPr>
        <w:pStyle w:val="Default"/>
        <w:framePr w:w="7190" w:wrap="auto" w:vAnchor="page" w:hAnchor="page" w:x="4318" w:y="2351"/>
        <w:spacing w:after="1260"/>
        <w:rPr>
          <w:rFonts w:ascii="Palatino" w:hAnsi="Palatino" w:cs="Palatino"/>
          <w:sz w:val="20"/>
          <w:szCs w:val="20"/>
        </w:rPr>
      </w:pPr>
      <w:r>
        <w:rPr>
          <w:rFonts w:ascii="Palatino" w:hAnsi="Palatino" w:cs="Palatino"/>
          <w:noProof/>
          <w:sz w:val="20"/>
          <w:szCs w:val="20"/>
        </w:rPr>
        <w:drawing>
          <wp:inline distT="0" distB="0" distL="0" distR="0" wp14:anchorId="09B8025B" wp14:editId="733F1A6C">
            <wp:extent cx="4037965" cy="7974330"/>
            <wp:effectExtent l="0" t="0" r="635" b="127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037965" cy="7974330"/>
                    </a:xfrm>
                    <a:prstGeom prst="rect">
                      <a:avLst/>
                    </a:prstGeom>
                    <a:noFill/>
                    <a:ln>
                      <a:noFill/>
                    </a:ln>
                  </pic:spPr>
                </pic:pic>
              </a:graphicData>
            </a:graphic>
          </wp:inline>
        </w:drawing>
      </w:r>
    </w:p>
    <w:p w14:paraId="02781838" w14:textId="77777777" w:rsidR="00541A14" w:rsidRDefault="00DD420F">
      <w:pPr>
        <w:pStyle w:val="Default"/>
        <w:framePr w:w="10730" w:wrap="auto" w:vAnchor="page" w:hAnchor="page" w:x="608" w:y="16277"/>
        <w:rPr>
          <w:rFonts w:ascii="Palatino" w:hAnsi="Palatino" w:cs="Palatino"/>
          <w:sz w:val="20"/>
          <w:szCs w:val="20"/>
        </w:rPr>
      </w:pPr>
      <w:r>
        <w:rPr>
          <w:rFonts w:ascii="Palatino" w:hAnsi="Palatino" w:cs="Palatino"/>
          <w:noProof/>
          <w:sz w:val="20"/>
          <w:szCs w:val="20"/>
        </w:rPr>
        <w:drawing>
          <wp:inline distT="0" distB="0" distL="0" distR="0" wp14:anchorId="56E5985F" wp14:editId="41134728">
            <wp:extent cx="7553960" cy="420370"/>
            <wp:effectExtent l="0" t="0" r="0" b="1143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5445D8CF" w14:textId="77777777" w:rsidR="00541A14" w:rsidRDefault="00DD420F">
      <w:pPr>
        <w:pStyle w:val="Default"/>
        <w:pageBreakBefore/>
        <w:framePr w:w="12857" w:wrap="auto" w:vAnchor="page" w:hAnchor="page" w:x="101" w:y="1"/>
        <w:spacing w:after="700"/>
        <w:rPr>
          <w:rFonts w:ascii="Palatino" w:hAnsi="Palatino" w:cs="Palatino"/>
          <w:sz w:val="20"/>
          <w:szCs w:val="20"/>
        </w:rPr>
      </w:pPr>
      <w:r>
        <w:rPr>
          <w:rFonts w:ascii="Palatino" w:hAnsi="Palatino" w:cs="Palatino"/>
          <w:noProof/>
          <w:sz w:val="20"/>
          <w:szCs w:val="20"/>
        </w:rPr>
        <w:drawing>
          <wp:inline distT="0" distB="0" distL="0" distR="0" wp14:anchorId="1B9DB0C9" wp14:editId="0B93CE0A">
            <wp:extent cx="7553960" cy="115316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169B6D72"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3.1.2 Visibility of a Mark </w:t>
      </w:r>
    </w:p>
    <w:p w14:paraId="63C27CA3"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The visibility of a mark is affected by one or more of the following factors: </w:t>
      </w:r>
    </w:p>
    <w:p w14:paraId="37346B55"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observing distance (range); </w:t>
      </w:r>
    </w:p>
    <w:p w14:paraId="710667DB" w14:textId="77777777" w:rsidR="00541A14" w:rsidRDefault="00A450E1">
      <w:pPr>
        <w:pStyle w:val="Default"/>
        <w:numPr>
          <w:ilvl w:val="0"/>
          <w:numId w:val="26"/>
        </w:numPr>
        <w:rPr>
          <w:rFonts w:ascii="Palatino" w:hAnsi="Palatino" w:cs="Palatino"/>
          <w:sz w:val="20"/>
          <w:szCs w:val="20"/>
        </w:rPr>
      </w:pPr>
      <w:r>
        <w:rPr>
          <w:rFonts w:ascii="Palatino" w:hAnsi="Palatino" w:cs="Palatino"/>
          <w:sz w:val="20"/>
          <w:szCs w:val="20"/>
        </w:rPr>
        <w:t xml:space="preserve">curvature of the Earth; </w:t>
      </w:r>
    </w:p>
    <w:p w14:paraId="1DCB1D71" w14:textId="77777777" w:rsidR="00541A14" w:rsidRDefault="00A450E1">
      <w:pPr>
        <w:pStyle w:val="Default"/>
        <w:numPr>
          <w:ilvl w:val="0"/>
          <w:numId w:val="26"/>
        </w:numPr>
        <w:rPr>
          <w:rFonts w:ascii="Palatino" w:hAnsi="Palatino" w:cs="Palatino"/>
          <w:sz w:val="20"/>
          <w:szCs w:val="20"/>
        </w:rPr>
      </w:pPr>
      <w:r>
        <w:rPr>
          <w:rFonts w:ascii="Palatino" w:hAnsi="Palatino" w:cs="Palatino"/>
          <w:sz w:val="20"/>
          <w:szCs w:val="20"/>
        </w:rPr>
        <w:t xml:space="preserve">atmospheric refraction; </w:t>
      </w:r>
    </w:p>
    <w:p w14:paraId="14354CA6" w14:textId="77777777" w:rsidR="00541A14" w:rsidRDefault="00A450E1">
      <w:pPr>
        <w:pStyle w:val="Default"/>
        <w:numPr>
          <w:ilvl w:val="0"/>
          <w:numId w:val="26"/>
        </w:numPr>
        <w:rPr>
          <w:rFonts w:ascii="Palatino" w:hAnsi="Palatino" w:cs="Palatino"/>
          <w:sz w:val="20"/>
          <w:szCs w:val="20"/>
        </w:rPr>
      </w:pPr>
      <w:r>
        <w:rPr>
          <w:rFonts w:ascii="Palatino" w:hAnsi="Palatino" w:cs="Palatino"/>
          <w:sz w:val="20"/>
          <w:szCs w:val="20"/>
        </w:rPr>
        <w:t xml:space="preserve">atmospheric transmissivity (meteorological visibility); </w:t>
      </w:r>
    </w:p>
    <w:p w14:paraId="5BCA328D" w14:textId="77777777" w:rsidR="00541A14" w:rsidRDefault="00A450E1">
      <w:pPr>
        <w:pStyle w:val="Default"/>
        <w:numPr>
          <w:ilvl w:val="0"/>
          <w:numId w:val="26"/>
        </w:numPr>
        <w:rPr>
          <w:rFonts w:ascii="Palatino" w:hAnsi="Palatino" w:cs="Palatino"/>
          <w:sz w:val="20"/>
          <w:szCs w:val="20"/>
        </w:rPr>
      </w:pPr>
      <w:r>
        <w:rPr>
          <w:rFonts w:ascii="Palatino" w:hAnsi="Palatino" w:cs="Palatino"/>
          <w:sz w:val="20"/>
          <w:szCs w:val="20"/>
        </w:rPr>
        <w:t xml:space="preserve">height of the aid above sea level; • observer’s visual perception; • observer’s height of eye; • observing conditions (day or night); </w:t>
      </w:r>
    </w:p>
    <w:p w14:paraId="7702388A" w14:textId="77777777" w:rsidR="00541A14" w:rsidRDefault="00A450E1">
      <w:pPr>
        <w:pStyle w:val="Default"/>
        <w:numPr>
          <w:ilvl w:val="0"/>
          <w:numId w:val="26"/>
        </w:numPr>
        <w:rPr>
          <w:rFonts w:ascii="Palatino" w:hAnsi="Palatino" w:cs="Palatino"/>
          <w:sz w:val="20"/>
          <w:szCs w:val="20"/>
        </w:rPr>
      </w:pPr>
      <w:r>
        <w:rPr>
          <w:rFonts w:ascii="Palatino" w:hAnsi="Palatino" w:cs="Palatino"/>
          <w:sz w:val="20"/>
          <w:szCs w:val="20"/>
        </w:rPr>
        <w:t xml:space="preserve">conspicuity of the mark (shape, size, colour, reflectance, and  the properties of any retro-reflecting </w:t>
      </w:r>
    </w:p>
    <w:p w14:paraId="2B4006DC" w14:textId="77777777" w:rsidR="00541A14" w:rsidRDefault="00541A14">
      <w:pPr>
        <w:pStyle w:val="Default"/>
        <w:rPr>
          <w:rFonts w:ascii="Palatino" w:hAnsi="Palatino" w:cs="Palatino"/>
          <w:sz w:val="20"/>
          <w:szCs w:val="20"/>
        </w:rPr>
      </w:pPr>
    </w:p>
    <w:p w14:paraId="52540228" w14:textId="77777777" w:rsidR="00541A14" w:rsidRDefault="00A450E1">
      <w:pPr>
        <w:pStyle w:val="CM62"/>
        <w:ind w:left="320"/>
        <w:rPr>
          <w:rFonts w:ascii="Palatino" w:hAnsi="Palatino" w:cs="Palatino"/>
          <w:color w:val="000000"/>
          <w:sz w:val="20"/>
          <w:szCs w:val="20"/>
        </w:rPr>
      </w:pPr>
      <w:r>
        <w:rPr>
          <w:rFonts w:ascii="Palatino" w:hAnsi="Palatino" w:cs="Palatino"/>
          <w:color w:val="000000"/>
          <w:sz w:val="20"/>
          <w:szCs w:val="20"/>
        </w:rPr>
        <w:t xml:space="preserve">material); </w:t>
      </w:r>
    </w:p>
    <w:p w14:paraId="7BE3A95F" w14:textId="77777777" w:rsidR="00541A14" w:rsidRDefault="00A450E1">
      <w:pPr>
        <w:pStyle w:val="Default"/>
        <w:numPr>
          <w:ilvl w:val="0"/>
          <w:numId w:val="27"/>
        </w:numPr>
        <w:rPr>
          <w:rFonts w:ascii="Palatino" w:hAnsi="Palatino" w:cs="Palatino"/>
          <w:sz w:val="20"/>
          <w:szCs w:val="20"/>
        </w:rPr>
      </w:pPr>
      <w:r>
        <w:rPr>
          <w:rFonts w:ascii="Palatino" w:hAnsi="Palatino" w:cs="Palatino"/>
          <w:sz w:val="20"/>
          <w:szCs w:val="20"/>
        </w:rPr>
        <w:t xml:space="preserve">contrast (Type of background – lighting, vegetation, snow, etc); </w:t>
      </w:r>
    </w:p>
    <w:p w14:paraId="67E5907A" w14:textId="77777777" w:rsidR="00541A14" w:rsidRDefault="00A450E1">
      <w:pPr>
        <w:pStyle w:val="Default"/>
        <w:numPr>
          <w:ilvl w:val="0"/>
          <w:numId w:val="27"/>
        </w:numPr>
        <w:rPr>
          <w:rFonts w:ascii="Palatino" w:hAnsi="Palatino" w:cs="Palatino"/>
          <w:sz w:val="20"/>
          <w:szCs w:val="20"/>
        </w:rPr>
      </w:pPr>
      <w:r>
        <w:rPr>
          <w:rFonts w:ascii="Palatino" w:hAnsi="Palatino" w:cs="Palatino"/>
          <w:sz w:val="20"/>
          <w:szCs w:val="20"/>
        </w:rPr>
        <w:t xml:space="preserve">mark lighted or unlit; </w:t>
      </w:r>
    </w:p>
    <w:p w14:paraId="6CE498F8" w14:textId="77777777" w:rsidR="00541A14" w:rsidRDefault="00A450E1">
      <w:pPr>
        <w:pStyle w:val="Default"/>
        <w:numPr>
          <w:ilvl w:val="0"/>
          <w:numId w:val="27"/>
        </w:numPr>
        <w:rPr>
          <w:rFonts w:ascii="Palatino" w:hAnsi="Palatino" w:cs="Palatino"/>
          <w:sz w:val="20"/>
          <w:szCs w:val="20"/>
        </w:rPr>
      </w:pPr>
      <w:r>
        <w:rPr>
          <w:rFonts w:ascii="Palatino" w:hAnsi="Palatino" w:cs="Palatino"/>
          <w:sz w:val="20"/>
          <w:szCs w:val="20"/>
        </w:rPr>
        <w:t xml:space="preserve">intensity and character. </w:t>
      </w:r>
    </w:p>
    <w:p w14:paraId="18CD5D94" w14:textId="77777777" w:rsidR="00541A14" w:rsidRDefault="00541A14">
      <w:pPr>
        <w:pStyle w:val="Default"/>
        <w:rPr>
          <w:rFonts w:ascii="Palatino" w:hAnsi="Palatino" w:cs="Palatino"/>
          <w:sz w:val="20"/>
          <w:szCs w:val="20"/>
        </w:rPr>
      </w:pPr>
    </w:p>
    <w:p w14:paraId="198BB76E" w14:textId="77777777" w:rsidR="00541A14" w:rsidRDefault="00DD420F">
      <w:pPr>
        <w:pStyle w:val="Default"/>
        <w:framePr w:w="9873" w:wrap="auto" w:vAnchor="page" w:hAnchor="page" w:x="1418" w:y="8247"/>
        <w:spacing w:after="140"/>
        <w:rPr>
          <w:rFonts w:ascii="Palatino" w:hAnsi="Palatino" w:cs="Palatino"/>
          <w:sz w:val="20"/>
          <w:szCs w:val="20"/>
        </w:rPr>
      </w:pPr>
      <w:r>
        <w:rPr>
          <w:rFonts w:ascii="Palatino" w:hAnsi="Palatino" w:cs="Palatino"/>
          <w:noProof/>
          <w:sz w:val="20"/>
          <w:szCs w:val="20"/>
        </w:rPr>
        <w:drawing>
          <wp:inline distT="0" distB="0" distL="0" distR="0" wp14:anchorId="4053FFE5" wp14:editId="718CB8C0">
            <wp:extent cx="5753100" cy="4333240"/>
            <wp:effectExtent l="0" t="0" r="12700" b="1016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3100" cy="4333240"/>
                    </a:xfrm>
                    <a:prstGeom prst="rect">
                      <a:avLst/>
                    </a:prstGeom>
                    <a:noFill/>
                    <a:ln>
                      <a:noFill/>
                    </a:ln>
                  </pic:spPr>
                </pic:pic>
              </a:graphicData>
            </a:graphic>
          </wp:inline>
        </w:drawing>
      </w:r>
    </w:p>
    <w:p w14:paraId="2008C770" w14:textId="77777777" w:rsidR="00541A14" w:rsidRDefault="00A450E1">
      <w:pPr>
        <w:pStyle w:val="CM170"/>
        <w:spacing w:after="887"/>
        <w:jc w:val="center"/>
        <w:rPr>
          <w:rFonts w:ascii="Palatino" w:hAnsi="Palatino" w:cs="Palatino"/>
          <w:color w:val="000000"/>
          <w:sz w:val="20"/>
          <w:szCs w:val="20"/>
        </w:rPr>
      </w:pPr>
      <w:r>
        <w:rPr>
          <w:rFonts w:ascii="Palatino" w:hAnsi="Palatino" w:cs="Palatino"/>
          <w:i/>
          <w:iCs/>
          <w:color w:val="000000"/>
          <w:sz w:val="20"/>
          <w:szCs w:val="20"/>
        </w:rPr>
        <w:t xml:space="preserve">Photo courtesy of Australian Maritime Safety Authority </w:t>
      </w:r>
    </w:p>
    <w:p w14:paraId="0BD7CA50" w14:textId="77777777" w:rsidR="00541A14" w:rsidRDefault="00DD420F">
      <w:pPr>
        <w:pStyle w:val="Default"/>
        <w:framePr w:w="10739" w:wrap="auto" w:vAnchor="page" w:hAnchor="page" w:x="1434" w:y="16277"/>
        <w:rPr>
          <w:rFonts w:ascii="Palatino" w:hAnsi="Palatino" w:cs="Palatino"/>
          <w:sz w:val="20"/>
          <w:szCs w:val="20"/>
        </w:rPr>
      </w:pPr>
      <w:r>
        <w:rPr>
          <w:rFonts w:ascii="Palatino" w:hAnsi="Palatino" w:cs="Palatino"/>
          <w:noProof/>
          <w:sz w:val="20"/>
          <w:szCs w:val="20"/>
        </w:rPr>
        <w:drawing>
          <wp:inline distT="0" distB="0" distL="0" distR="0" wp14:anchorId="3E987F4F" wp14:editId="7B58C05A">
            <wp:extent cx="7542530" cy="420370"/>
            <wp:effectExtent l="0" t="0" r="1270" b="1143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7079227F" w14:textId="77777777" w:rsidR="00541A14" w:rsidRDefault="00DD420F">
      <w:pPr>
        <w:pStyle w:val="Default"/>
        <w:pageBreakBefore/>
        <w:framePr w:w="24763" w:wrap="auto" w:vAnchor="page" w:hAnchor="page" w:x="101" w:y="1"/>
        <w:spacing w:after="460"/>
        <w:rPr>
          <w:rFonts w:ascii="Palatino" w:hAnsi="Palatino" w:cs="Palatino"/>
          <w:sz w:val="20"/>
          <w:szCs w:val="20"/>
        </w:rPr>
      </w:pPr>
      <w:r>
        <w:rPr>
          <w:rFonts w:ascii="Palatino" w:hAnsi="Palatino" w:cs="Palatino"/>
          <w:noProof/>
          <w:sz w:val="20"/>
          <w:szCs w:val="20"/>
        </w:rPr>
        <w:drawing>
          <wp:inline distT="0" distB="0" distL="0" distR="0" wp14:anchorId="16D847EA" wp14:editId="024BA25F">
            <wp:extent cx="7553960" cy="115316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722D4E41"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3.1.3 Meteorological Visibility </w:t>
      </w:r>
    </w:p>
    <w:p w14:paraId="4F20180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Meteorological visibility (V) is defined as the greatest distance at which a black object of suitable </w:t>
      </w:r>
    </w:p>
    <w:p w14:paraId="1D46036F" w14:textId="77777777" w:rsidR="00541A14" w:rsidRDefault="00A450E1">
      <w:pPr>
        <w:pStyle w:val="CM173"/>
        <w:spacing w:after="340" w:line="296" w:lineRule="atLeast"/>
        <w:ind w:right="402"/>
        <w:rPr>
          <w:rFonts w:ascii="Palatino" w:hAnsi="Palatino" w:cs="Palatino"/>
          <w:color w:val="000000"/>
          <w:sz w:val="20"/>
          <w:szCs w:val="20"/>
        </w:rPr>
      </w:pPr>
      <w:r>
        <w:rPr>
          <w:rFonts w:ascii="Palatino" w:hAnsi="Palatino" w:cs="Palatino"/>
          <w:color w:val="000000"/>
          <w:sz w:val="20"/>
          <w:szCs w:val="20"/>
        </w:rPr>
        <w:t xml:space="preserve">dimensions can be seen and recognised by day against the horizon sky, or, in the case of night observations, could be seen if the general illumination were raised to the normal daytime level. It is usually expressed in kilometres or nautical miles. </w:t>
      </w:r>
    </w:p>
    <w:p w14:paraId="21FE72B9"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3.1.4 Atmospheric Transmissivity </w:t>
      </w:r>
    </w:p>
    <w:p w14:paraId="3983DBEE"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The atmospheric transmissivity (T) is defined as the transmittance or proportion of light from a source that remains after passing through a specified distance through the atmosphere, at sea level. </w:t>
      </w:r>
    </w:p>
    <w:p w14:paraId="12990032" w14:textId="77777777" w:rsidR="00541A14" w:rsidRDefault="00A450E1">
      <w:pPr>
        <w:pStyle w:val="CM165"/>
        <w:spacing w:after="85" w:line="300" w:lineRule="atLeast"/>
        <w:ind w:right="1397"/>
        <w:rPr>
          <w:rFonts w:ascii="Palatino" w:hAnsi="Palatino" w:cs="Palatino"/>
          <w:color w:val="000000"/>
          <w:sz w:val="20"/>
          <w:szCs w:val="20"/>
        </w:rPr>
      </w:pPr>
      <w:r>
        <w:rPr>
          <w:rFonts w:ascii="Palatino" w:hAnsi="Palatino" w:cs="Palatino"/>
          <w:color w:val="000000"/>
          <w:sz w:val="20"/>
          <w:szCs w:val="20"/>
        </w:rPr>
        <w:t xml:space="preserve">Since the atmosphere is not uniform over the observing distances of most visual aids, a representative value is used: </w:t>
      </w:r>
    </w:p>
    <w:p w14:paraId="12A943A0" w14:textId="77777777" w:rsidR="00541A14" w:rsidRDefault="00A450E1">
      <w:pPr>
        <w:pStyle w:val="Default"/>
        <w:numPr>
          <w:ilvl w:val="0"/>
          <w:numId w:val="28"/>
        </w:numPr>
        <w:rPr>
          <w:rFonts w:ascii="Palatino" w:hAnsi="Palatino" w:cs="Palatino"/>
          <w:sz w:val="20"/>
          <w:szCs w:val="20"/>
        </w:rPr>
      </w:pPr>
      <w:r>
        <w:rPr>
          <w:rFonts w:ascii="Palatino" w:hAnsi="Palatino" w:cs="Palatino"/>
          <w:sz w:val="20"/>
          <w:szCs w:val="20"/>
        </w:rPr>
        <w:t xml:space="preserve">typically, the atmospheric transmissivity is taken as T = 0.74 over one nautical mile; </w:t>
      </w:r>
    </w:p>
    <w:p w14:paraId="02941337" w14:textId="77777777" w:rsidR="00541A14" w:rsidRDefault="00A450E1">
      <w:pPr>
        <w:pStyle w:val="Default"/>
        <w:numPr>
          <w:ilvl w:val="0"/>
          <w:numId w:val="28"/>
        </w:numPr>
        <w:rPr>
          <w:rFonts w:ascii="Palatino" w:hAnsi="Palatino" w:cs="Palatino"/>
          <w:sz w:val="20"/>
          <w:szCs w:val="20"/>
        </w:rPr>
      </w:pPr>
      <w:r>
        <w:rPr>
          <w:rFonts w:ascii="Palatino" w:hAnsi="Palatino" w:cs="Palatino"/>
          <w:sz w:val="20"/>
          <w:szCs w:val="20"/>
        </w:rPr>
        <w:t xml:space="preserve">a figure of T = 0.84 is occasionally used in regions where the atmosphere is very clear. </w:t>
      </w:r>
    </w:p>
    <w:p w14:paraId="05B1E067" w14:textId="77777777" w:rsidR="00541A14" w:rsidRDefault="00541A14">
      <w:pPr>
        <w:pStyle w:val="Default"/>
        <w:rPr>
          <w:rFonts w:ascii="Palatino" w:hAnsi="Palatino" w:cs="Palatino"/>
          <w:sz w:val="20"/>
          <w:szCs w:val="20"/>
        </w:rPr>
      </w:pPr>
    </w:p>
    <w:p w14:paraId="13FA8479" w14:textId="77777777" w:rsidR="00541A14" w:rsidRDefault="00A450E1">
      <w:pPr>
        <w:pStyle w:val="CM165"/>
        <w:spacing w:after="85" w:line="300" w:lineRule="atLeast"/>
        <w:ind w:right="990"/>
        <w:rPr>
          <w:rFonts w:ascii="Palatino" w:hAnsi="Palatino" w:cs="Palatino"/>
          <w:color w:val="000000"/>
          <w:sz w:val="20"/>
          <w:szCs w:val="20"/>
        </w:rPr>
      </w:pPr>
      <w:r>
        <w:rPr>
          <w:rFonts w:ascii="Palatino" w:hAnsi="Palatino" w:cs="Palatino"/>
          <w:color w:val="000000"/>
          <w:sz w:val="20"/>
          <w:szCs w:val="20"/>
        </w:rPr>
        <w:t xml:space="preserve">A number of countries collect data on atmospheric transmissivity for different parts of their coastline. This enables the luminous range of lights to be: </w:t>
      </w:r>
    </w:p>
    <w:p w14:paraId="0CB8D125" w14:textId="77777777" w:rsidR="00541A14" w:rsidRDefault="00A450E1">
      <w:pPr>
        <w:pStyle w:val="Default"/>
        <w:numPr>
          <w:ilvl w:val="0"/>
          <w:numId w:val="29"/>
        </w:numPr>
        <w:rPr>
          <w:rFonts w:ascii="Palatino" w:hAnsi="Palatino" w:cs="Palatino"/>
          <w:sz w:val="20"/>
          <w:szCs w:val="20"/>
        </w:rPr>
      </w:pPr>
      <w:r>
        <w:rPr>
          <w:rFonts w:ascii="Palatino" w:hAnsi="Palatino" w:cs="Palatino"/>
          <w:sz w:val="20"/>
          <w:szCs w:val="20"/>
        </w:rPr>
        <w:t xml:space="preserve">calculated more precisely, and; </w:t>
      </w:r>
    </w:p>
    <w:p w14:paraId="293C2FB4" w14:textId="77777777" w:rsidR="00541A14" w:rsidRDefault="00A450E1">
      <w:pPr>
        <w:pStyle w:val="Default"/>
        <w:numPr>
          <w:ilvl w:val="0"/>
          <w:numId w:val="29"/>
        </w:numPr>
        <w:rPr>
          <w:rFonts w:ascii="Palatino" w:hAnsi="Palatino" w:cs="Palatino"/>
          <w:sz w:val="20"/>
          <w:szCs w:val="20"/>
        </w:rPr>
      </w:pPr>
      <w:r>
        <w:rPr>
          <w:rFonts w:ascii="Palatino" w:hAnsi="Palatino" w:cs="Palatino"/>
          <w:sz w:val="20"/>
          <w:szCs w:val="20"/>
        </w:rPr>
        <w:t xml:space="preserve">better matched to local conditions and user requirements. </w:t>
      </w:r>
    </w:p>
    <w:p w14:paraId="04FED184" w14:textId="77777777" w:rsidR="00541A14" w:rsidRDefault="00541A14">
      <w:pPr>
        <w:pStyle w:val="Default"/>
        <w:rPr>
          <w:rFonts w:ascii="Palatino" w:hAnsi="Palatino" w:cs="Palatino"/>
          <w:sz w:val="20"/>
          <w:szCs w:val="20"/>
        </w:rPr>
      </w:pPr>
    </w:p>
    <w:p w14:paraId="3EB86ADD"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3.1.5 Atmospheric Refraction </w:t>
      </w:r>
    </w:p>
    <w:p w14:paraId="43E8816E" w14:textId="77777777" w:rsidR="00541A14" w:rsidRDefault="00A450E1">
      <w:pPr>
        <w:pStyle w:val="CM173"/>
        <w:spacing w:after="340" w:line="293" w:lineRule="atLeast"/>
        <w:ind w:right="327"/>
        <w:rPr>
          <w:rFonts w:ascii="Palatino" w:hAnsi="Palatino" w:cs="Palatino"/>
          <w:color w:val="000000"/>
          <w:sz w:val="20"/>
          <w:szCs w:val="20"/>
        </w:rPr>
      </w:pPr>
      <w:r>
        <w:rPr>
          <w:rFonts w:ascii="Palatino" w:hAnsi="Palatino" w:cs="Palatino"/>
          <w:color w:val="000000"/>
          <w:sz w:val="20"/>
          <w:szCs w:val="20"/>
        </w:rPr>
        <w:t xml:space="preserve">This phenomenon results from the normal decrease in atmospheric density from the Earths’ surface to the stratosphere. This causes light rays that are directed obliquely through the atmosphere to be refracted (or bent) towards the Earth. </w:t>
      </w:r>
    </w:p>
    <w:p w14:paraId="49BA32BA"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3.1.6 Contrast </w:t>
      </w:r>
    </w:p>
    <w:p w14:paraId="0738D44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ability to detect differences in luminance between an object and an otherwise uniform background </w:t>
      </w:r>
    </w:p>
    <w:p w14:paraId="2A345EF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is a basic visual requirement and is used to define the term contrast. It is represented by the equation: </w:t>
      </w:r>
    </w:p>
    <w:p w14:paraId="362B1167" w14:textId="77777777" w:rsidR="00541A14" w:rsidRDefault="00A450E1">
      <w:pPr>
        <w:pStyle w:val="Default"/>
        <w:spacing w:line="438" w:lineRule="atLeast"/>
        <w:ind w:left="4120" w:right="4320"/>
        <w:rPr>
          <w:rFonts w:ascii="Times New Roman" w:hAnsi="Times New Roman" w:cs="Times New Roman"/>
          <w:sz w:val="13"/>
          <w:szCs w:val="13"/>
        </w:rPr>
      </w:pPr>
      <w:r>
        <w:rPr>
          <w:rFonts w:ascii="Times New Roman" w:hAnsi="Times New Roman" w:cs="Times New Roman"/>
          <w:i/>
          <w:iCs/>
          <w:position w:val="-20"/>
          <w:sz w:val="23"/>
          <w:szCs w:val="23"/>
          <w:vertAlign w:val="subscript"/>
        </w:rPr>
        <w:t xml:space="preserve">C </w:t>
      </w:r>
      <w:r>
        <w:rPr>
          <w:rFonts w:ascii="Times New Roman" w:hAnsi="Times New Roman" w:cs="Times New Roman"/>
          <w:position w:val="-20"/>
          <w:sz w:val="23"/>
          <w:szCs w:val="23"/>
          <w:vertAlign w:val="subscript"/>
        </w:rPr>
        <w:t>=</w:t>
      </w:r>
      <w:r>
        <w:rPr>
          <w:rFonts w:ascii="Times New Roman" w:hAnsi="Times New Roman" w:cs="Times New Roman"/>
          <w:sz w:val="20"/>
          <w:szCs w:val="20"/>
        </w:rPr>
        <w:t>(L</w:t>
      </w:r>
      <w:r>
        <w:rPr>
          <w:rFonts w:ascii="Times New Roman" w:hAnsi="Times New Roman" w:cs="Times New Roman"/>
          <w:i/>
          <w:iCs/>
          <w:position w:val="-6"/>
          <w:sz w:val="13"/>
          <w:szCs w:val="13"/>
          <w:vertAlign w:val="subscript"/>
        </w:rPr>
        <w:t xml:space="preserve">o </w:t>
      </w:r>
      <w:r>
        <w:rPr>
          <w:rFonts w:ascii="Times New Roman" w:hAnsi="Times New Roman" w:cs="Times New Roman"/>
          <w:sz w:val="23"/>
          <w:szCs w:val="23"/>
        </w:rPr>
        <w:t xml:space="preserve">− </w:t>
      </w:r>
      <w:r>
        <w:rPr>
          <w:rFonts w:ascii="Times New Roman" w:hAnsi="Times New Roman" w:cs="Times New Roman"/>
          <w:i/>
          <w:iCs/>
          <w:sz w:val="20"/>
          <w:szCs w:val="20"/>
        </w:rPr>
        <w:t>L</w:t>
      </w:r>
      <w:r>
        <w:rPr>
          <w:rFonts w:ascii="Times New Roman" w:hAnsi="Times New Roman" w:cs="Times New Roman"/>
          <w:i/>
          <w:iCs/>
          <w:position w:val="-6"/>
          <w:sz w:val="13"/>
          <w:szCs w:val="13"/>
          <w:vertAlign w:val="subscript"/>
        </w:rPr>
        <w:t xml:space="preserve">B </w:t>
      </w:r>
      <w:r>
        <w:rPr>
          <w:rFonts w:ascii="Times New Roman" w:hAnsi="Times New Roman" w:cs="Times New Roman"/>
          <w:sz w:val="31"/>
          <w:szCs w:val="31"/>
        </w:rPr>
        <w:t xml:space="preserve">) </w:t>
      </w:r>
      <w:r>
        <w:rPr>
          <w:rFonts w:ascii="Times New Roman" w:hAnsi="Times New Roman" w:cs="Times New Roman"/>
          <w:i/>
          <w:iCs/>
          <w:position w:val="4"/>
          <w:sz w:val="20"/>
          <w:szCs w:val="20"/>
          <w:vertAlign w:val="superscript"/>
        </w:rPr>
        <w:t>L</w:t>
      </w:r>
      <w:r>
        <w:rPr>
          <w:rFonts w:ascii="Times New Roman" w:hAnsi="Times New Roman" w:cs="Times New Roman"/>
          <w:i/>
          <w:iCs/>
          <w:sz w:val="13"/>
          <w:szCs w:val="13"/>
        </w:rPr>
        <w:t xml:space="preserve">B </w:t>
      </w:r>
    </w:p>
    <w:p w14:paraId="2D476BB2" w14:textId="77777777" w:rsidR="00541A14" w:rsidRDefault="00A450E1">
      <w:pPr>
        <w:pStyle w:val="CM169"/>
        <w:spacing w:after="65" w:line="358" w:lineRule="atLeast"/>
        <w:ind w:left="720" w:hanging="720"/>
        <w:rPr>
          <w:rFonts w:ascii="Palatino" w:hAnsi="Palatino" w:cs="Palatino"/>
          <w:color w:val="000000"/>
          <w:sz w:val="20"/>
          <w:szCs w:val="20"/>
        </w:rPr>
      </w:pPr>
      <w:r>
        <w:rPr>
          <w:rFonts w:ascii="Palatino" w:hAnsi="Palatino" w:cs="Palatino"/>
          <w:color w:val="000000"/>
          <w:sz w:val="20"/>
          <w:szCs w:val="20"/>
        </w:rPr>
        <w:t>where: C = contrast L</w:t>
      </w:r>
      <w:r>
        <w:rPr>
          <w:rFonts w:ascii="Palatino" w:hAnsi="Palatino" w:cs="Palatino"/>
          <w:color w:val="000000"/>
          <w:position w:val="-7"/>
          <w:sz w:val="11"/>
          <w:szCs w:val="11"/>
          <w:vertAlign w:val="subscript"/>
        </w:rPr>
        <w:t>B</w:t>
      </w:r>
      <w:r>
        <w:rPr>
          <w:rFonts w:ascii="Palatino" w:hAnsi="Palatino" w:cs="Palatino"/>
          <w:color w:val="000000"/>
          <w:sz w:val="20"/>
          <w:szCs w:val="20"/>
        </w:rPr>
        <w:t xml:space="preserve"> = luminance of background (cd/m</w:t>
      </w:r>
      <w:r>
        <w:rPr>
          <w:rFonts w:ascii="Palatino" w:hAnsi="Palatino" w:cs="Palatino"/>
          <w:color w:val="000000"/>
          <w:position w:val="7"/>
          <w:sz w:val="11"/>
          <w:szCs w:val="11"/>
          <w:vertAlign w:val="superscript"/>
        </w:rPr>
        <w:t>2</w:t>
      </w:r>
      <w:r>
        <w:rPr>
          <w:rFonts w:ascii="Palatino" w:hAnsi="Palatino" w:cs="Palatino"/>
          <w:color w:val="000000"/>
          <w:sz w:val="20"/>
          <w:szCs w:val="20"/>
        </w:rPr>
        <w:t>) L = luminance of object (cd/m</w:t>
      </w:r>
      <w:r>
        <w:rPr>
          <w:rFonts w:ascii="Palatino" w:hAnsi="Palatino" w:cs="Palatino"/>
          <w:color w:val="000000"/>
          <w:position w:val="7"/>
          <w:sz w:val="11"/>
          <w:szCs w:val="11"/>
          <w:vertAlign w:val="superscript"/>
        </w:rPr>
        <w:t>2</w:t>
      </w:r>
      <w:r>
        <w:rPr>
          <w:rFonts w:ascii="Palatino" w:hAnsi="Palatino" w:cs="Palatino"/>
          <w:color w:val="000000"/>
          <w:sz w:val="20"/>
          <w:szCs w:val="20"/>
        </w:rPr>
        <w:t>)</w:t>
      </w:r>
    </w:p>
    <w:p w14:paraId="27FB45E3" w14:textId="77777777" w:rsidR="00541A14" w:rsidRDefault="00A450E1">
      <w:pPr>
        <w:pStyle w:val="CM165"/>
        <w:spacing w:after="85"/>
        <w:ind w:firstLine="840"/>
        <w:rPr>
          <w:rFonts w:ascii="Palatino" w:hAnsi="Palatino" w:cs="Palatino"/>
          <w:color w:val="000000"/>
          <w:sz w:val="11"/>
          <w:szCs w:val="11"/>
        </w:rPr>
      </w:pPr>
      <w:r>
        <w:rPr>
          <w:rFonts w:ascii="Palatino" w:hAnsi="Palatino" w:cs="Palatino"/>
          <w:color w:val="000000"/>
          <w:sz w:val="11"/>
          <w:szCs w:val="11"/>
        </w:rPr>
        <w:t>o</w:t>
      </w:r>
    </w:p>
    <w:p w14:paraId="6DB4CE1C" w14:textId="77777777" w:rsidR="00541A14" w:rsidRDefault="00A450E1">
      <w:pPr>
        <w:pStyle w:val="CM172"/>
        <w:spacing w:after="202" w:line="296" w:lineRule="atLeast"/>
        <w:ind w:right="402"/>
        <w:rPr>
          <w:rFonts w:ascii="Palatino" w:hAnsi="Palatino" w:cs="Palatino"/>
          <w:color w:val="000000"/>
          <w:sz w:val="20"/>
          <w:szCs w:val="20"/>
        </w:rPr>
      </w:pPr>
      <w:r>
        <w:rPr>
          <w:rFonts w:ascii="Palatino" w:hAnsi="Palatino" w:cs="Palatino"/>
          <w:color w:val="000000"/>
          <w:sz w:val="20"/>
          <w:szCs w:val="20"/>
        </w:rPr>
        <w:t xml:space="preserve">The contrast at which an object can be detected against a given background 50% of the time is called the threshold contrast. For meteorological observations, a higher threshold must be used to ensure that the object is recognised. </w:t>
      </w:r>
    </w:p>
    <w:p w14:paraId="4C53EE4C" w14:textId="77777777" w:rsidR="00541A14" w:rsidRDefault="00A450E1">
      <w:pPr>
        <w:pStyle w:val="CM192"/>
        <w:spacing w:after="1992" w:line="240" w:lineRule="atLeast"/>
        <w:ind w:left="320" w:right="557"/>
        <w:rPr>
          <w:rFonts w:ascii="Palatino" w:hAnsi="Palatino" w:cs="Palatino"/>
          <w:color w:val="000000"/>
          <w:sz w:val="20"/>
          <w:szCs w:val="20"/>
        </w:rPr>
      </w:pPr>
      <w:r>
        <w:rPr>
          <w:rFonts w:ascii="Palatino" w:hAnsi="Palatino" w:cs="Palatino"/>
          <w:color w:val="000000"/>
          <w:sz w:val="20"/>
          <w:szCs w:val="20"/>
        </w:rPr>
        <w:t xml:space="preserve">A contrast value of 0.05 has been adopted as the basis for the measurement of meteorologicaloptical range. </w:t>
      </w:r>
    </w:p>
    <w:p w14:paraId="4AE9C9A0"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2AA0B921" wp14:editId="72EAFDAE">
            <wp:extent cx="7553960" cy="420370"/>
            <wp:effectExtent l="0" t="0" r="0" b="1143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05E8EE2C" w14:textId="77777777" w:rsidR="00541A14" w:rsidRDefault="00DD420F">
      <w:pPr>
        <w:pStyle w:val="Default"/>
        <w:pageBreakBefore/>
        <w:framePr w:w="12857" w:wrap="auto" w:vAnchor="page" w:hAnchor="page" w:x="101" w:y="1"/>
        <w:spacing w:after="460"/>
        <w:rPr>
          <w:rFonts w:ascii="Palatino" w:hAnsi="Palatino" w:cs="Palatino"/>
          <w:sz w:val="20"/>
          <w:szCs w:val="20"/>
        </w:rPr>
      </w:pPr>
      <w:r>
        <w:rPr>
          <w:rFonts w:ascii="Palatino" w:hAnsi="Palatino" w:cs="Palatino"/>
          <w:noProof/>
          <w:sz w:val="20"/>
          <w:szCs w:val="20"/>
        </w:rPr>
        <w:drawing>
          <wp:inline distT="0" distB="0" distL="0" distR="0" wp14:anchorId="3C12F31F" wp14:editId="3E05D04B">
            <wp:extent cx="7553960" cy="115316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5405C8CD"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3.1.7 Use of Binoculars </w:t>
      </w:r>
    </w:p>
    <w:p w14:paraId="7CF550DD" w14:textId="77777777" w:rsidR="00541A14" w:rsidRDefault="00A450E1">
      <w:pPr>
        <w:pStyle w:val="CM16"/>
        <w:ind w:right="327"/>
        <w:rPr>
          <w:rFonts w:ascii="Palatino" w:hAnsi="Palatino" w:cs="Palatino"/>
          <w:color w:val="000000"/>
          <w:sz w:val="20"/>
          <w:szCs w:val="20"/>
        </w:rPr>
      </w:pPr>
      <w:r>
        <w:rPr>
          <w:rFonts w:ascii="Palatino" w:hAnsi="Palatino" w:cs="Palatino"/>
          <w:color w:val="000000"/>
          <w:sz w:val="20"/>
          <w:szCs w:val="20"/>
        </w:rPr>
        <w:t xml:space="preserve">While it is generally assumed that observations will be made with the naked eye, mariners will quite often use binoculars. This can allow: </w:t>
      </w:r>
    </w:p>
    <w:p w14:paraId="6A2C19C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 light being observed, or the characteristics resolved, at a greater luminous range than with the </w:t>
      </w:r>
    </w:p>
    <w:p w14:paraId="38E6E6DA"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naked eye; </w:t>
      </w:r>
    </w:p>
    <w:p w14:paraId="0D330C12" w14:textId="77777777" w:rsidR="00541A14" w:rsidRDefault="00A450E1">
      <w:pPr>
        <w:pStyle w:val="Default"/>
        <w:numPr>
          <w:ilvl w:val="0"/>
          <w:numId w:val="30"/>
        </w:numPr>
        <w:rPr>
          <w:rFonts w:ascii="Palatino" w:hAnsi="Palatino" w:cs="Palatino"/>
          <w:sz w:val="20"/>
          <w:szCs w:val="20"/>
        </w:rPr>
      </w:pPr>
      <w:r>
        <w:rPr>
          <w:rFonts w:ascii="Palatino" w:hAnsi="Palatino" w:cs="Palatino"/>
          <w:sz w:val="20"/>
          <w:szCs w:val="20"/>
        </w:rPr>
        <w:t xml:space="preserve">a limited improvement in the sensitivity of leading lights; </w:t>
      </w:r>
    </w:p>
    <w:p w14:paraId="7A62BDF7" w14:textId="77777777" w:rsidR="00541A14" w:rsidRDefault="00A450E1">
      <w:pPr>
        <w:pStyle w:val="Default"/>
        <w:numPr>
          <w:ilvl w:val="0"/>
          <w:numId w:val="30"/>
        </w:numPr>
        <w:rPr>
          <w:rFonts w:ascii="Palatino" w:hAnsi="Palatino" w:cs="Palatino"/>
          <w:sz w:val="20"/>
          <w:szCs w:val="20"/>
        </w:rPr>
      </w:pPr>
      <w:r>
        <w:rPr>
          <w:rFonts w:ascii="Palatino" w:hAnsi="Palatino" w:cs="Palatino"/>
          <w:sz w:val="20"/>
          <w:szCs w:val="20"/>
        </w:rPr>
        <w:t xml:space="preserve">about a 30% improvement in the detectable difference from a given bearing; </w:t>
      </w:r>
    </w:p>
    <w:p w14:paraId="391EAC1C" w14:textId="77777777" w:rsidR="00541A14" w:rsidRDefault="00A450E1">
      <w:pPr>
        <w:pStyle w:val="Default"/>
        <w:numPr>
          <w:ilvl w:val="0"/>
          <w:numId w:val="30"/>
        </w:numPr>
        <w:rPr>
          <w:rFonts w:ascii="Palatino" w:hAnsi="Palatino" w:cs="Palatino"/>
          <w:sz w:val="20"/>
          <w:szCs w:val="20"/>
        </w:rPr>
      </w:pPr>
      <w:r>
        <w:rPr>
          <w:rFonts w:ascii="Palatino" w:hAnsi="Palatino" w:cs="Palatino"/>
          <w:sz w:val="20"/>
          <w:szCs w:val="20"/>
        </w:rPr>
        <w:t xml:space="preserve">the identification of a light operating against background lighting conditions. </w:t>
      </w:r>
    </w:p>
    <w:p w14:paraId="68BD7FEB" w14:textId="77777777" w:rsidR="00541A14" w:rsidRDefault="00541A14">
      <w:pPr>
        <w:pStyle w:val="Default"/>
        <w:rPr>
          <w:rFonts w:ascii="Palatino" w:hAnsi="Palatino" w:cs="Palatino"/>
          <w:sz w:val="20"/>
          <w:szCs w:val="20"/>
        </w:rPr>
      </w:pPr>
    </w:p>
    <w:p w14:paraId="48E13AB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Generally, the most suitable binoculars for use at sea are considered to be: </w:t>
      </w:r>
    </w:p>
    <w:p w14:paraId="0396E20B" w14:textId="77777777" w:rsidR="00541A14" w:rsidRDefault="00A450E1">
      <w:pPr>
        <w:pStyle w:val="Default"/>
        <w:numPr>
          <w:ilvl w:val="0"/>
          <w:numId w:val="31"/>
        </w:numPr>
        <w:rPr>
          <w:rFonts w:ascii="Palatino" w:hAnsi="Palatino" w:cs="Palatino"/>
          <w:sz w:val="20"/>
          <w:szCs w:val="20"/>
        </w:rPr>
      </w:pPr>
      <w:r>
        <w:rPr>
          <w:rFonts w:ascii="Palatino" w:hAnsi="Palatino" w:cs="Palatino"/>
          <w:sz w:val="20"/>
          <w:szCs w:val="20"/>
        </w:rPr>
        <w:t>7 x 50</w:t>
      </w:r>
      <w:r>
        <w:rPr>
          <w:rFonts w:ascii="Palatino" w:hAnsi="Palatino" w:cs="Palatino"/>
          <w:position w:val="7"/>
          <w:sz w:val="11"/>
          <w:szCs w:val="11"/>
          <w:vertAlign w:val="superscript"/>
        </w:rPr>
        <w:t>14</w:t>
      </w:r>
      <w:r>
        <w:rPr>
          <w:rFonts w:ascii="Palatino" w:hAnsi="Palatino" w:cs="Palatino"/>
          <w:sz w:val="20"/>
          <w:szCs w:val="20"/>
        </w:rPr>
        <w:t xml:space="preserve"> type at night, and; </w:t>
      </w:r>
    </w:p>
    <w:p w14:paraId="4E6A65C2" w14:textId="77777777" w:rsidR="00541A14" w:rsidRDefault="00A450E1">
      <w:pPr>
        <w:pStyle w:val="Default"/>
        <w:numPr>
          <w:ilvl w:val="0"/>
          <w:numId w:val="31"/>
        </w:numPr>
        <w:rPr>
          <w:rFonts w:ascii="Palatino" w:hAnsi="Palatino" w:cs="Palatino"/>
          <w:sz w:val="20"/>
          <w:szCs w:val="20"/>
        </w:rPr>
      </w:pPr>
      <w:r>
        <w:rPr>
          <w:rFonts w:ascii="Palatino" w:hAnsi="Palatino" w:cs="Palatino"/>
          <w:sz w:val="20"/>
          <w:szCs w:val="20"/>
        </w:rPr>
        <w:t xml:space="preserve">10 x 50 binoculars by day. </w:t>
      </w:r>
    </w:p>
    <w:p w14:paraId="62CEB24B" w14:textId="77777777" w:rsidR="00541A14" w:rsidRDefault="00541A14">
      <w:pPr>
        <w:pStyle w:val="Default"/>
        <w:rPr>
          <w:rFonts w:ascii="Palatino" w:hAnsi="Palatino" w:cs="Palatino"/>
          <w:sz w:val="20"/>
          <w:szCs w:val="20"/>
        </w:rPr>
      </w:pPr>
    </w:p>
    <w:p w14:paraId="2E9AD9E3"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3.1.8 Range of a Visual Mark </w:t>
      </w:r>
    </w:p>
    <w:p w14:paraId="05A5AFD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range of an aid to navigation can broadly be defined as the distance at which the observer’s receiver </w:t>
      </w:r>
    </w:p>
    <w:p w14:paraId="40584EF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can detect and resolve the signal.  In the case of visual marks the observer’s receivers are his/her eyes.  </w:t>
      </w:r>
    </w:p>
    <w:p w14:paraId="16D9E426" w14:textId="77777777" w:rsidR="00541A14" w:rsidRDefault="00A450E1">
      <w:pPr>
        <w:pStyle w:val="CM175"/>
        <w:spacing w:after="267" w:line="291" w:lineRule="atLeast"/>
        <w:rPr>
          <w:rFonts w:ascii="Palatino" w:hAnsi="Palatino" w:cs="Palatino"/>
          <w:color w:val="000000"/>
          <w:sz w:val="20"/>
          <w:szCs w:val="20"/>
        </w:rPr>
      </w:pPr>
      <w:r>
        <w:rPr>
          <w:rFonts w:ascii="Palatino" w:hAnsi="Palatino" w:cs="Palatino"/>
          <w:color w:val="000000"/>
          <w:sz w:val="20"/>
          <w:szCs w:val="20"/>
        </w:rPr>
        <w:t xml:space="preserve">This broad definition of range leads to a number of more specific definitions that are described below. </w:t>
      </w:r>
    </w:p>
    <w:p w14:paraId="401242CC"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3.1.9 Geographical Range </w:t>
      </w:r>
    </w:p>
    <w:p w14:paraId="1799606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This is the greatest distance at which an object or a light source could be seen under conditions of perfect visibility, as limited only by the curvature of the earth, by refraction of the atmosphere, and by the elevation of the observer and the object or light. (IALA International Dictionary of Aids to Marine Navigation). </w:t>
      </w:r>
    </w:p>
    <w:p w14:paraId="72143684"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A Geographical Range table is shown in Table 5. </w:t>
      </w:r>
    </w:p>
    <w:p w14:paraId="0C7C63C3"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b/>
          <w:bCs/>
          <w:color w:val="000000"/>
          <w:sz w:val="20"/>
          <w:szCs w:val="20"/>
        </w:rPr>
        <w:t xml:space="preserve">table 5 – IAlA Geographical Range table </w:t>
      </w:r>
    </w:p>
    <w:p w14:paraId="1B0BE26B"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62336" behindDoc="0" locked="0" layoutInCell="0" allowOverlap="1" wp14:anchorId="00149388" wp14:editId="306C8A6B">
                <wp:simplePos x="0" y="0"/>
                <wp:positionH relativeFrom="page">
                  <wp:posOffset>899795</wp:posOffset>
                </wp:positionH>
                <wp:positionV relativeFrom="page">
                  <wp:posOffset>6087745</wp:posOffset>
                </wp:positionV>
                <wp:extent cx="6280785" cy="2190750"/>
                <wp:effectExtent l="0" t="0" r="0" b="0"/>
                <wp:wrapThrough wrapText="bothSides">
                  <wp:wrapPolygon edited="0">
                    <wp:start x="0" y="0"/>
                    <wp:lineTo x="21600" y="0"/>
                    <wp:lineTo x="21600" y="21600"/>
                    <wp:lineTo x="0" y="21600"/>
                    <wp:lineTo x="0" y="0"/>
                  </wp:wrapPolygon>
                </wp:wrapThrough>
                <wp:docPr id="55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0785" cy="2190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2127"/>
                              <w:gridCol w:w="665"/>
                              <w:gridCol w:w="657"/>
                              <w:gridCol w:w="680"/>
                              <w:gridCol w:w="680"/>
                              <w:gridCol w:w="645"/>
                              <w:gridCol w:w="605"/>
                              <w:gridCol w:w="612"/>
                              <w:gridCol w:w="605"/>
                              <w:gridCol w:w="600"/>
                              <w:gridCol w:w="605"/>
                              <w:gridCol w:w="610"/>
                            </w:tblGrid>
                            <w:tr w:rsidR="00541A14" w14:paraId="604522F3" w14:textId="77777777">
                              <w:trPr>
                                <w:trHeight w:val="155"/>
                              </w:trPr>
                              <w:tc>
                                <w:tcPr>
                                  <w:tcW w:w="2127" w:type="dxa"/>
                                  <w:tcBorders>
                                    <w:top w:val="single" w:sz="4" w:space="0" w:color="0E0F1A"/>
                                    <w:left w:val="single" w:sz="4" w:space="0" w:color="030407"/>
                                  </w:tcBorders>
                                  <w:shd w:val="clear" w:color="auto" w:fill="5E64A8"/>
                                </w:tcPr>
                                <w:p w14:paraId="13576C85" w14:textId="77777777" w:rsidR="00541A14" w:rsidRDefault="00541A14">
                                  <w:pPr>
                                    <w:pStyle w:val="Default"/>
                                    <w:jc w:val="center"/>
                                    <w:rPr>
                                      <w:rFonts w:cs="Times New Roman"/>
                                      <w:color w:val="auto"/>
                                    </w:rPr>
                                  </w:pPr>
                                </w:p>
                              </w:tc>
                              <w:tc>
                                <w:tcPr>
                                  <w:tcW w:w="665" w:type="dxa"/>
                                  <w:tcBorders>
                                    <w:top w:val="single" w:sz="4" w:space="0" w:color="0E0F1A"/>
                                  </w:tcBorders>
                                  <w:shd w:val="clear" w:color="auto" w:fill="5E64A8"/>
                                </w:tcPr>
                                <w:p w14:paraId="1BEAF6AC" w14:textId="77777777" w:rsidR="00541A14" w:rsidRDefault="00541A14">
                                  <w:pPr>
                                    <w:pStyle w:val="Default"/>
                                    <w:jc w:val="right"/>
                                    <w:rPr>
                                      <w:rFonts w:cs="Times New Roman"/>
                                      <w:color w:val="auto"/>
                                    </w:rPr>
                                  </w:pPr>
                                </w:p>
                              </w:tc>
                              <w:tc>
                                <w:tcPr>
                                  <w:tcW w:w="4482" w:type="dxa"/>
                                  <w:gridSpan w:val="7"/>
                                  <w:tcBorders>
                                    <w:top w:val="single" w:sz="4" w:space="0" w:color="0E0F1A"/>
                                  </w:tcBorders>
                                  <w:shd w:val="clear" w:color="auto" w:fill="5E64A8"/>
                                  <w:vAlign w:val="center"/>
                                </w:tcPr>
                                <w:p w14:paraId="2005DB7C" w14:textId="77777777" w:rsidR="00541A14" w:rsidRDefault="00A450E1">
                                  <w:pPr>
                                    <w:pStyle w:val="Default"/>
                                    <w:jc w:val="righ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Geographical Range in Nautical Miles </w:t>
                                  </w:r>
                                </w:p>
                              </w:tc>
                              <w:tc>
                                <w:tcPr>
                                  <w:tcW w:w="600" w:type="dxa"/>
                                  <w:tcBorders>
                                    <w:top w:val="single" w:sz="4" w:space="0" w:color="0E0F1A"/>
                                  </w:tcBorders>
                                  <w:shd w:val="clear" w:color="auto" w:fill="5E64A8"/>
                                </w:tcPr>
                                <w:p w14:paraId="1BC1E3F7" w14:textId="77777777" w:rsidR="00541A14" w:rsidRDefault="00541A14">
                                  <w:pPr>
                                    <w:pStyle w:val="Default"/>
                                    <w:jc w:val="right"/>
                                    <w:rPr>
                                      <w:rFonts w:cs="Times New Roman"/>
                                      <w:color w:val="auto"/>
                                    </w:rPr>
                                  </w:pPr>
                                </w:p>
                              </w:tc>
                              <w:tc>
                                <w:tcPr>
                                  <w:tcW w:w="605" w:type="dxa"/>
                                  <w:tcBorders>
                                    <w:top w:val="single" w:sz="4" w:space="0" w:color="0E0F1A"/>
                                  </w:tcBorders>
                                  <w:shd w:val="clear" w:color="auto" w:fill="5E64A8"/>
                                </w:tcPr>
                                <w:p w14:paraId="78532BE1" w14:textId="77777777" w:rsidR="00541A14" w:rsidRDefault="00541A14">
                                  <w:pPr>
                                    <w:pStyle w:val="Default"/>
                                    <w:jc w:val="right"/>
                                    <w:rPr>
                                      <w:rFonts w:cs="Times New Roman"/>
                                      <w:color w:val="auto"/>
                                    </w:rPr>
                                  </w:pPr>
                                </w:p>
                              </w:tc>
                              <w:tc>
                                <w:tcPr>
                                  <w:tcW w:w="610" w:type="dxa"/>
                                  <w:tcBorders>
                                    <w:top w:val="single" w:sz="4" w:space="0" w:color="0E0F1A"/>
                                    <w:right w:val="single" w:sz="4" w:space="0" w:color="030407"/>
                                  </w:tcBorders>
                                  <w:shd w:val="clear" w:color="auto" w:fill="5E64A8"/>
                                </w:tcPr>
                                <w:p w14:paraId="29C75CF0" w14:textId="77777777" w:rsidR="00541A14" w:rsidRDefault="00541A14">
                                  <w:pPr>
                                    <w:pStyle w:val="Default"/>
                                    <w:jc w:val="right"/>
                                    <w:rPr>
                                      <w:rFonts w:cs="Times New Roman"/>
                                      <w:color w:val="auto"/>
                                    </w:rPr>
                                  </w:pPr>
                                </w:p>
                              </w:tc>
                            </w:tr>
                            <w:tr w:rsidR="00541A14" w14:paraId="24EAB0A2" w14:textId="77777777">
                              <w:trPr>
                                <w:trHeight w:val="257"/>
                              </w:trPr>
                              <w:tc>
                                <w:tcPr>
                                  <w:tcW w:w="2127" w:type="dxa"/>
                                  <w:tcBorders>
                                    <w:left w:val="single" w:sz="4" w:space="0" w:color="030407"/>
                                    <w:right w:val="single" w:sz="4" w:space="0" w:color="07070D"/>
                                  </w:tcBorders>
                                  <w:shd w:val="clear" w:color="auto" w:fill="5E64A8"/>
                                  <w:vAlign w:val="center"/>
                                </w:tcPr>
                                <w:p w14:paraId="575AB438" w14:textId="77777777" w:rsidR="00541A14" w:rsidRDefault="00A450E1">
                                  <w:pPr>
                                    <w:pStyle w:val="Default"/>
                                    <w:jc w:val="center"/>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Observer eye height metres </w:t>
                                  </w:r>
                                </w:p>
                              </w:tc>
                              <w:tc>
                                <w:tcPr>
                                  <w:tcW w:w="665" w:type="dxa"/>
                                  <w:tcBorders>
                                    <w:left w:val="single" w:sz="4" w:space="0" w:color="07070D"/>
                                  </w:tcBorders>
                                  <w:shd w:val="clear" w:color="auto" w:fill="5E64A8"/>
                                </w:tcPr>
                                <w:p w14:paraId="4DC0B06B" w14:textId="77777777" w:rsidR="00541A14" w:rsidRDefault="00541A14">
                                  <w:pPr>
                                    <w:pStyle w:val="Default"/>
                                    <w:jc w:val="right"/>
                                    <w:rPr>
                                      <w:rFonts w:cs="Times New Roman"/>
                                      <w:color w:val="auto"/>
                                    </w:rPr>
                                  </w:pPr>
                                </w:p>
                              </w:tc>
                              <w:tc>
                                <w:tcPr>
                                  <w:tcW w:w="4482" w:type="dxa"/>
                                  <w:gridSpan w:val="7"/>
                                  <w:shd w:val="clear" w:color="auto" w:fill="5E64A8"/>
                                  <w:vAlign w:val="center"/>
                                </w:tcPr>
                                <w:p w14:paraId="743CDE2C" w14:textId="77777777" w:rsidR="00541A14" w:rsidRDefault="00A450E1">
                                  <w:pPr>
                                    <w:pStyle w:val="Default"/>
                                    <w:jc w:val="righ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Elevation of Mark / metres </w:t>
                                  </w:r>
                                </w:p>
                              </w:tc>
                              <w:tc>
                                <w:tcPr>
                                  <w:tcW w:w="600" w:type="dxa"/>
                                  <w:shd w:val="clear" w:color="auto" w:fill="5E64A8"/>
                                </w:tcPr>
                                <w:p w14:paraId="5E242E00" w14:textId="77777777" w:rsidR="00541A14" w:rsidRDefault="00541A14">
                                  <w:pPr>
                                    <w:pStyle w:val="Default"/>
                                    <w:jc w:val="right"/>
                                    <w:rPr>
                                      <w:rFonts w:cs="Times New Roman"/>
                                      <w:color w:val="auto"/>
                                    </w:rPr>
                                  </w:pPr>
                                </w:p>
                              </w:tc>
                              <w:tc>
                                <w:tcPr>
                                  <w:tcW w:w="605" w:type="dxa"/>
                                  <w:shd w:val="clear" w:color="auto" w:fill="5E64A8"/>
                                </w:tcPr>
                                <w:p w14:paraId="2D05A51F" w14:textId="77777777" w:rsidR="00541A14" w:rsidRDefault="00541A14">
                                  <w:pPr>
                                    <w:pStyle w:val="Default"/>
                                    <w:jc w:val="right"/>
                                    <w:rPr>
                                      <w:rFonts w:cs="Times New Roman"/>
                                      <w:color w:val="auto"/>
                                    </w:rPr>
                                  </w:pPr>
                                </w:p>
                              </w:tc>
                              <w:tc>
                                <w:tcPr>
                                  <w:tcW w:w="610" w:type="dxa"/>
                                  <w:tcBorders>
                                    <w:right w:val="single" w:sz="4" w:space="0" w:color="030407"/>
                                  </w:tcBorders>
                                  <w:shd w:val="clear" w:color="auto" w:fill="5E64A8"/>
                                </w:tcPr>
                                <w:p w14:paraId="4C9C580C" w14:textId="77777777" w:rsidR="00541A14" w:rsidRDefault="00541A14">
                                  <w:pPr>
                                    <w:pStyle w:val="Default"/>
                                    <w:jc w:val="right"/>
                                    <w:rPr>
                                      <w:rFonts w:cs="Times New Roman"/>
                                      <w:color w:val="auto"/>
                                    </w:rPr>
                                  </w:pPr>
                                </w:p>
                              </w:tc>
                            </w:tr>
                            <w:tr w:rsidR="00541A14" w14:paraId="18D70157" w14:textId="77777777">
                              <w:trPr>
                                <w:trHeight w:val="158"/>
                              </w:trPr>
                              <w:tc>
                                <w:tcPr>
                                  <w:tcW w:w="2127" w:type="dxa"/>
                                  <w:tcBorders>
                                    <w:top w:val="single" w:sz="2" w:space="0" w:color="5E64A8"/>
                                    <w:left w:val="single" w:sz="4" w:space="0" w:color="030407"/>
                                    <w:right w:val="single" w:sz="4" w:space="0" w:color="07070D"/>
                                  </w:tcBorders>
                                  <w:shd w:val="clear" w:color="auto" w:fill="E8E7F3"/>
                                </w:tcPr>
                                <w:p w14:paraId="5A86FC62" w14:textId="77777777" w:rsidR="00541A14" w:rsidRDefault="00541A14">
                                  <w:pPr>
                                    <w:pStyle w:val="Default"/>
                                    <w:jc w:val="center"/>
                                    <w:rPr>
                                      <w:rFonts w:cs="Times New Roman"/>
                                      <w:color w:val="auto"/>
                                    </w:rPr>
                                  </w:pPr>
                                </w:p>
                              </w:tc>
                              <w:tc>
                                <w:tcPr>
                                  <w:tcW w:w="665" w:type="dxa"/>
                                  <w:tcBorders>
                                    <w:top w:val="single" w:sz="2" w:space="0" w:color="5E64A8"/>
                                    <w:left w:val="single" w:sz="4" w:space="0" w:color="07070D"/>
                                    <w:right w:val="single" w:sz="4" w:space="0" w:color="000000"/>
                                  </w:tcBorders>
                                  <w:shd w:val="clear" w:color="auto" w:fill="E8E7F3"/>
                                  <w:vAlign w:val="center"/>
                                </w:tcPr>
                                <w:p w14:paraId="078D2B06"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b/>
                                      <w:bCs/>
                                      <w:sz w:val="18"/>
                                      <w:szCs w:val="18"/>
                                    </w:rPr>
                                    <w:t xml:space="preserve">0 </w:t>
                                  </w:r>
                                </w:p>
                              </w:tc>
                              <w:tc>
                                <w:tcPr>
                                  <w:tcW w:w="657" w:type="dxa"/>
                                  <w:tcBorders>
                                    <w:top w:val="single" w:sz="2" w:space="0" w:color="5E64A8"/>
                                    <w:left w:val="single" w:sz="4" w:space="0" w:color="000000"/>
                                    <w:right w:val="single" w:sz="4" w:space="0" w:color="000000"/>
                                  </w:tcBorders>
                                  <w:shd w:val="clear" w:color="auto" w:fill="E8E7F3"/>
                                  <w:vAlign w:val="center"/>
                                </w:tcPr>
                                <w:p w14:paraId="4DB83C7A"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b/>
                                      <w:bCs/>
                                      <w:sz w:val="18"/>
                                      <w:szCs w:val="18"/>
                                    </w:rPr>
                                    <w:t xml:space="preserve">1 </w:t>
                                  </w:r>
                                </w:p>
                              </w:tc>
                              <w:tc>
                                <w:tcPr>
                                  <w:tcW w:w="680" w:type="dxa"/>
                                  <w:tcBorders>
                                    <w:top w:val="single" w:sz="2" w:space="0" w:color="5E64A8"/>
                                    <w:left w:val="single" w:sz="4" w:space="0" w:color="000000"/>
                                    <w:right w:val="single" w:sz="4" w:space="0" w:color="000000"/>
                                  </w:tcBorders>
                                  <w:shd w:val="clear" w:color="auto" w:fill="E8E7F3"/>
                                  <w:vAlign w:val="center"/>
                                </w:tcPr>
                                <w:p w14:paraId="2FF4F01C"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b/>
                                      <w:bCs/>
                                      <w:sz w:val="18"/>
                                      <w:szCs w:val="18"/>
                                    </w:rPr>
                                    <w:t xml:space="preserve">2 </w:t>
                                  </w:r>
                                </w:p>
                              </w:tc>
                              <w:tc>
                                <w:tcPr>
                                  <w:tcW w:w="680" w:type="dxa"/>
                                  <w:tcBorders>
                                    <w:top w:val="single" w:sz="2" w:space="0" w:color="5E64A8"/>
                                    <w:left w:val="single" w:sz="4" w:space="0" w:color="000000"/>
                                    <w:right w:val="single" w:sz="4" w:space="0" w:color="000000"/>
                                  </w:tcBorders>
                                  <w:shd w:val="clear" w:color="auto" w:fill="E8E7F3"/>
                                  <w:vAlign w:val="center"/>
                                </w:tcPr>
                                <w:p w14:paraId="62AC2934"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b/>
                                      <w:bCs/>
                                      <w:sz w:val="18"/>
                                      <w:szCs w:val="18"/>
                                    </w:rPr>
                                    <w:t xml:space="preserve">3 </w:t>
                                  </w:r>
                                </w:p>
                              </w:tc>
                              <w:tc>
                                <w:tcPr>
                                  <w:tcW w:w="645" w:type="dxa"/>
                                  <w:tcBorders>
                                    <w:top w:val="single" w:sz="2" w:space="0" w:color="5E64A8"/>
                                    <w:left w:val="single" w:sz="4" w:space="0" w:color="000000"/>
                                    <w:right w:val="single" w:sz="4" w:space="0" w:color="000000"/>
                                  </w:tcBorders>
                                  <w:shd w:val="clear" w:color="auto" w:fill="E8E7F3"/>
                                  <w:vAlign w:val="center"/>
                                </w:tcPr>
                                <w:p w14:paraId="01B5913A"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b/>
                                      <w:bCs/>
                                      <w:sz w:val="18"/>
                                      <w:szCs w:val="18"/>
                                    </w:rPr>
                                    <w:t xml:space="preserve">4 </w:t>
                                  </w:r>
                                </w:p>
                              </w:tc>
                              <w:tc>
                                <w:tcPr>
                                  <w:tcW w:w="605" w:type="dxa"/>
                                  <w:tcBorders>
                                    <w:top w:val="single" w:sz="2" w:space="0" w:color="5E64A8"/>
                                    <w:left w:val="single" w:sz="4" w:space="0" w:color="000000"/>
                                    <w:right w:val="single" w:sz="4" w:space="0" w:color="000000"/>
                                  </w:tcBorders>
                                  <w:shd w:val="clear" w:color="auto" w:fill="E8E7F3"/>
                                  <w:vAlign w:val="center"/>
                                </w:tcPr>
                                <w:p w14:paraId="2D910FA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5 </w:t>
                                  </w:r>
                                </w:p>
                              </w:tc>
                              <w:tc>
                                <w:tcPr>
                                  <w:tcW w:w="612" w:type="dxa"/>
                                  <w:tcBorders>
                                    <w:top w:val="single" w:sz="2" w:space="0" w:color="5E64A8"/>
                                    <w:left w:val="single" w:sz="4" w:space="0" w:color="000000"/>
                                    <w:right w:val="single" w:sz="4" w:space="0" w:color="000000"/>
                                  </w:tcBorders>
                                  <w:shd w:val="clear" w:color="auto" w:fill="E8E7F3"/>
                                  <w:vAlign w:val="center"/>
                                </w:tcPr>
                                <w:p w14:paraId="31131CC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10 </w:t>
                                  </w:r>
                                </w:p>
                              </w:tc>
                              <w:tc>
                                <w:tcPr>
                                  <w:tcW w:w="605" w:type="dxa"/>
                                  <w:tcBorders>
                                    <w:top w:val="single" w:sz="2" w:space="0" w:color="5E64A8"/>
                                    <w:left w:val="single" w:sz="4" w:space="0" w:color="000000"/>
                                    <w:right w:val="single" w:sz="4" w:space="0" w:color="000000"/>
                                  </w:tcBorders>
                                  <w:shd w:val="clear" w:color="auto" w:fill="E8E7F3"/>
                                  <w:vAlign w:val="center"/>
                                </w:tcPr>
                                <w:p w14:paraId="45436F8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50 </w:t>
                                  </w:r>
                                </w:p>
                              </w:tc>
                              <w:tc>
                                <w:tcPr>
                                  <w:tcW w:w="600" w:type="dxa"/>
                                  <w:tcBorders>
                                    <w:top w:val="single" w:sz="2" w:space="0" w:color="5E64A8"/>
                                    <w:left w:val="single" w:sz="4" w:space="0" w:color="000000"/>
                                    <w:right w:val="single" w:sz="4" w:space="0" w:color="000000"/>
                                  </w:tcBorders>
                                  <w:shd w:val="clear" w:color="auto" w:fill="E8E7F3"/>
                                  <w:vAlign w:val="center"/>
                                </w:tcPr>
                                <w:p w14:paraId="471A969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100 </w:t>
                                  </w:r>
                                </w:p>
                              </w:tc>
                              <w:tc>
                                <w:tcPr>
                                  <w:tcW w:w="605" w:type="dxa"/>
                                  <w:tcBorders>
                                    <w:top w:val="single" w:sz="2" w:space="0" w:color="5E64A8"/>
                                    <w:left w:val="single" w:sz="4" w:space="0" w:color="000000"/>
                                    <w:right w:val="single" w:sz="4" w:space="0" w:color="000000"/>
                                  </w:tcBorders>
                                  <w:shd w:val="clear" w:color="auto" w:fill="E8E7F3"/>
                                  <w:vAlign w:val="center"/>
                                </w:tcPr>
                                <w:p w14:paraId="620EEA3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200 </w:t>
                                  </w:r>
                                </w:p>
                              </w:tc>
                              <w:tc>
                                <w:tcPr>
                                  <w:tcW w:w="610" w:type="dxa"/>
                                  <w:tcBorders>
                                    <w:top w:val="single" w:sz="2" w:space="0" w:color="5E64A8"/>
                                    <w:left w:val="single" w:sz="4" w:space="0" w:color="000000"/>
                                    <w:right w:val="single" w:sz="4" w:space="0" w:color="030407"/>
                                  </w:tcBorders>
                                  <w:shd w:val="clear" w:color="auto" w:fill="E8E7F3"/>
                                  <w:vAlign w:val="center"/>
                                </w:tcPr>
                                <w:p w14:paraId="713BA93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300 </w:t>
                                  </w:r>
                                </w:p>
                              </w:tc>
                            </w:tr>
                            <w:tr w:rsidR="00541A14" w14:paraId="2BA9EDA5" w14:textId="77777777">
                              <w:trPr>
                                <w:trHeight w:val="158"/>
                              </w:trPr>
                              <w:tc>
                                <w:tcPr>
                                  <w:tcW w:w="2127" w:type="dxa"/>
                                  <w:tcBorders>
                                    <w:left w:val="single" w:sz="4" w:space="0" w:color="030407"/>
                                    <w:right w:val="single" w:sz="4" w:space="0" w:color="07070D"/>
                                  </w:tcBorders>
                                  <w:vAlign w:val="center"/>
                                </w:tcPr>
                                <w:p w14:paraId="0B5B2B2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1 </w:t>
                                  </w:r>
                                </w:p>
                              </w:tc>
                              <w:tc>
                                <w:tcPr>
                                  <w:tcW w:w="665" w:type="dxa"/>
                                  <w:tcBorders>
                                    <w:left w:val="single" w:sz="4" w:space="0" w:color="07070D"/>
                                    <w:right w:val="single" w:sz="4" w:space="0" w:color="000000"/>
                                  </w:tcBorders>
                                  <w:vAlign w:val="center"/>
                                </w:tcPr>
                                <w:p w14:paraId="4393CBD1"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2.0 </w:t>
                                  </w:r>
                                </w:p>
                              </w:tc>
                              <w:tc>
                                <w:tcPr>
                                  <w:tcW w:w="657" w:type="dxa"/>
                                  <w:tcBorders>
                                    <w:left w:val="single" w:sz="4" w:space="0" w:color="000000"/>
                                    <w:right w:val="single" w:sz="4" w:space="0" w:color="000000"/>
                                  </w:tcBorders>
                                  <w:vAlign w:val="center"/>
                                </w:tcPr>
                                <w:p w14:paraId="17FED770"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4.1 </w:t>
                                  </w:r>
                                </w:p>
                              </w:tc>
                              <w:tc>
                                <w:tcPr>
                                  <w:tcW w:w="680" w:type="dxa"/>
                                  <w:tcBorders>
                                    <w:left w:val="single" w:sz="4" w:space="0" w:color="000000"/>
                                    <w:right w:val="single" w:sz="4" w:space="0" w:color="000000"/>
                                  </w:tcBorders>
                                  <w:vAlign w:val="center"/>
                                </w:tcPr>
                                <w:p w14:paraId="269B943E"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4.9 </w:t>
                                  </w:r>
                                </w:p>
                              </w:tc>
                              <w:tc>
                                <w:tcPr>
                                  <w:tcW w:w="680" w:type="dxa"/>
                                  <w:tcBorders>
                                    <w:left w:val="single" w:sz="4" w:space="0" w:color="000000"/>
                                    <w:right w:val="single" w:sz="4" w:space="0" w:color="000000"/>
                                  </w:tcBorders>
                                  <w:vAlign w:val="center"/>
                                </w:tcPr>
                                <w:p w14:paraId="3992DCF9"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5.5 </w:t>
                                  </w:r>
                                </w:p>
                              </w:tc>
                              <w:tc>
                                <w:tcPr>
                                  <w:tcW w:w="645" w:type="dxa"/>
                                  <w:tcBorders>
                                    <w:left w:val="single" w:sz="4" w:space="0" w:color="000000"/>
                                    <w:right w:val="single" w:sz="4" w:space="0" w:color="000000"/>
                                  </w:tcBorders>
                                  <w:vAlign w:val="center"/>
                                </w:tcPr>
                                <w:p w14:paraId="52341D1D"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6.1 </w:t>
                                  </w:r>
                                </w:p>
                              </w:tc>
                              <w:tc>
                                <w:tcPr>
                                  <w:tcW w:w="605" w:type="dxa"/>
                                  <w:tcBorders>
                                    <w:left w:val="single" w:sz="4" w:space="0" w:color="000000"/>
                                    <w:right w:val="single" w:sz="4" w:space="0" w:color="000000"/>
                                  </w:tcBorders>
                                  <w:vAlign w:val="center"/>
                                </w:tcPr>
                                <w:p w14:paraId="344DC78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6.6 </w:t>
                                  </w:r>
                                </w:p>
                              </w:tc>
                              <w:tc>
                                <w:tcPr>
                                  <w:tcW w:w="612" w:type="dxa"/>
                                  <w:tcBorders>
                                    <w:left w:val="single" w:sz="4" w:space="0" w:color="000000"/>
                                    <w:right w:val="single" w:sz="4" w:space="0" w:color="000000"/>
                                  </w:tcBorders>
                                  <w:vAlign w:val="center"/>
                                </w:tcPr>
                                <w:p w14:paraId="26EBCE9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8.5 </w:t>
                                  </w:r>
                                </w:p>
                              </w:tc>
                              <w:tc>
                                <w:tcPr>
                                  <w:tcW w:w="605" w:type="dxa"/>
                                  <w:tcBorders>
                                    <w:left w:val="single" w:sz="4" w:space="0" w:color="000000"/>
                                    <w:right w:val="single" w:sz="4" w:space="0" w:color="000000"/>
                                  </w:tcBorders>
                                  <w:vAlign w:val="center"/>
                                </w:tcPr>
                                <w:p w14:paraId="3F618D8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16.4 </w:t>
                                  </w:r>
                                </w:p>
                              </w:tc>
                              <w:tc>
                                <w:tcPr>
                                  <w:tcW w:w="600" w:type="dxa"/>
                                  <w:tcBorders>
                                    <w:left w:val="single" w:sz="4" w:space="0" w:color="000000"/>
                                    <w:right w:val="single" w:sz="4" w:space="0" w:color="000000"/>
                                  </w:tcBorders>
                                  <w:vAlign w:val="center"/>
                                </w:tcPr>
                                <w:p w14:paraId="1C7FA55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22.3 </w:t>
                                  </w:r>
                                </w:p>
                              </w:tc>
                              <w:tc>
                                <w:tcPr>
                                  <w:tcW w:w="605" w:type="dxa"/>
                                  <w:tcBorders>
                                    <w:left w:val="single" w:sz="4" w:space="0" w:color="000000"/>
                                    <w:right w:val="single" w:sz="4" w:space="0" w:color="000000"/>
                                  </w:tcBorders>
                                  <w:vAlign w:val="center"/>
                                </w:tcPr>
                                <w:p w14:paraId="67F631D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30.8 </w:t>
                                  </w:r>
                                </w:p>
                              </w:tc>
                              <w:tc>
                                <w:tcPr>
                                  <w:tcW w:w="610" w:type="dxa"/>
                                  <w:tcBorders>
                                    <w:left w:val="single" w:sz="4" w:space="0" w:color="000000"/>
                                    <w:right w:val="single" w:sz="4" w:space="0" w:color="030407"/>
                                  </w:tcBorders>
                                  <w:vAlign w:val="center"/>
                                </w:tcPr>
                                <w:p w14:paraId="6AE343B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37.2 </w:t>
                                  </w:r>
                                </w:p>
                              </w:tc>
                            </w:tr>
                            <w:tr w:rsidR="00541A14" w14:paraId="799398BE" w14:textId="77777777">
                              <w:trPr>
                                <w:trHeight w:val="151"/>
                              </w:trPr>
                              <w:tc>
                                <w:tcPr>
                                  <w:tcW w:w="2127" w:type="dxa"/>
                                  <w:tcBorders>
                                    <w:left w:val="single" w:sz="4" w:space="0" w:color="030407"/>
                                    <w:right w:val="single" w:sz="4" w:space="0" w:color="07070D"/>
                                  </w:tcBorders>
                                  <w:shd w:val="clear" w:color="auto" w:fill="E8E7F3"/>
                                  <w:vAlign w:val="center"/>
                                </w:tcPr>
                                <w:p w14:paraId="310E99E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2 </w:t>
                                  </w:r>
                                </w:p>
                              </w:tc>
                              <w:tc>
                                <w:tcPr>
                                  <w:tcW w:w="665" w:type="dxa"/>
                                  <w:tcBorders>
                                    <w:left w:val="single" w:sz="4" w:space="0" w:color="07070D"/>
                                    <w:right w:val="single" w:sz="4" w:space="0" w:color="000000"/>
                                  </w:tcBorders>
                                  <w:shd w:val="clear" w:color="auto" w:fill="E8E7F3"/>
                                  <w:vAlign w:val="center"/>
                                </w:tcPr>
                                <w:p w14:paraId="1832E6EC"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2.9 </w:t>
                                  </w:r>
                                </w:p>
                              </w:tc>
                              <w:tc>
                                <w:tcPr>
                                  <w:tcW w:w="657" w:type="dxa"/>
                                  <w:tcBorders>
                                    <w:left w:val="single" w:sz="4" w:space="0" w:color="000000"/>
                                    <w:right w:val="single" w:sz="4" w:space="0" w:color="000000"/>
                                  </w:tcBorders>
                                  <w:shd w:val="clear" w:color="auto" w:fill="E8E7F3"/>
                                  <w:vAlign w:val="center"/>
                                </w:tcPr>
                                <w:p w14:paraId="73D1A175"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4.9 </w:t>
                                  </w:r>
                                </w:p>
                              </w:tc>
                              <w:tc>
                                <w:tcPr>
                                  <w:tcW w:w="680" w:type="dxa"/>
                                  <w:tcBorders>
                                    <w:left w:val="single" w:sz="4" w:space="0" w:color="000000"/>
                                    <w:right w:val="single" w:sz="4" w:space="0" w:color="000000"/>
                                  </w:tcBorders>
                                  <w:shd w:val="clear" w:color="auto" w:fill="E8E7F3"/>
                                  <w:vAlign w:val="center"/>
                                </w:tcPr>
                                <w:p w14:paraId="4C2BE869"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5.7 </w:t>
                                  </w:r>
                                </w:p>
                              </w:tc>
                              <w:tc>
                                <w:tcPr>
                                  <w:tcW w:w="680" w:type="dxa"/>
                                  <w:tcBorders>
                                    <w:left w:val="single" w:sz="4" w:space="0" w:color="000000"/>
                                    <w:right w:val="single" w:sz="4" w:space="0" w:color="000000"/>
                                  </w:tcBorders>
                                  <w:shd w:val="clear" w:color="auto" w:fill="E8E7F3"/>
                                  <w:vAlign w:val="center"/>
                                </w:tcPr>
                                <w:p w14:paraId="4B7FD4FE"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6.4 </w:t>
                                  </w:r>
                                </w:p>
                              </w:tc>
                              <w:tc>
                                <w:tcPr>
                                  <w:tcW w:w="645" w:type="dxa"/>
                                  <w:tcBorders>
                                    <w:left w:val="single" w:sz="4" w:space="0" w:color="000000"/>
                                    <w:right w:val="single" w:sz="4" w:space="0" w:color="000000"/>
                                  </w:tcBorders>
                                  <w:shd w:val="clear" w:color="auto" w:fill="E8E7F3"/>
                                  <w:vAlign w:val="center"/>
                                </w:tcPr>
                                <w:p w14:paraId="021AEDBE"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6.9 </w:t>
                                  </w:r>
                                </w:p>
                              </w:tc>
                              <w:tc>
                                <w:tcPr>
                                  <w:tcW w:w="605" w:type="dxa"/>
                                  <w:tcBorders>
                                    <w:left w:val="single" w:sz="4" w:space="0" w:color="000000"/>
                                    <w:right w:val="single" w:sz="4" w:space="0" w:color="000000"/>
                                  </w:tcBorders>
                                  <w:shd w:val="clear" w:color="auto" w:fill="E8E7F3"/>
                                  <w:vAlign w:val="center"/>
                                </w:tcPr>
                                <w:p w14:paraId="5E1F40D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7.4 </w:t>
                                  </w:r>
                                </w:p>
                              </w:tc>
                              <w:tc>
                                <w:tcPr>
                                  <w:tcW w:w="612" w:type="dxa"/>
                                  <w:tcBorders>
                                    <w:left w:val="single" w:sz="4" w:space="0" w:color="000000"/>
                                    <w:right w:val="single" w:sz="4" w:space="0" w:color="000000"/>
                                  </w:tcBorders>
                                  <w:shd w:val="clear" w:color="auto" w:fill="E8E7F3"/>
                                  <w:vAlign w:val="center"/>
                                </w:tcPr>
                                <w:p w14:paraId="7007D93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9.3 </w:t>
                                  </w:r>
                                </w:p>
                              </w:tc>
                              <w:tc>
                                <w:tcPr>
                                  <w:tcW w:w="605" w:type="dxa"/>
                                  <w:tcBorders>
                                    <w:left w:val="single" w:sz="4" w:space="0" w:color="000000"/>
                                    <w:right w:val="single" w:sz="4" w:space="0" w:color="000000"/>
                                  </w:tcBorders>
                                  <w:shd w:val="clear" w:color="auto" w:fill="E8E7F3"/>
                                  <w:vAlign w:val="center"/>
                                </w:tcPr>
                                <w:p w14:paraId="7824102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17.2 </w:t>
                                  </w:r>
                                </w:p>
                              </w:tc>
                              <w:tc>
                                <w:tcPr>
                                  <w:tcW w:w="600" w:type="dxa"/>
                                  <w:tcBorders>
                                    <w:left w:val="single" w:sz="4" w:space="0" w:color="000000"/>
                                    <w:right w:val="single" w:sz="4" w:space="0" w:color="000000"/>
                                  </w:tcBorders>
                                  <w:shd w:val="clear" w:color="auto" w:fill="E8E7F3"/>
                                  <w:vAlign w:val="center"/>
                                </w:tcPr>
                                <w:p w14:paraId="1A8CA2F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23.2 </w:t>
                                  </w:r>
                                </w:p>
                              </w:tc>
                              <w:tc>
                                <w:tcPr>
                                  <w:tcW w:w="605" w:type="dxa"/>
                                  <w:tcBorders>
                                    <w:left w:val="single" w:sz="4" w:space="0" w:color="000000"/>
                                    <w:right w:val="single" w:sz="4" w:space="0" w:color="000000"/>
                                  </w:tcBorders>
                                  <w:shd w:val="clear" w:color="auto" w:fill="E8E7F3"/>
                                  <w:vAlign w:val="center"/>
                                </w:tcPr>
                                <w:p w14:paraId="20551F9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31.6 </w:t>
                                  </w:r>
                                </w:p>
                              </w:tc>
                              <w:tc>
                                <w:tcPr>
                                  <w:tcW w:w="610" w:type="dxa"/>
                                  <w:tcBorders>
                                    <w:left w:val="single" w:sz="4" w:space="0" w:color="000000"/>
                                    <w:right w:val="single" w:sz="4" w:space="0" w:color="030407"/>
                                  </w:tcBorders>
                                  <w:shd w:val="clear" w:color="auto" w:fill="E8E7F3"/>
                                  <w:vAlign w:val="center"/>
                                </w:tcPr>
                                <w:p w14:paraId="7CA8FA3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38.1 </w:t>
                                  </w:r>
                                </w:p>
                              </w:tc>
                            </w:tr>
                            <w:tr w:rsidR="00541A14" w14:paraId="258498D0" w14:textId="77777777">
                              <w:trPr>
                                <w:trHeight w:val="151"/>
                              </w:trPr>
                              <w:tc>
                                <w:tcPr>
                                  <w:tcW w:w="2127" w:type="dxa"/>
                                  <w:tcBorders>
                                    <w:left w:val="single" w:sz="4" w:space="0" w:color="030407"/>
                                    <w:right w:val="single" w:sz="4" w:space="0" w:color="07070D"/>
                                  </w:tcBorders>
                                  <w:vAlign w:val="center"/>
                                </w:tcPr>
                                <w:p w14:paraId="2E57BAF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5 </w:t>
                                  </w:r>
                                </w:p>
                              </w:tc>
                              <w:tc>
                                <w:tcPr>
                                  <w:tcW w:w="665" w:type="dxa"/>
                                  <w:tcBorders>
                                    <w:left w:val="single" w:sz="4" w:space="0" w:color="07070D"/>
                                    <w:right w:val="single" w:sz="4" w:space="0" w:color="000000"/>
                                  </w:tcBorders>
                                  <w:vAlign w:val="center"/>
                                </w:tcPr>
                                <w:p w14:paraId="76AC7F00"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4.5 </w:t>
                                  </w:r>
                                </w:p>
                              </w:tc>
                              <w:tc>
                                <w:tcPr>
                                  <w:tcW w:w="657" w:type="dxa"/>
                                  <w:tcBorders>
                                    <w:left w:val="single" w:sz="4" w:space="0" w:color="000000"/>
                                    <w:right w:val="single" w:sz="4" w:space="0" w:color="000000"/>
                                  </w:tcBorders>
                                  <w:vAlign w:val="center"/>
                                </w:tcPr>
                                <w:p w14:paraId="52912B12"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6.6 </w:t>
                                  </w:r>
                                </w:p>
                              </w:tc>
                              <w:tc>
                                <w:tcPr>
                                  <w:tcW w:w="680" w:type="dxa"/>
                                  <w:tcBorders>
                                    <w:left w:val="single" w:sz="4" w:space="0" w:color="000000"/>
                                    <w:right w:val="single" w:sz="4" w:space="0" w:color="000000"/>
                                  </w:tcBorders>
                                  <w:vAlign w:val="center"/>
                                </w:tcPr>
                                <w:p w14:paraId="262E25FC"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7.4 </w:t>
                                  </w:r>
                                </w:p>
                              </w:tc>
                              <w:tc>
                                <w:tcPr>
                                  <w:tcW w:w="680" w:type="dxa"/>
                                  <w:tcBorders>
                                    <w:left w:val="single" w:sz="4" w:space="0" w:color="000000"/>
                                    <w:right w:val="single" w:sz="4" w:space="0" w:color="000000"/>
                                  </w:tcBorders>
                                  <w:vAlign w:val="center"/>
                                </w:tcPr>
                                <w:p w14:paraId="53740339"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8.1 </w:t>
                                  </w:r>
                                </w:p>
                              </w:tc>
                              <w:tc>
                                <w:tcPr>
                                  <w:tcW w:w="645" w:type="dxa"/>
                                  <w:tcBorders>
                                    <w:left w:val="single" w:sz="4" w:space="0" w:color="000000"/>
                                    <w:right w:val="single" w:sz="4" w:space="0" w:color="000000"/>
                                  </w:tcBorders>
                                  <w:vAlign w:val="center"/>
                                </w:tcPr>
                                <w:p w14:paraId="24AC70E9"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8.6 </w:t>
                                  </w:r>
                                </w:p>
                              </w:tc>
                              <w:tc>
                                <w:tcPr>
                                  <w:tcW w:w="605" w:type="dxa"/>
                                  <w:tcBorders>
                                    <w:left w:val="single" w:sz="4" w:space="0" w:color="000000"/>
                                    <w:right w:val="single" w:sz="4" w:space="0" w:color="000000"/>
                                  </w:tcBorders>
                                  <w:vAlign w:val="center"/>
                                </w:tcPr>
                                <w:p w14:paraId="06744DE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9.1 </w:t>
                                  </w:r>
                                </w:p>
                              </w:tc>
                              <w:tc>
                                <w:tcPr>
                                  <w:tcW w:w="612" w:type="dxa"/>
                                  <w:tcBorders>
                                    <w:left w:val="single" w:sz="4" w:space="0" w:color="000000"/>
                                    <w:right w:val="single" w:sz="4" w:space="0" w:color="000000"/>
                                  </w:tcBorders>
                                  <w:vAlign w:val="center"/>
                                </w:tcPr>
                                <w:p w14:paraId="36DD2D5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 </w:t>
                                  </w:r>
                                </w:p>
                              </w:tc>
                              <w:tc>
                                <w:tcPr>
                                  <w:tcW w:w="605" w:type="dxa"/>
                                  <w:tcBorders>
                                    <w:left w:val="single" w:sz="4" w:space="0" w:color="000000"/>
                                    <w:right w:val="single" w:sz="4" w:space="0" w:color="000000"/>
                                  </w:tcBorders>
                                  <w:vAlign w:val="center"/>
                                </w:tcPr>
                                <w:p w14:paraId="5E20888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18.9 </w:t>
                                  </w:r>
                                </w:p>
                              </w:tc>
                              <w:tc>
                                <w:tcPr>
                                  <w:tcW w:w="600" w:type="dxa"/>
                                  <w:tcBorders>
                                    <w:left w:val="single" w:sz="4" w:space="0" w:color="000000"/>
                                    <w:right w:val="single" w:sz="4" w:space="0" w:color="000000"/>
                                  </w:tcBorders>
                                  <w:vAlign w:val="center"/>
                                </w:tcPr>
                                <w:p w14:paraId="2123099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26.9 </w:t>
                                  </w:r>
                                </w:p>
                              </w:tc>
                              <w:tc>
                                <w:tcPr>
                                  <w:tcW w:w="605" w:type="dxa"/>
                                  <w:tcBorders>
                                    <w:left w:val="single" w:sz="4" w:space="0" w:color="000000"/>
                                    <w:right w:val="single" w:sz="4" w:space="0" w:color="000000"/>
                                  </w:tcBorders>
                                  <w:vAlign w:val="center"/>
                                </w:tcPr>
                                <w:p w14:paraId="583408E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33.3 </w:t>
                                  </w:r>
                                </w:p>
                              </w:tc>
                              <w:tc>
                                <w:tcPr>
                                  <w:tcW w:w="610" w:type="dxa"/>
                                  <w:tcBorders>
                                    <w:left w:val="single" w:sz="4" w:space="0" w:color="000000"/>
                                    <w:right w:val="single" w:sz="4" w:space="0" w:color="030407"/>
                                  </w:tcBorders>
                                  <w:vAlign w:val="center"/>
                                </w:tcPr>
                                <w:p w14:paraId="5F4642F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39.7 </w:t>
                                  </w:r>
                                </w:p>
                              </w:tc>
                            </w:tr>
                            <w:tr w:rsidR="00541A14" w14:paraId="65BF293C" w14:textId="77777777">
                              <w:trPr>
                                <w:trHeight w:val="151"/>
                              </w:trPr>
                              <w:tc>
                                <w:tcPr>
                                  <w:tcW w:w="2127" w:type="dxa"/>
                                  <w:tcBorders>
                                    <w:left w:val="single" w:sz="4" w:space="0" w:color="030407"/>
                                    <w:right w:val="single" w:sz="4" w:space="0" w:color="07070D"/>
                                  </w:tcBorders>
                                  <w:shd w:val="clear" w:color="auto" w:fill="E8E7F3"/>
                                  <w:vAlign w:val="center"/>
                                </w:tcPr>
                                <w:p w14:paraId="6AE7202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10 </w:t>
                                  </w:r>
                                </w:p>
                              </w:tc>
                              <w:tc>
                                <w:tcPr>
                                  <w:tcW w:w="665" w:type="dxa"/>
                                  <w:tcBorders>
                                    <w:left w:val="single" w:sz="4" w:space="0" w:color="07070D"/>
                                    <w:right w:val="single" w:sz="4" w:space="0" w:color="000000"/>
                                  </w:tcBorders>
                                  <w:shd w:val="clear" w:color="auto" w:fill="E8E7F3"/>
                                  <w:vAlign w:val="center"/>
                                </w:tcPr>
                                <w:p w14:paraId="3FCA5C87"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6.4 </w:t>
                                  </w:r>
                                </w:p>
                              </w:tc>
                              <w:tc>
                                <w:tcPr>
                                  <w:tcW w:w="657" w:type="dxa"/>
                                  <w:tcBorders>
                                    <w:left w:val="single" w:sz="4" w:space="0" w:color="000000"/>
                                    <w:right w:val="single" w:sz="4" w:space="0" w:color="000000"/>
                                  </w:tcBorders>
                                  <w:shd w:val="clear" w:color="auto" w:fill="E8E7F3"/>
                                  <w:vAlign w:val="center"/>
                                </w:tcPr>
                                <w:p w14:paraId="514C7C63"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8.5 </w:t>
                                  </w:r>
                                </w:p>
                              </w:tc>
                              <w:tc>
                                <w:tcPr>
                                  <w:tcW w:w="680" w:type="dxa"/>
                                  <w:tcBorders>
                                    <w:left w:val="single" w:sz="4" w:space="0" w:color="000000"/>
                                    <w:right w:val="single" w:sz="4" w:space="0" w:color="000000"/>
                                  </w:tcBorders>
                                  <w:shd w:val="clear" w:color="auto" w:fill="E8E7F3"/>
                                  <w:vAlign w:val="center"/>
                                </w:tcPr>
                                <w:p w14:paraId="7E4CB788"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9.3 </w:t>
                                  </w:r>
                                </w:p>
                              </w:tc>
                              <w:tc>
                                <w:tcPr>
                                  <w:tcW w:w="680" w:type="dxa"/>
                                  <w:tcBorders>
                                    <w:left w:val="single" w:sz="4" w:space="0" w:color="000000"/>
                                    <w:right w:val="single" w:sz="4" w:space="0" w:color="000000"/>
                                  </w:tcBorders>
                                  <w:shd w:val="clear" w:color="auto" w:fill="E8E7F3"/>
                                  <w:vAlign w:val="center"/>
                                </w:tcPr>
                                <w:p w14:paraId="6029C6E1"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9.9 </w:t>
                                  </w:r>
                                </w:p>
                              </w:tc>
                              <w:tc>
                                <w:tcPr>
                                  <w:tcW w:w="645" w:type="dxa"/>
                                  <w:tcBorders>
                                    <w:left w:val="single" w:sz="4" w:space="0" w:color="000000"/>
                                    <w:right w:val="single" w:sz="4" w:space="0" w:color="000000"/>
                                  </w:tcBorders>
                                  <w:shd w:val="clear" w:color="auto" w:fill="E8E7F3"/>
                                  <w:vAlign w:val="center"/>
                                </w:tcPr>
                                <w:p w14:paraId="3DBF83EC"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10.5 </w:t>
                                  </w:r>
                                </w:p>
                              </w:tc>
                              <w:tc>
                                <w:tcPr>
                                  <w:tcW w:w="605" w:type="dxa"/>
                                  <w:tcBorders>
                                    <w:left w:val="single" w:sz="4" w:space="0" w:color="000000"/>
                                    <w:right w:val="single" w:sz="4" w:space="0" w:color="000000"/>
                                  </w:tcBorders>
                                  <w:shd w:val="clear" w:color="auto" w:fill="E8E7F3"/>
                                  <w:vAlign w:val="center"/>
                                </w:tcPr>
                                <w:p w14:paraId="7734DAE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 </w:t>
                                  </w:r>
                                </w:p>
                              </w:tc>
                              <w:tc>
                                <w:tcPr>
                                  <w:tcW w:w="612" w:type="dxa"/>
                                  <w:tcBorders>
                                    <w:left w:val="single" w:sz="4" w:space="0" w:color="000000"/>
                                    <w:right w:val="single" w:sz="4" w:space="0" w:color="000000"/>
                                  </w:tcBorders>
                                  <w:shd w:val="clear" w:color="auto" w:fill="E8E7F3"/>
                                  <w:vAlign w:val="center"/>
                                </w:tcPr>
                                <w:p w14:paraId="41BFF9B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12.8 </w:t>
                                  </w:r>
                                </w:p>
                              </w:tc>
                              <w:tc>
                                <w:tcPr>
                                  <w:tcW w:w="605" w:type="dxa"/>
                                  <w:tcBorders>
                                    <w:left w:val="single" w:sz="4" w:space="0" w:color="000000"/>
                                    <w:right w:val="single" w:sz="4" w:space="0" w:color="000000"/>
                                  </w:tcBorders>
                                  <w:shd w:val="clear" w:color="auto" w:fill="E8E7F3"/>
                                  <w:vAlign w:val="center"/>
                                </w:tcPr>
                                <w:p w14:paraId="7CDC855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20.8 </w:t>
                                  </w:r>
                                </w:p>
                              </w:tc>
                              <w:tc>
                                <w:tcPr>
                                  <w:tcW w:w="600" w:type="dxa"/>
                                  <w:tcBorders>
                                    <w:left w:val="single" w:sz="4" w:space="0" w:color="000000"/>
                                    <w:right w:val="single" w:sz="4" w:space="0" w:color="000000"/>
                                  </w:tcBorders>
                                  <w:shd w:val="clear" w:color="auto" w:fill="E8E7F3"/>
                                  <w:vAlign w:val="center"/>
                                </w:tcPr>
                                <w:p w14:paraId="32F3ADC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26.7 </w:t>
                                  </w:r>
                                </w:p>
                              </w:tc>
                              <w:tc>
                                <w:tcPr>
                                  <w:tcW w:w="605" w:type="dxa"/>
                                  <w:tcBorders>
                                    <w:left w:val="single" w:sz="4" w:space="0" w:color="000000"/>
                                    <w:right w:val="single" w:sz="4" w:space="0" w:color="000000"/>
                                  </w:tcBorders>
                                  <w:shd w:val="clear" w:color="auto" w:fill="E8E7F3"/>
                                  <w:vAlign w:val="center"/>
                                </w:tcPr>
                                <w:p w14:paraId="495F53A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35.1 </w:t>
                                  </w:r>
                                </w:p>
                              </w:tc>
                              <w:tc>
                                <w:tcPr>
                                  <w:tcW w:w="610" w:type="dxa"/>
                                  <w:tcBorders>
                                    <w:left w:val="single" w:sz="4" w:space="0" w:color="000000"/>
                                    <w:right w:val="single" w:sz="4" w:space="0" w:color="030407"/>
                                  </w:tcBorders>
                                  <w:shd w:val="clear" w:color="auto" w:fill="E8E7F3"/>
                                  <w:vAlign w:val="center"/>
                                </w:tcPr>
                                <w:p w14:paraId="6918569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41.6 </w:t>
                                  </w:r>
                                </w:p>
                              </w:tc>
                            </w:tr>
                            <w:tr w:rsidR="00541A14" w14:paraId="62539421" w14:textId="77777777">
                              <w:trPr>
                                <w:trHeight w:val="151"/>
                              </w:trPr>
                              <w:tc>
                                <w:tcPr>
                                  <w:tcW w:w="2127" w:type="dxa"/>
                                  <w:tcBorders>
                                    <w:left w:val="single" w:sz="4" w:space="0" w:color="030407"/>
                                    <w:right w:val="single" w:sz="4" w:space="0" w:color="07070D"/>
                                  </w:tcBorders>
                                  <w:vAlign w:val="center"/>
                                </w:tcPr>
                                <w:p w14:paraId="719DD41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20 </w:t>
                                  </w:r>
                                </w:p>
                              </w:tc>
                              <w:tc>
                                <w:tcPr>
                                  <w:tcW w:w="665" w:type="dxa"/>
                                  <w:tcBorders>
                                    <w:left w:val="single" w:sz="4" w:space="0" w:color="07070D"/>
                                    <w:right w:val="single" w:sz="4" w:space="0" w:color="000000"/>
                                  </w:tcBorders>
                                  <w:vAlign w:val="center"/>
                                </w:tcPr>
                                <w:p w14:paraId="4EDE4268"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9.1 </w:t>
                                  </w:r>
                                </w:p>
                              </w:tc>
                              <w:tc>
                                <w:tcPr>
                                  <w:tcW w:w="657" w:type="dxa"/>
                                  <w:tcBorders>
                                    <w:left w:val="single" w:sz="4" w:space="0" w:color="000000"/>
                                    <w:right w:val="single" w:sz="4" w:space="0" w:color="000000"/>
                                  </w:tcBorders>
                                  <w:vAlign w:val="center"/>
                                </w:tcPr>
                                <w:p w14:paraId="3FA677B5"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11.1 </w:t>
                                  </w:r>
                                </w:p>
                              </w:tc>
                              <w:tc>
                                <w:tcPr>
                                  <w:tcW w:w="680" w:type="dxa"/>
                                  <w:tcBorders>
                                    <w:left w:val="single" w:sz="4" w:space="0" w:color="000000"/>
                                    <w:right w:val="single" w:sz="4" w:space="0" w:color="000000"/>
                                  </w:tcBorders>
                                  <w:vAlign w:val="center"/>
                                </w:tcPr>
                                <w:p w14:paraId="704B321E"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12.0 </w:t>
                                  </w:r>
                                </w:p>
                              </w:tc>
                              <w:tc>
                                <w:tcPr>
                                  <w:tcW w:w="680" w:type="dxa"/>
                                  <w:tcBorders>
                                    <w:left w:val="single" w:sz="4" w:space="0" w:color="000000"/>
                                    <w:right w:val="single" w:sz="4" w:space="0" w:color="000000"/>
                                  </w:tcBorders>
                                  <w:vAlign w:val="center"/>
                                </w:tcPr>
                                <w:p w14:paraId="0FCEA129"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12.6 </w:t>
                                  </w:r>
                                </w:p>
                              </w:tc>
                              <w:tc>
                                <w:tcPr>
                                  <w:tcW w:w="645" w:type="dxa"/>
                                  <w:tcBorders>
                                    <w:left w:val="single" w:sz="4" w:space="0" w:color="000000"/>
                                    <w:right w:val="single" w:sz="4" w:space="0" w:color="000000"/>
                                  </w:tcBorders>
                                  <w:vAlign w:val="center"/>
                                </w:tcPr>
                                <w:p w14:paraId="050969E8"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13.1 </w:t>
                                  </w:r>
                                </w:p>
                              </w:tc>
                              <w:tc>
                                <w:tcPr>
                                  <w:tcW w:w="605" w:type="dxa"/>
                                  <w:tcBorders>
                                    <w:left w:val="single" w:sz="4" w:space="0" w:color="000000"/>
                                    <w:right w:val="single" w:sz="4" w:space="0" w:color="000000"/>
                                  </w:tcBorders>
                                  <w:vAlign w:val="center"/>
                                </w:tcPr>
                                <w:p w14:paraId="55308BB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13.6 </w:t>
                                  </w:r>
                                </w:p>
                              </w:tc>
                              <w:tc>
                                <w:tcPr>
                                  <w:tcW w:w="612" w:type="dxa"/>
                                  <w:tcBorders>
                                    <w:left w:val="single" w:sz="4" w:space="0" w:color="000000"/>
                                    <w:right w:val="single" w:sz="4" w:space="0" w:color="000000"/>
                                  </w:tcBorders>
                                  <w:vAlign w:val="center"/>
                                </w:tcPr>
                                <w:p w14:paraId="426E0D8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15.5 </w:t>
                                  </w:r>
                                </w:p>
                              </w:tc>
                              <w:tc>
                                <w:tcPr>
                                  <w:tcW w:w="605" w:type="dxa"/>
                                  <w:tcBorders>
                                    <w:left w:val="single" w:sz="4" w:space="0" w:color="000000"/>
                                    <w:right w:val="single" w:sz="4" w:space="0" w:color="000000"/>
                                  </w:tcBorders>
                                  <w:vAlign w:val="center"/>
                                </w:tcPr>
                                <w:p w14:paraId="1308F60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23.4 </w:t>
                                  </w:r>
                                </w:p>
                              </w:tc>
                              <w:tc>
                                <w:tcPr>
                                  <w:tcW w:w="600" w:type="dxa"/>
                                  <w:tcBorders>
                                    <w:left w:val="single" w:sz="4" w:space="0" w:color="000000"/>
                                    <w:right w:val="single" w:sz="4" w:space="0" w:color="000000"/>
                                  </w:tcBorders>
                                  <w:vAlign w:val="center"/>
                                </w:tcPr>
                                <w:p w14:paraId="59D2BD5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29.4 </w:t>
                                  </w:r>
                                </w:p>
                              </w:tc>
                              <w:tc>
                                <w:tcPr>
                                  <w:tcW w:w="605" w:type="dxa"/>
                                  <w:tcBorders>
                                    <w:left w:val="single" w:sz="4" w:space="0" w:color="000000"/>
                                    <w:right w:val="single" w:sz="4" w:space="0" w:color="000000"/>
                                  </w:tcBorders>
                                  <w:vAlign w:val="center"/>
                                </w:tcPr>
                                <w:p w14:paraId="04B75E5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37.8 </w:t>
                                  </w:r>
                                </w:p>
                              </w:tc>
                              <w:tc>
                                <w:tcPr>
                                  <w:tcW w:w="610" w:type="dxa"/>
                                  <w:tcBorders>
                                    <w:left w:val="single" w:sz="4" w:space="0" w:color="000000"/>
                                    <w:right w:val="single" w:sz="4" w:space="0" w:color="030407"/>
                                  </w:tcBorders>
                                  <w:vAlign w:val="center"/>
                                </w:tcPr>
                                <w:p w14:paraId="09AA38D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44.2 </w:t>
                                  </w:r>
                                </w:p>
                              </w:tc>
                            </w:tr>
                            <w:tr w:rsidR="00541A14" w14:paraId="2B56042B" w14:textId="77777777">
                              <w:trPr>
                                <w:trHeight w:val="152"/>
                              </w:trPr>
                              <w:tc>
                                <w:tcPr>
                                  <w:tcW w:w="2127" w:type="dxa"/>
                                  <w:tcBorders>
                                    <w:left w:val="single" w:sz="4" w:space="0" w:color="030407"/>
                                    <w:bottom w:val="single" w:sz="4" w:space="0" w:color="000000"/>
                                    <w:right w:val="single" w:sz="4" w:space="0" w:color="07070D"/>
                                  </w:tcBorders>
                                  <w:shd w:val="clear" w:color="auto" w:fill="E8E7F3"/>
                                  <w:vAlign w:val="center"/>
                                </w:tcPr>
                                <w:p w14:paraId="3B6691C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30 </w:t>
                                  </w:r>
                                </w:p>
                              </w:tc>
                              <w:tc>
                                <w:tcPr>
                                  <w:tcW w:w="665" w:type="dxa"/>
                                  <w:tcBorders>
                                    <w:left w:val="single" w:sz="4" w:space="0" w:color="07070D"/>
                                    <w:bottom w:val="single" w:sz="4" w:space="0" w:color="000000"/>
                                    <w:right w:val="single" w:sz="4" w:space="0" w:color="000000"/>
                                  </w:tcBorders>
                                  <w:shd w:val="clear" w:color="auto" w:fill="E8E7F3"/>
                                  <w:vAlign w:val="center"/>
                                </w:tcPr>
                                <w:p w14:paraId="68F34653"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11.1 </w:t>
                                  </w:r>
                                </w:p>
                              </w:tc>
                              <w:tc>
                                <w:tcPr>
                                  <w:tcW w:w="657" w:type="dxa"/>
                                  <w:tcBorders>
                                    <w:left w:val="single" w:sz="4" w:space="0" w:color="000000"/>
                                    <w:bottom w:val="single" w:sz="4" w:space="0" w:color="000000"/>
                                    <w:right w:val="single" w:sz="4" w:space="0" w:color="000000"/>
                                  </w:tcBorders>
                                  <w:shd w:val="clear" w:color="auto" w:fill="E8E7F3"/>
                                  <w:vAlign w:val="center"/>
                                </w:tcPr>
                                <w:p w14:paraId="57DDBF7C"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680" w:type="dxa"/>
                                  <w:tcBorders>
                                    <w:left w:val="single" w:sz="4" w:space="0" w:color="000000"/>
                                    <w:bottom w:val="single" w:sz="4" w:space="0" w:color="000000"/>
                                    <w:right w:val="single" w:sz="4" w:space="0" w:color="000000"/>
                                  </w:tcBorders>
                                  <w:shd w:val="clear" w:color="auto" w:fill="E8E7F3"/>
                                  <w:vAlign w:val="center"/>
                                </w:tcPr>
                                <w:p w14:paraId="7107D003"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14.0 </w:t>
                                  </w:r>
                                </w:p>
                              </w:tc>
                              <w:tc>
                                <w:tcPr>
                                  <w:tcW w:w="680" w:type="dxa"/>
                                  <w:tcBorders>
                                    <w:left w:val="single" w:sz="4" w:space="0" w:color="000000"/>
                                    <w:bottom w:val="single" w:sz="4" w:space="0" w:color="000000"/>
                                    <w:right w:val="single" w:sz="4" w:space="0" w:color="000000"/>
                                  </w:tcBorders>
                                  <w:shd w:val="clear" w:color="auto" w:fill="E8E7F3"/>
                                  <w:vAlign w:val="center"/>
                                </w:tcPr>
                                <w:p w14:paraId="53C3E65E"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14.6 </w:t>
                                  </w:r>
                                </w:p>
                              </w:tc>
                              <w:tc>
                                <w:tcPr>
                                  <w:tcW w:w="645" w:type="dxa"/>
                                  <w:tcBorders>
                                    <w:left w:val="single" w:sz="4" w:space="0" w:color="000000"/>
                                    <w:bottom w:val="single" w:sz="4" w:space="0" w:color="000000"/>
                                    <w:right w:val="single" w:sz="4" w:space="0" w:color="000000"/>
                                  </w:tcBorders>
                                  <w:shd w:val="clear" w:color="auto" w:fill="E8E7F3"/>
                                  <w:vAlign w:val="center"/>
                                </w:tcPr>
                                <w:p w14:paraId="1D6997EA" w14:textId="77777777" w:rsidR="00541A14"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15.2 </w:t>
                                  </w:r>
                                </w:p>
                              </w:tc>
                              <w:tc>
                                <w:tcPr>
                                  <w:tcW w:w="605" w:type="dxa"/>
                                  <w:tcBorders>
                                    <w:left w:val="single" w:sz="4" w:space="0" w:color="000000"/>
                                    <w:bottom w:val="single" w:sz="4" w:space="0" w:color="000000"/>
                                    <w:right w:val="single" w:sz="4" w:space="0" w:color="000000"/>
                                  </w:tcBorders>
                                  <w:shd w:val="clear" w:color="auto" w:fill="E8E7F3"/>
                                  <w:vAlign w:val="center"/>
                                </w:tcPr>
                                <w:p w14:paraId="76F5B7D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15.7 </w:t>
                                  </w:r>
                                </w:p>
                              </w:tc>
                              <w:tc>
                                <w:tcPr>
                                  <w:tcW w:w="612" w:type="dxa"/>
                                  <w:tcBorders>
                                    <w:left w:val="single" w:sz="4" w:space="0" w:color="000000"/>
                                    <w:bottom w:val="single" w:sz="4" w:space="0" w:color="000000"/>
                                    <w:right w:val="single" w:sz="4" w:space="0" w:color="000000"/>
                                  </w:tcBorders>
                                  <w:shd w:val="clear" w:color="auto" w:fill="E8E7F3"/>
                                  <w:vAlign w:val="center"/>
                                </w:tcPr>
                                <w:p w14:paraId="4B9A5FB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17.5 </w:t>
                                  </w:r>
                                </w:p>
                              </w:tc>
                              <w:tc>
                                <w:tcPr>
                                  <w:tcW w:w="605" w:type="dxa"/>
                                  <w:tcBorders>
                                    <w:left w:val="single" w:sz="4" w:space="0" w:color="000000"/>
                                    <w:bottom w:val="single" w:sz="4" w:space="0" w:color="000000"/>
                                    <w:right w:val="single" w:sz="4" w:space="0" w:color="000000"/>
                                  </w:tcBorders>
                                  <w:shd w:val="clear" w:color="auto" w:fill="E8E7F3"/>
                                  <w:vAlign w:val="center"/>
                                </w:tcPr>
                                <w:p w14:paraId="7C55BFC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25.5 </w:t>
                                  </w:r>
                                </w:p>
                              </w:tc>
                              <w:tc>
                                <w:tcPr>
                                  <w:tcW w:w="600" w:type="dxa"/>
                                  <w:tcBorders>
                                    <w:left w:val="single" w:sz="4" w:space="0" w:color="000000"/>
                                    <w:bottom w:val="single" w:sz="4" w:space="0" w:color="000000"/>
                                    <w:right w:val="single" w:sz="4" w:space="0" w:color="000000"/>
                                  </w:tcBorders>
                                  <w:shd w:val="clear" w:color="auto" w:fill="E8E7F3"/>
                                  <w:vAlign w:val="center"/>
                                </w:tcPr>
                                <w:p w14:paraId="00AAEAC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31.4 </w:t>
                                  </w:r>
                                </w:p>
                              </w:tc>
                              <w:tc>
                                <w:tcPr>
                                  <w:tcW w:w="605" w:type="dxa"/>
                                  <w:tcBorders>
                                    <w:left w:val="single" w:sz="4" w:space="0" w:color="000000"/>
                                    <w:bottom w:val="single" w:sz="4" w:space="0" w:color="000000"/>
                                    <w:right w:val="single" w:sz="4" w:space="0" w:color="000000"/>
                                  </w:tcBorders>
                                  <w:shd w:val="clear" w:color="auto" w:fill="E8E7F3"/>
                                  <w:vAlign w:val="center"/>
                                </w:tcPr>
                                <w:p w14:paraId="37FE3BE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39.8 </w:t>
                                  </w:r>
                                </w:p>
                              </w:tc>
                              <w:tc>
                                <w:tcPr>
                                  <w:tcW w:w="610" w:type="dxa"/>
                                  <w:tcBorders>
                                    <w:left w:val="single" w:sz="4" w:space="0" w:color="000000"/>
                                    <w:bottom w:val="single" w:sz="4" w:space="0" w:color="000000"/>
                                    <w:right w:val="single" w:sz="4" w:space="0" w:color="030407"/>
                                  </w:tcBorders>
                                  <w:shd w:val="clear" w:color="auto" w:fill="E8E7F3"/>
                                  <w:vAlign w:val="center"/>
                                </w:tcPr>
                                <w:p w14:paraId="2F4CAB5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46.3 </w:t>
                                  </w:r>
                                </w:p>
                              </w:tc>
                            </w:tr>
                          </w:tbl>
                          <w:p w14:paraId="265F99EC"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30" type="#_x0000_t202" style="position:absolute;margin-left:70.85pt;margin-top:479.35pt;width:494.55pt;height:172.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32"/>
                        <w:gridCol w:w="473"/>
                        <w:gridCol w:w="115"/>
                        <w:gridCol w:w="42"/>
                        <w:gridCol w:w="33"/>
                        <w:gridCol w:w="120"/>
                        <w:gridCol w:w="182"/>
                        <w:gridCol w:w="5"/>
                        <w:gridCol w:w="28"/>
                        <w:gridCol w:w="70"/>
                        <w:gridCol w:w="65"/>
                        <w:gridCol w:w="87"/>
                        <w:gridCol w:w="30"/>
                        <w:gridCol w:w="50"/>
                        <w:gridCol w:w="10"/>
                        <w:gridCol w:w="110"/>
                        <w:gridCol w:w="15"/>
                        <w:gridCol w:w="55"/>
                        <w:gridCol w:w="20"/>
                        <w:gridCol w:w="50"/>
                        <w:gridCol w:w="50"/>
                        <w:gridCol w:w="60"/>
                        <w:gridCol w:w="58"/>
                        <w:gridCol w:w="95"/>
                        <w:gridCol w:w="2"/>
                        <w:gridCol w:w="33"/>
                        <w:gridCol w:w="155"/>
                        <w:gridCol w:w="20"/>
                        <w:gridCol w:w="129"/>
                        <w:gridCol w:w="68"/>
                        <w:gridCol w:w="105"/>
                        <w:gridCol w:w="7"/>
                        <w:gridCol w:w="5"/>
                        <w:gridCol w:w="65"/>
                        <w:gridCol w:w="58"/>
                        <w:gridCol w:w="22"/>
                        <w:gridCol w:w="8"/>
                        <w:gridCol w:w="7"/>
                        <w:gridCol w:w="73"/>
                        <w:gridCol w:w="120"/>
                        <w:gridCol w:w="72"/>
                        <w:gridCol w:w="220"/>
                        <w:gridCol w:w="15"/>
                        <w:gridCol w:w="5"/>
                        <w:gridCol w:w="60"/>
                        <w:gridCol w:w="237"/>
                        <w:gridCol w:w="38"/>
                        <w:gridCol w:w="15"/>
                        <w:gridCol w:w="25"/>
                        <w:gridCol w:w="50"/>
                        <w:gridCol w:w="103"/>
                        <w:gridCol w:w="33"/>
                        <w:gridCol w:w="99"/>
                        <w:gridCol w:w="135"/>
                        <w:gridCol w:w="5"/>
                        <w:gridCol w:w="5"/>
                        <w:gridCol w:w="12"/>
                        <w:gridCol w:w="47"/>
                        <w:gridCol w:w="168"/>
                        <w:gridCol w:w="48"/>
                        <w:gridCol w:w="4"/>
                        <w:gridCol w:w="110"/>
                        <w:gridCol w:w="12"/>
                        <w:gridCol w:w="108"/>
                        <w:gridCol w:w="4"/>
                        <w:gridCol w:w="22"/>
                        <w:gridCol w:w="47"/>
                        <w:gridCol w:w="123"/>
                        <w:gridCol w:w="170"/>
                        <w:gridCol w:w="30"/>
                        <w:gridCol w:w="18"/>
                        <w:gridCol w:w="89"/>
                        <w:gridCol w:w="47"/>
                        <w:gridCol w:w="121"/>
                        <w:gridCol w:w="45"/>
                        <w:gridCol w:w="189"/>
                        <w:gridCol w:w="10"/>
                        <w:gridCol w:w="207"/>
                        <w:gridCol w:w="86"/>
                        <w:gridCol w:w="70"/>
                        <w:gridCol w:w="8"/>
                        <w:gridCol w:w="78"/>
                        <w:gridCol w:w="75"/>
                        <w:gridCol w:w="77"/>
                        <w:gridCol w:w="122"/>
                        <w:gridCol w:w="157"/>
                        <w:gridCol w:w="95"/>
                        <w:gridCol w:w="88"/>
                        <w:gridCol w:w="55"/>
                        <w:gridCol w:w="2"/>
                        <w:gridCol w:w="283"/>
                        <w:gridCol w:w="177"/>
                        <w:gridCol w:w="77"/>
                        <w:gridCol w:w="76"/>
                        <w:gridCol w:w="119"/>
                        <w:gridCol w:w="23"/>
                        <w:gridCol w:w="144"/>
                        <w:gridCol w:w="161"/>
                        <w:gridCol w:w="605"/>
                        <w:gridCol w:w="176"/>
                        <w:gridCol w:w="161"/>
                        <w:gridCol w:w="173"/>
                        <w:gridCol w:w="71"/>
                        <w:gridCol w:w="6"/>
                        <w:gridCol w:w="13"/>
                        <w:gridCol w:w="2"/>
                        <w:gridCol w:w="8"/>
                        <w:gridCol w:w="76"/>
                        <w:gridCol w:w="1845"/>
                        <w:gridCol w:w="345"/>
                        <w:gridCol w:w="47"/>
                        <w:gridCol w:w="1670"/>
                        <w:gridCol w:w="13"/>
                      </w:tblGrid>
                      <w:tr w:rsidR="00000000" w14:paraId="604522F3" w14:textId="77777777">
                        <w:tblPrEx>
                          <w:tblCellMar>
                            <w:top w:w="0" w:type="dxa"/>
                            <w:bottom w:w="0" w:type="dxa"/>
                          </w:tblCellMar>
                        </w:tblPrEx>
                        <w:trPr>
                          <w:gridAfter w:val="6"/>
                          <w:wAfter w:w="1996" w:type="dxa"/>
                          <w:trHeight w:val="155"/>
                        </w:trPr>
                        <w:tc>
                          <w:tcPr>
                            <w:tcW w:w="2127" w:type="dxa"/>
                            <w:gridSpan w:val="23"/>
                            <w:tcBorders>
                              <w:top w:val="single" w:sz="4" w:space="0" w:color="0E0F1A"/>
                              <w:left w:val="single" w:sz="4" w:space="0" w:color="030407"/>
                            </w:tcBorders>
                            <w:shd w:val="clear" w:color="auto" w:fill="5E64A8"/>
                          </w:tcPr>
                          <w:p w14:paraId="13576C85" w14:textId="77777777" w:rsidR="00000000" w:rsidRDefault="00A450E1">
                            <w:pPr>
                              <w:pStyle w:val="Default"/>
                              <w:jc w:val="center"/>
                              <w:rPr>
                                <w:rFonts w:cs="Times New Roman"/>
                                <w:color w:val="auto"/>
                              </w:rPr>
                            </w:pPr>
                          </w:p>
                        </w:tc>
                        <w:tc>
                          <w:tcPr>
                            <w:tcW w:w="665" w:type="dxa"/>
                            <w:gridSpan w:val="9"/>
                            <w:tcBorders>
                              <w:top w:val="single" w:sz="4" w:space="0" w:color="0E0F1A"/>
                            </w:tcBorders>
                            <w:shd w:val="clear" w:color="auto" w:fill="5E64A8"/>
                          </w:tcPr>
                          <w:p w14:paraId="1BEAF6AC" w14:textId="77777777" w:rsidR="00000000" w:rsidRDefault="00A450E1">
                            <w:pPr>
                              <w:pStyle w:val="Default"/>
                              <w:jc w:val="right"/>
                              <w:rPr>
                                <w:rFonts w:cs="Times New Roman"/>
                                <w:color w:val="auto"/>
                              </w:rPr>
                            </w:pPr>
                          </w:p>
                        </w:tc>
                        <w:tc>
                          <w:tcPr>
                            <w:tcW w:w="4482" w:type="dxa"/>
                            <w:gridSpan w:val="61"/>
                            <w:tcBorders>
                              <w:top w:val="single" w:sz="4" w:space="0" w:color="0E0F1A"/>
                            </w:tcBorders>
                            <w:shd w:val="clear" w:color="auto" w:fill="5E64A8"/>
                            <w:vAlign w:val="center"/>
                          </w:tcPr>
                          <w:p w14:paraId="2005DB7C" w14:textId="77777777" w:rsidR="00000000" w:rsidRDefault="00A450E1">
                            <w:pPr>
                              <w:pStyle w:val="Default"/>
                              <w:jc w:val="righ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Geographical Range in Nautical Miles </w:t>
                            </w:r>
                          </w:p>
                        </w:tc>
                        <w:tc>
                          <w:tcPr>
                            <w:tcW w:w="600" w:type="dxa"/>
                            <w:gridSpan w:val="6"/>
                            <w:tcBorders>
                              <w:top w:val="single" w:sz="4" w:space="0" w:color="0E0F1A"/>
                            </w:tcBorders>
                            <w:shd w:val="clear" w:color="auto" w:fill="5E64A8"/>
                          </w:tcPr>
                          <w:p w14:paraId="1BC1E3F7" w14:textId="77777777" w:rsidR="00000000" w:rsidRDefault="00A450E1">
                            <w:pPr>
                              <w:pStyle w:val="Default"/>
                              <w:jc w:val="right"/>
                              <w:rPr>
                                <w:rFonts w:cs="Times New Roman"/>
                                <w:color w:val="auto"/>
                              </w:rPr>
                            </w:pPr>
                          </w:p>
                        </w:tc>
                        <w:tc>
                          <w:tcPr>
                            <w:tcW w:w="605" w:type="dxa"/>
                            <w:tcBorders>
                              <w:top w:val="single" w:sz="4" w:space="0" w:color="0E0F1A"/>
                            </w:tcBorders>
                            <w:shd w:val="clear" w:color="auto" w:fill="5E64A8"/>
                          </w:tcPr>
                          <w:p w14:paraId="78532BE1" w14:textId="77777777" w:rsidR="00000000" w:rsidRDefault="00A450E1">
                            <w:pPr>
                              <w:pStyle w:val="Default"/>
                              <w:jc w:val="right"/>
                              <w:rPr>
                                <w:rFonts w:cs="Times New Roman"/>
                                <w:color w:val="auto"/>
                              </w:rPr>
                            </w:pPr>
                          </w:p>
                        </w:tc>
                        <w:tc>
                          <w:tcPr>
                            <w:tcW w:w="610" w:type="dxa"/>
                            <w:gridSpan w:val="8"/>
                            <w:tcBorders>
                              <w:top w:val="single" w:sz="4" w:space="0" w:color="0E0F1A"/>
                              <w:right w:val="single" w:sz="4" w:space="0" w:color="030407"/>
                            </w:tcBorders>
                            <w:shd w:val="clear" w:color="auto" w:fill="5E64A8"/>
                          </w:tcPr>
                          <w:p w14:paraId="29C75CF0" w14:textId="77777777" w:rsidR="00000000" w:rsidRDefault="00A450E1">
                            <w:pPr>
                              <w:pStyle w:val="Default"/>
                              <w:jc w:val="right"/>
                              <w:rPr>
                                <w:rFonts w:cs="Times New Roman"/>
                                <w:color w:val="auto"/>
                              </w:rPr>
                            </w:pPr>
                          </w:p>
                        </w:tc>
                      </w:tr>
                      <w:tr w:rsidR="00000000" w14:paraId="24EAB0A2" w14:textId="77777777">
                        <w:tblPrEx>
                          <w:tblCellMar>
                            <w:top w:w="0" w:type="dxa"/>
                            <w:bottom w:w="0" w:type="dxa"/>
                          </w:tblCellMar>
                        </w:tblPrEx>
                        <w:trPr>
                          <w:gridAfter w:val="6"/>
                          <w:wAfter w:w="1996" w:type="dxa"/>
                          <w:trHeight w:val="257"/>
                        </w:trPr>
                        <w:tc>
                          <w:tcPr>
                            <w:tcW w:w="2127" w:type="dxa"/>
                            <w:gridSpan w:val="23"/>
                            <w:tcBorders>
                              <w:left w:val="single" w:sz="4" w:space="0" w:color="030407"/>
                              <w:right w:val="single" w:sz="4" w:space="0" w:color="07070D"/>
                            </w:tcBorders>
                            <w:shd w:val="clear" w:color="auto" w:fill="5E64A8"/>
                            <w:vAlign w:val="center"/>
                          </w:tcPr>
                          <w:p w14:paraId="575AB438" w14:textId="77777777" w:rsidR="00000000" w:rsidRDefault="00A450E1">
                            <w:pPr>
                              <w:pStyle w:val="Default"/>
                              <w:jc w:val="center"/>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Observer eye height metres </w:t>
                            </w:r>
                          </w:p>
                        </w:tc>
                        <w:tc>
                          <w:tcPr>
                            <w:tcW w:w="665" w:type="dxa"/>
                            <w:gridSpan w:val="9"/>
                            <w:tcBorders>
                              <w:left w:val="single" w:sz="4" w:space="0" w:color="07070D"/>
                            </w:tcBorders>
                            <w:shd w:val="clear" w:color="auto" w:fill="5E64A8"/>
                          </w:tcPr>
                          <w:p w14:paraId="4DC0B06B" w14:textId="77777777" w:rsidR="00000000" w:rsidRDefault="00A450E1">
                            <w:pPr>
                              <w:pStyle w:val="Default"/>
                              <w:jc w:val="right"/>
                              <w:rPr>
                                <w:rFonts w:cs="Times New Roman"/>
                                <w:color w:val="auto"/>
                              </w:rPr>
                            </w:pPr>
                          </w:p>
                        </w:tc>
                        <w:tc>
                          <w:tcPr>
                            <w:tcW w:w="4482" w:type="dxa"/>
                            <w:gridSpan w:val="61"/>
                            <w:shd w:val="clear" w:color="auto" w:fill="5E64A8"/>
                            <w:vAlign w:val="center"/>
                          </w:tcPr>
                          <w:p w14:paraId="743CDE2C" w14:textId="77777777" w:rsidR="00000000" w:rsidRDefault="00A450E1">
                            <w:pPr>
                              <w:pStyle w:val="Default"/>
                              <w:jc w:val="righ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Elevation of Mark / metres </w:t>
                            </w:r>
                          </w:p>
                        </w:tc>
                        <w:tc>
                          <w:tcPr>
                            <w:tcW w:w="600" w:type="dxa"/>
                            <w:gridSpan w:val="6"/>
                            <w:shd w:val="clear" w:color="auto" w:fill="5E64A8"/>
                          </w:tcPr>
                          <w:p w14:paraId="5E242E00" w14:textId="77777777" w:rsidR="00000000" w:rsidRDefault="00A450E1">
                            <w:pPr>
                              <w:pStyle w:val="Default"/>
                              <w:jc w:val="right"/>
                              <w:rPr>
                                <w:rFonts w:cs="Times New Roman"/>
                                <w:color w:val="auto"/>
                              </w:rPr>
                            </w:pPr>
                          </w:p>
                        </w:tc>
                        <w:tc>
                          <w:tcPr>
                            <w:tcW w:w="605" w:type="dxa"/>
                            <w:shd w:val="clear" w:color="auto" w:fill="5E64A8"/>
                          </w:tcPr>
                          <w:p w14:paraId="2D05A51F" w14:textId="77777777" w:rsidR="00000000" w:rsidRDefault="00A450E1">
                            <w:pPr>
                              <w:pStyle w:val="Default"/>
                              <w:jc w:val="right"/>
                              <w:rPr>
                                <w:rFonts w:cs="Times New Roman"/>
                                <w:color w:val="auto"/>
                              </w:rPr>
                            </w:pPr>
                          </w:p>
                        </w:tc>
                        <w:tc>
                          <w:tcPr>
                            <w:tcW w:w="610" w:type="dxa"/>
                            <w:gridSpan w:val="8"/>
                            <w:tcBorders>
                              <w:right w:val="single" w:sz="4" w:space="0" w:color="030407"/>
                            </w:tcBorders>
                            <w:shd w:val="clear" w:color="auto" w:fill="5E64A8"/>
                          </w:tcPr>
                          <w:p w14:paraId="4C9C580C" w14:textId="77777777" w:rsidR="00000000" w:rsidRDefault="00A450E1">
                            <w:pPr>
                              <w:pStyle w:val="Default"/>
                              <w:jc w:val="right"/>
                              <w:rPr>
                                <w:rFonts w:cs="Times New Roman"/>
                                <w:color w:val="auto"/>
                              </w:rPr>
                            </w:pPr>
                          </w:p>
                        </w:tc>
                      </w:tr>
                      <w:tr w:rsidR="00000000" w14:paraId="18D70157" w14:textId="77777777">
                        <w:tblPrEx>
                          <w:tblCellMar>
                            <w:top w:w="0" w:type="dxa"/>
                            <w:bottom w:w="0" w:type="dxa"/>
                          </w:tblCellMar>
                        </w:tblPrEx>
                        <w:trPr>
                          <w:gridAfter w:val="6"/>
                          <w:wAfter w:w="1997" w:type="dxa"/>
                          <w:trHeight w:val="158"/>
                        </w:trPr>
                        <w:tc>
                          <w:tcPr>
                            <w:tcW w:w="2127" w:type="dxa"/>
                            <w:gridSpan w:val="23"/>
                            <w:tcBorders>
                              <w:top w:val="single" w:sz="2" w:space="0" w:color="5E64A8"/>
                              <w:left w:val="single" w:sz="4" w:space="0" w:color="030407"/>
                              <w:right w:val="single" w:sz="4" w:space="0" w:color="07070D"/>
                            </w:tcBorders>
                            <w:shd w:val="clear" w:color="auto" w:fill="E8E7F3"/>
                          </w:tcPr>
                          <w:p w14:paraId="5A86FC62" w14:textId="77777777" w:rsidR="00000000" w:rsidRDefault="00A450E1">
                            <w:pPr>
                              <w:pStyle w:val="Default"/>
                              <w:jc w:val="center"/>
                              <w:rPr>
                                <w:rFonts w:cs="Times New Roman"/>
                                <w:color w:val="auto"/>
                              </w:rPr>
                            </w:pPr>
                          </w:p>
                        </w:tc>
                        <w:tc>
                          <w:tcPr>
                            <w:tcW w:w="665" w:type="dxa"/>
                            <w:gridSpan w:val="9"/>
                            <w:tcBorders>
                              <w:top w:val="single" w:sz="2" w:space="0" w:color="5E64A8"/>
                              <w:left w:val="single" w:sz="4" w:space="0" w:color="07070D"/>
                              <w:right w:val="single" w:sz="4" w:space="0" w:color="000000"/>
                            </w:tcBorders>
                            <w:shd w:val="clear" w:color="auto" w:fill="E8E7F3"/>
                            <w:vAlign w:val="center"/>
                          </w:tcPr>
                          <w:p w14:paraId="078D2B06"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b/>
                                <w:bCs/>
                                <w:sz w:val="18"/>
                                <w:szCs w:val="18"/>
                              </w:rPr>
                              <w:t xml:space="preserve">0 </w:t>
                            </w:r>
                          </w:p>
                        </w:tc>
                        <w:tc>
                          <w:tcPr>
                            <w:tcW w:w="657" w:type="dxa"/>
                            <w:gridSpan w:val="11"/>
                            <w:tcBorders>
                              <w:top w:val="single" w:sz="2" w:space="0" w:color="5E64A8"/>
                              <w:left w:val="single" w:sz="4" w:space="0" w:color="000000"/>
                              <w:right w:val="single" w:sz="4" w:space="0" w:color="000000"/>
                            </w:tcBorders>
                            <w:shd w:val="clear" w:color="auto" w:fill="E8E7F3"/>
                            <w:vAlign w:val="center"/>
                          </w:tcPr>
                          <w:p w14:paraId="4DB83C7A"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b/>
                                <w:bCs/>
                                <w:sz w:val="18"/>
                                <w:szCs w:val="18"/>
                              </w:rPr>
                              <w:t xml:space="preserve">1 </w:t>
                            </w:r>
                          </w:p>
                        </w:tc>
                        <w:tc>
                          <w:tcPr>
                            <w:tcW w:w="680" w:type="dxa"/>
                            <w:gridSpan w:val="11"/>
                            <w:tcBorders>
                              <w:top w:val="single" w:sz="2" w:space="0" w:color="5E64A8"/>
                              <w:left w:val="single" w:sz="4" w:space="0" w:color="000000"/>
                              <w:right w:val="single" w:sz="4" w:space="0" w:color="000000"/>
                            </w:tcBorders>
                            <w:shd w:val="clear" w:color="auto" w:fill="E8E7F3"/>
                            <w:vAlign w:val="center"/>
                          </w:tcPr>
                          <w:p w14:paraId="2FF4F01C"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b/>
                                <w:bCs/>
                                <w:sz w:val="18"/>
                                <w:szCs w:val="18"/>
                              </w:rPr>
                              <w:t xml:space="preserve">2 </w:t>
                            </w:r>
                          </w:p>
                        </w:tc>
                        <w:tc>
                          <w:tcPr>
                            <w:tcW w:w="680" w:type="dxa"/>
                            <w:gridSpan w:val="13"/>
                            <w:tcBorders>
                              <w:top w:val="single" w:sz="2" w:space="0" w:color="5E64A8"/>
                              <w:left w:val="single" w:sz="4" w:space="0" w:color="000000"/>
                              <w:right w:val="single" w:sz="4" w:space="0" w:color="000000"/>
                            </w:tcBorders>
                            <w:shd w:val="clear" w:color="auto" w:fill="E8E7F3"/>
                            <w:vAlign w:val="center"/>
                          </w:tcPr>
                          <w:p w14:paraId="62AC2934"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b/>
                                <w:bCs/>
                                <w:sz w:val="18"/>
                                <w:szCs w:val="18"/>
                              </w:rPr>
                              <w:t xml:space="preserve">3 </w:t>
                            </w:r>
                          </w:p>
                        </w:tc>
                        <w:tc>
                          <w:tcPr>
                            <w:tcW w:w="645" w:type="dxa"/>
                            <w:gridSpan w:val="8"/>
                            <w:tcBorders>
                              <w:top w:val="single" w:sz="2" w:space="0" w:color="5E64A8"/>
                              <w:left w:val="single" w:sz="4" w:space="0" w:color="000000"/>
                              <w:right w:val="single" w:sz="4" w:space="0" w:color="000000"/>
                            </w:tcBorders>
                            <w:shd w:val="clear" w:color="auto" w:fill="E8E7F3"/>
                            <w:vAlign w:val="center"/>
                          </w:tcPr>
                          <w:p w14:paraId="01B5913A"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b/>
                                <w:bCs/>
                                <w:sz w:val="18"/>
                                <w:szCs w:val="18"/>
                              </w:rPr>
                              <w:t xml:space="preserve">4 </w:t>
                            </w:r>
                          </w:p>
                        </w:tc>
                        <w:tc>
                          <w:tcPr>
                            <w:tcW w:w="605" w:type="dxa"/>
                            <w:gridSpan w:val="6"/>
                            <w:tcBorders>
                              <w:top w:val="single" w:sz="2" w:space="0" w:color="5E64A8"/>
                              <w:left w:val="single" w:sz="4" w:space="0" w:color="000000"/>
                              <w:right w:val="single" w:sz="4" w:space="0" w:color="000000"/>
                            </w:tcBorders>
                            <w:shd w:val="clear" w:color="auto" w:fill="E8E7F3"/>
                            <w:vAlign w:val="center"/>
                          </w:tcPr>
                          <w:p w14:paraId="2D910FA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5 </w:t>
                            </w:r>
                          </w:p>
                        </w:tc>
                        <w:tc>
                          <w:tcPr>
                            <w:tcW w:w="612" w:type="dxa"/>
                            <w:gridSpan w:val="7"/>
                            <w:tcBorders>
                              <w:top w:val="single" w:sz="2" w:space="0" w:color="5E64A8"/>
                              <w:left w:val="single" w:sz="4" w:space="0" w:color="000000"/>
                              <w:right w:val="single" w:sz="4" w:space="0" w:color="000000"/>
                            </w:tcBorders>
                            <w:shd w:val="clear" w:color="auto" w:fill="E8E7F3"/>
                            <w:vAlign w:val="center"/>
                          </w:tcPr>
                          <w:p w14:paraId="31131CC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10 </w:t>
                            </w:r>
                          </w:p>
                        </w:tc>
                        <w:tc>
                          <w:tcPr>
                            <w:tcW w:w="605" w:type="dxa"/>
                            <w:gridSpan w:val="5"/>
                            <w:tcBorders>
                              <w:top w:val="single" w:sz="2" w:space="0" w:color="5E64A8"/>
                              <w:left w:val="single" w:sz="4" w:space="0" w:color="000000"/>
                              <w:right w:val="single" w:sz="4" w:space="0" w:color="000000"/>
                            </w:tcBorders>
                            <w:shd w:val="clear" w:color="auto" w:fill="E8E7F3"/>
                            <w:vAlign w:val="center"/>
                          </w:tcPr>
                          <w:p w14:paraId="45436F8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50 </w:t>
                            </w:r>
                          </w:p>
                        </w:tc>
                        <w:tc>
                          <w:tcPr>
                            <w:tcW w:w="600" w:type="dxa"/>
                            <w:gridSpan w:val="6"/>
                            <w:tcBorders>
                              <w:top w:val="single" w:sz="2" w:space="0" w:color="5E64A8"/>
                              <w:left w:val="single" w:sz="4" w:space="0" w:color="000000"/>
                              <w:right w:val="single" w:sz="4" w:space="0" w:color="000000"/>
                            </w:tcBorders>
                            <w:shd w:val="clear" w:color="auto" w:fill="E8E7F3"/>
                            <w:vAlign w:val="center"/>
                          </w:tcPr>
                          <w:p w14:paraId="471A969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100 </w:t>
                            </w:r>
                          </w:p>
                        </w:tc>
                        <w:tc>
                          <w:tcPr>
                            <w:tcW w:w="605" w:type="dxa"/>
                            <w:tcBorders>
                              <w:top w:val="single" w:sz="2" w:space="0" w:color="5E64A8"/>
                              <w:left w:val="single" w:sz="4" w:space="0" w:color="000000"/>
                              <w:right w:val="single" w:sz="4" w:space="0" w:color="000000"/>
                            </w:tcBorders>
                            <w:shd w:val="clear" w:color="auto" w:fill="E8E7F3"/>
                            <w:vAlign w:val="center"/>
                          </w:tcPr>
                          <w:p w14:paraId="620EEA3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200 </w:t>
                            </w:r>
                          </w:p>
                        </w:tc>
                        <w:tc>
                          <w:tcPr>
                            <w:tcW w:w="610" w:type="dxa"/>
                            <w:gridSpan w:val="8"/>
                            <w:tcBorders>
                              <w:top w:val="single" w:sz="2" w:space="0" w:color="5E64A8"/>
                              <w:left w:val="single" w:sz="4" w:space="0" w:color="000000"/>
                              <w:right w:val="single" w:sz="4" w:space="0" w:color="030407"/>
                            </w:tcBorders>
                            <w:shd w:val="clear" w:color="auto" w:fill="E8E7F3"/>
                            <w:vAlign w:val="center"/>
                          </w:tcPr>
                          <w:p w14:paraId="713BA93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300 </w:t>
                            </w:r>
                          </w:p>
                        </w:tc>
                      </w:tr>
                      <w:tr w:rsidR="00000000" w14:paraId="2BA9EDA5" w14:textId="77777777">
                        <w:tblPrEx>
                          <w:tblCellMar>
                            <w:top w:w="0" w:type="dxa"/>
                            <w:bottom w:w="0" w:type="dxa"/>
                          </w:tblCellMar>
                        </w:tblPrEx>
                        <w:trPr>
                          <w:gridAfter w:val="6"/>
                          <w:wAfter w:w="1997" w:type="dxa"/>
                          <w:trHeight w:val="158"/>
                        </w:trPr>
                        <w:tc>
                          <w:tcPr>
                            <w:tcW w:w="2127" w:type="dxa"/>
                            <w:gridSpan w:val="23"/>
                            <w:tcBorders>
                              <w:left w:val="single" w:sz="4" w:space="0" w:color="030407"/>
                              <w:right w:val="single" w:sz="4" w:space="0" w:color="07070D"/>
                            </w:tcBorders>
                            <w:vAlign w:val="center"/>
                          </w:tcPr>
                          <w:p w14:paraId="0B5B2B2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1 </w:t>
                            </w:r>
                          </w:p>
                        </w:tc>
                        <w:tc>
                          <w:tcPr>
                            <w:tcW w:w="665" w:type="dxa"/>
                            <w:gridSpan w:val="9"/>
                            <w:tcBorders>
                              <w:left w:val="single" w:sz="4" w:space="0" w:color="07070D"/>
                              <w:right w:val="single" w:sz="4" w:space="0" w:color="000000"/>
                            </w:tcBorders>
                            <w:vAlign w:val="center"/>
                          </w:tcPr>
                          <w:p w14:paraId="4393CBD1"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2.0 </w:t>
                            </w:r>
                          </w:p>
                        </w:tc>
                        <w:tc>
                          <w:tcPr>
                            <w:tcW w:w="657" w:type="dxa"/>
                            <w:gridSpan w:val="11"/>
                            <w:tcBorders>
                              <w:left w:val="single" w:sz="4" w:space="0" w:color="000000"/>
                              <w:right w:val="single" w:sz="4" w:space="0" w:color="000000"/>
                            </w:tcBorders>
                            <w:vAlign w:val="center"/>
                          </w:tcPr>
                          <w:p w14:paraId="17FED770"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4.1 </w:t>
                            </w:r>
                          </w:p>
                        </w:tc>
                        <w:tc>
                          <w:tcPr>
                            <w:tcW w:w="680" w:type="dxa"/>
                            <w:gridSpan w:val="11"/>
                            <w:tcBorders>
                              <w:left w:val="single" w:sz="4" w:space="0" w:color="000000"/>
                              <w:right w:val="single" w:sz="4" w:space="0" w:color="000000"/>
                            </w:tcBorders>
                            <w:vAlign w:val="center"/>
                          </w:tcPr>
                          <w:p w14:paraId="269B943E"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4.9 </w:t>
                            </w:r>
                          </w:p>
                        </w:tc>
                        <w:tc>
                          <w:tcPr>
                            <w:tcW w:w="680" w:type="dxa"/>
                            <w:gridSpan w:val="13"/>
                            <w:tcBorders>
                              <w:left w:val="single" w:sz="4" w:space="0" w:color="000000"/>
                              <w:right w:val="single" w:sz="4" w:space="0" w:color="000000"/>
                            </w:tcBorders>
                            <w:vAlign w:val="center"/>
                          </w:tcPr>
                          <w:p w14:paraId="3992DCF9"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5.5 </w:t>
                            </w:r>
                          </w:p>
                        </w:tc>
                        <w:tc>
                          <w:tcPr>
                            <w:tcW w:w="645" w:type="dxa"/>
                            <w:gridSpan w:val="8"/>
                            <w:tcBorders>
                              <w:left w:val="single" w:sz="4" w:space="0" w:color="000000"/>
                              <w:right w:val="single" w:sz="4" w:space="0" w:color="000000"/>
                            </w:tcBorders>
                            <w:vAlign w:val="center"/>
                          </w:tcPr>
                          <w:p w14:paraId="52341D1D"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6.1 </w:t>
                            </w:r>
                          </w:p>
                        </w:tc>
                        <w:tc>
                          <w:tcPr>
                            <w:tcW w:w="605" w:type="dxa"/>
                            <w:gridSpan w:val="6"/>
                            <w:tcBorders>
                              <w:left w:val="single" w:sz="4" w:space="0" w:color="000000"/>
                              <w:right w:val="single" w:sz="4" w:space="0" w:color="000000"/>
                            </w:tcBorders>
                            <w:vAlign w:val="center"/>
                          </w:tcPr>
                          <w:p w14:paraId="344DC78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6.6 </w:t>
                            </w:r>
                          </w:p>
                        </w:tc>
                        <w:tc>
                          <w:tcPr>
                            <w:tcW w:w="612" w:type="dxa"/>
                            <w:gridSpan w:val="7"/>
                            <w:tcBorders>
                              <w:left w:val="single" w:sz="4" w:space="0" w:color="000000"/>
                              <w:right w:val="single" w:sz="4" w:space="0" w:color="000000"/>
                            </w:tcBorders>
                            <w:vAlign w:val="center"/>
                          </w:tcPr>
                          <w:p w14:paraId="26EBCE9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8.5 </w:t>
                            </w:r>
                          </w:p>
                        </w:tc>
                        <w:tc>
                          <w:tcPr>
                            <w:tcW w:w="605" w:type="dxa"/>
                            <w:gridSpan w:val="5"/>
                            <w:tcBorders>
                              <w:left w:val="single" w:sz="4" w:space="0" w:color="000000"/>
                              <w:right w:val="single" w:sz="4" w:space="0" w:color="000000"/>
                            </w:tcBorders>
                            <w:vAlign w:val="center"/>
                          </w:tcPr>
                          <w:p w14:paraId="3F618D8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16.4 </w:t>
                            </w:r>
                          </w:p>
                        </w:tc>
                        <w:tc>
                          <w:tcPr>
                            <w:tcW w:w="600" w:type="dxa"/>
                            <w:gridSpan w:val="6"/>
                            <w:tcBorders>
                              <w:left w:val="single" w:sz="4" w:space="0" w:color="000000"/>
                              <w:right w:val="single" w:sz="4" w:space="0" w:color="000000"/>
                            </w:tcBorders>
                            <w:vAlign w:val="center"/>
                          </w:tcPr>
                          <w:p w14:paraId="1C7FA55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22.3 </w:t>
                            </w:r>
                          </w:p>
                        </w:tc>
                        <w:tc>
                          <w:tcPr>
                            <w:tcW w:w="605" w:type="dxa"/>
                            <w:tcBorders>
                              <w:left w:val="single" w:sz="4" w:space="0" w:color="000000"/>
                              <w:right w:val="single" w:sz="4" w:space="0" w:color="000000"/>
                            </w:tcBorders>
                            <w:vAlign w:val="center"/>
                          </w:tcPr>
                          <w:p w14:paraId="67F631D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30.8 </w:t>
                            </w:r>
                          </w:p>
                        </w:tc>
                        <w:tc>
                          <w:tcPr>
                            <w:tcW w:w="610" w:type="dxa"/>
                            <w:gridSpan w:val="8"/>
                            <w:tcBorders>
                              <w:left w:val="single" w:sz="4" w:space="0" w:color="000000"/>
                              <w:right w:val="single" w:sz="4" w:space="0" w:color="030407"/>
                            </w:tcBorders>
                            <w:vAlign w:val="center"/>
                          </w:tcPr>
                          <w:p w14:paraId="6AE343B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37.2 </w:t>
                            </w:r>
                          </w:p>
                        </w:tc>
                      </w:tr>
                      <w:tr w:rsidR="00000000" w14:paraId="799398BE" w14:textId="77777777">
                        <w:tblPrEx>
                          <w:tblCellMar>
                            <w:top w:w="0" w:type="dxa"/>
                            <w:bottom w:w="0" w:type="dxa"/>
                          </w:tblCellMar>
                        </w:tblPrEx>
                        <w:trPr>
                          <w:gridAfter w:val="6"/>
                          <w:wAfter w:w="1997" w:type="dxa"/>
                          <w:trHeight w:val="151"/>
                        </w:trPr>
                        <w:tc>
                          <w:tcPr>
                            <w:tcW w:w="2127" w:type="dxa"/>
                            <w:gridSpan w:val="23"/>
                            <w:tcBorders>
                              <w:left w:val="single" w:sz="4" w:space="0" w:color="030407"/>
                              <w:right w:val="single" w:sz="4" w:space="0" w:color="07070D"/>
                            </w:tcBorders>
                            <w:shd w:val="clear" w:color="auto" w:fill="E8E7F3"/>
                            <w:vAlign w:val="center"/>
                          </w:tcPr>
                          <w:p w14:paraId="310E99E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2 </w:t>
                            </w:r>
                          </w:p>
                        </w:tc>
                        <w:tc>
                          <w:tcPr>
                            <w:tcW w:w="665" w:type="dxa"/>
                            <w:gridSpan w:val="9"/>
                            <w:tcBorders>
                              <w:left w:val="single" w:sz="4" w:space="0" w:color="07070D"/>
                              <w:right w:val="single" w:sz="4" w:space="0" w:color="000000"/>
                            </w:tcBorders>
                            <w:shd w:val="clear" w:color="auto" w:fill="E8E7F3"/>
                            <w:vAlign w:val="center"/>
                          </w:tcPr>
                          <w:p w14:paraId="1832E6EC"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2.9 </w:t>
                            </w:r>
                          </w:p>
                        </w:tc>
                        <w:tc>
                          <w:tcPr>
                            <w:tcW w:w="657" w:type="dxa"/>
                            <w:gridSpan w:val="11"/>
                            <w:tcBorders>
                              <w:left w:val="single" w:sz="4" w:space="0" w:color="000000"/>
                              <w:right w:val="single" w:sz="4" w:space="0" w:color="000000"/>
                            </w:tcBorders>
                            <w:shd w:val="clear" w:color="auto" w:fill="E8E7F3"/>
                            <w:vAlign w:val="center"/>
                          </w:tcPr>
                          <w:p w14:paraId="73D1A175"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4.9 </w:t>
                            </w:r>
                          </w:p>
                        </w:tc>
                        <w:tc>
                          <w:tcPr>
                            <w:tcW w:w="680" w:type="dxa"/>
                            <w:gridSpan w:val="11"/>
                            <w:tcBorders>
                              <w:left w:val="single" w:sz="4" w:space="0" w:color="000000"/>
                              <w:right w:val="single" w:sz="4" w:space="0" w:color="000000"/>
                            </w:tcBorders>
                            <w:shd w:val="clear" w:color="auto" w:fill="E8E7F3"/>
                            <w:vAlign w:val="center"/>
                          </w:tcPr>
                          <w:p w14:paraId="4C2BE869"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5.7 </w:t>
                            </w:r>
                          </w:p>
                        </w:tc>
                        <w:tc>
                          <w:tcPr>
                            <w:tcW w:w="680" w:type="dxa"/>
                            <w:gridSpan w:val="13"/>
                            <w:tcBorders>
                              <w:left w:val="single" w:sz="4" w:space="0" w:color="000000"/>
                              <w:right w:val="single" w:sz="4" w:space="0" w:color="000000"/>
                            </w:tcBorders>
                            <w:shd w:val="clear" w:color="auto" w:fill="E8E7F3"/>
                            <w:vAlign w:val="center"/>
                          </w:tcPr>
                          <w:p w14:paraId="4B7FD4FE"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6.4 </w:t>
                            </w:r>
                          </w:p>
                        </w:tc>
                        <w:tc>
                          <w:tcPr>
                            <w:tcW w:w="645" w:type="dxa"/>
                            <w:gridSpan w:val="8"/>
                            <w:tcBorders>
                              <w:left w:val="single" w:sz="4" w:space="0" w:color="000000"/>
                              <w:right w:val="single" w:sz="4" w:space="0" w:color="000000"/>
                            </w:tcBorders>
                            <w:shd w:val="clear" w:color="auto" w:fill="E8E7F3"/>
                            <w:vAlign w:val="center"/>
                          </w:tcPr>
                          <w:p w14:paraId="021AEDBE"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6.9 </w:t>
                            </w:r>
                          </w:p>
                        </w:tc>
                        <w:tc>
                          <w:tcPr>
                            <w:tcW w:w="605" w:type="dxa"/>
                            <w:gridSpan w:val="6"/>
                            <w:tcBorders>
                              <w:left w:val="single" w:sz="4" w:space="0" w:color="000000"/>
                              <w:right w:val="single" w:sz="4" w:space="0" w:color="000000"/>
                            </w:tcBorders>
                            <w:shd w:val="clear" w:color="auto" w:fill="E8E7F3"/>
                            <w:vAlign w:val="center"/>
                          </w:tcPr>
                          <w:p w14:paraId="5E1F40D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7.4 </w:t>
                            </w:r>
                          </w:p>
                        </w:tc>
                        <w:tc>
                          <w:tcPr>
                            <w:tcW w:w="612" w:type="dxa"/>
                            <w:gridSpan w:val="7"/>
                            <w:tcBorders>
                              <w:left w:val="single" w:sz="4" w:space="0" w:color="000000"/>
                              <w:right w:val="single" w:sz="4" w:space="0" w:color="000000"/>
                            </w:tcBorders>
                            <w:shd w:val="clear" w:color="auto" w:fill="E8E7F3"/>
                            <w:vAlign w:val="center"/>
                          </w:tcPr>
                          <w:p w14:paraId="7007D93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9.3 </w:t>
                            </w:r>
                          </w:p>
                        </w:tc>
                        <w:tc>
                          <w:tcPr>
                            <w:tcW w:w="605" w:type="dxa"/>
                            <w:gridSpan w:val="5"/>
                            <w:tcBorders>
                              <w:left w:val="single" w:sz="4" w:space="0" w:color="000000"/>
                              <w:right w:val="single" w:sz="4" w:space="0" w:color="000000"/>
                            </w:tcBorders>
                            <w:shd w:val="clear" w:color="auto" w:fill="E8E7F3"/>
                            <w:vAlign w:val="center"/>
                          </w:tcPr>
                          <w:p w14:paraId="7824102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17.2 </w:t>
                            </w:r>
                          </w:p>
                        </w:tc>
                        <w:tc>
                          <w:tcPr>
                            <w:tcW w:w="600" w:type="dxa"/>
                            <w:gridSpan w:val="6"/>
                            <w:tcBorders>
                              <w:left w:val="single" w:sz="4" w:space="0" w:color="000000"/>
                              <w:right w:val="single" w:sz="4" w:space="0" w:color="000000"/>
                            </w:tcBorders>
                            <w:shd w:val="clear" w:color="auto" w:fill="E8E7F3"/>
                            <w:vAlign w:val="center"/>
                          </w:tcPr>
                          <w:p w14:paraId="1A8CA2F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23.2 </w:t>
                            </w:r>
                          </w:p>
                        </w:tc>
                        <w:tc>
                          <w:tcPr>
                            <w:tcW w:w="605" w:type="dxa"/>
                            <w:tcBorders>
                              <w:left w:val="single" w:sz="4" w:space="0" w:color="000000"/>
                              <w:right w:val="single" w:sz="4" w:space="0" w:color="000000"/>
                            </w:tcBorders>
                            <w:shd w:val="clear" w:color="auto" w:fill="E8E7F3"/>
                            <w:vAlign w:val="center"/>
                          </w:tcPr>
                          <w:p w14:paraId="20551F9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31.6 </w:t>
                            </w:r>
                          </w:p>
                        </w:tc>
                        <w:tc>
                          <w:tcPr>
                            <w:tcW w:w="610" w:type="dxa"/>
                            <w:gridSpan w:val="8"/>
                            <w:tcBorders>
                              <w:left w:val="single" w:sz="4" w:space="0" w:color="000000"/>
                              <w:right w:val="single" w:sz="4" w:space="0" w:color="030407"/>
                            </w:tcBorders>
                            <w:shd w:val="clear" w:color="auto" w:fill="E8E7F3"/>
                            <w:vAlign w:val="center"/>
                          </w:tcPr>
                          <w:p w14:paraId="7CA8FA3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38.1 </w:t>
                            </w:r>
                          </w:p>
                        </w:tc>
                      </w:tr>
                      <w:tr w:rsidR="00000000" w14:paraId="258498D0" w14:textId="77777777">
                        <w:tblPrEx>
                          <w:tblCellMar>
                            <w:top w:w="0" w:type="dxa"/>
                            <w:bottom w:w="0" w:type="dxa"/>
                          </w:tblCellMar>
                        </w:tblPrEx>
                        <w:trPr>
                          <w:gridAfter w:val="6"/>
                          <w:wAfter w:w="1997" w:type="dxa"/>
                          <w:trHeight w:val="151"/>
                        </w:trPr>
                        <w:tc>
                          <w:tcPr>
                            <w:tcW w:w="2127" w:type="dxa"/>
                            <w:gridSpan w:val="23"/>
                            <w:tcBorders>
                              <w:left w:val="single" w:sz="4" w:space="0" w:color="030407"/>
                              <w:right w:val="single" w:sz="4" w:space="0" w:color="07070D"/>
                            </w:tcBorders>
                            <w:vAlign w:val="center"/>
                          </w:tcPr>
                          <w:p w14:paraId="2E57BAF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5 </w:t>
                            </w:r>
                          </w:p>
                        </w:tc>
                        <w:tc>
                          <w:tcPr>
                            <w:tcW w:w="665" w:type="dxa"/>
                            <w:gridSpan w:val="9"/>
                            <w:tcBorders>
                              <w:left w:val="single" w:sz="4" w:space="0" w:color="07070D"/>
                              <w:right w:val="single" w:sz="4" w:space="0" w:color="000000"/>
                            </w:tcBorders>
                            <w:vAlign w:val="center"/>
                          </w:tcPr>
                          <w:p w14:paraId="76AC7F00"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4.5 </w:t>
                            </w:r>
                          </w:p>
                        </w:tc>
                        <w:tc>
                          <w:tcPr>
                            <w:tcW w:w="657" w:type="dxa"/>
                            <w:gridSpan w:val="11"/>
                            <w:tcBorders>
                              <w:left w:val="single" w:sz="4" w:space="0" w:color="000000"/>
                              <w:right w:val="single" w:sz="4" w:space="0" w:color="000000"/>
                            </w:tcBorders>
                            <w:vAlign w:val="center"/>
                          </w:tcPr>
                          <w:p w14:paraId="52912B12"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6.6 </w:t>
                            </w:r>
                          </w:p>
                        </w:tc>
                        <w:tc>
                          <w:tcPr>
                            <w:tcW w:w="680" w:type="dxa"/>
                            <w:gridSpan w:val="11"/>
                            <w:tcBorders>
                              <w:left w:val="single" w:sz="4" w:space="0" w:color="000000"/>
                              <w:right w:val="single" w:sz="4" w:space="0" w:color="000000"/>
                            </w:tcBorders>
                            <w:vAlign w:val="center"/>
                          </w:tcPr>
                          <w:p w14:paraId="262E25FC"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7.4 </w:t>
                            </w:r>
                          </w:p>
                        </w:tc>
                        <w:tc>
                          <w:tcPr>
                            <w:tcW w:w="680" w:type="dxa"/>
                            <w:gridSpan w:val="13"/>
                            <w:tcBorders>
                              <w:left w:val="single" w:sz="4" w:space="0" w:color="000000"/>
                              <w:right w:val="single" w:sz="4" w:space="0" w:color="000000"/>
                            </w:tcBorders>
                            <w:vAlign w:val="center"/>
                          </w:tcPr>
                          <w:p w14:paraId="53740339"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8.1 </w:t>
                            </w:r>
                          </w:p>
                        </w:tc>
                        <w:tc>
                          <w:tcPr>
                            <w:tcW w:w="645" w:type="dxa"/>
                            <w:gridSpan w:val="8"/>
                            <w:tcBorders>
                              <w:left w:val="single" w:sz="4" w:space="0" w:color="000000"/>
                              <w:right w:val="single" w:sz="4" w:space="0" w:color="000000"/>
                            </w:tcBorders>
                            <w:vAlign w:val="center"/>
                          </w:tcPr>
                          <w:p w14:paraId="24AC70E9"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8.6 </w:t>
                            </w:r>
                          </w:p>
                        </w:tc>
                        <w:tc>
                          <w:tcPr>
                            <w:tcW w:w="605" w:type="dxa"/>
                            <w:gridSpan w:val="6"/>
                            <w:tcBorders>
                              <w:left w:val="single" w:sz="4" w:space="0" w:color="000000"/>
                              <w:right w:val="single" w:sz="4" w:space="0" w:color="000000"/>
                            </w:tcBorders>
                            <w:vAlign w:val="center"/>
                          </w:tcPr>
                          <w:p w14:paraId="06744DE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9.1 </w:t>
                            </w:r>
                          </w:p>
                        </w:tc>
                        <w:tc>
                          <w:tcPr>
                            <w:tcW w:w="612" w:type="dxa"/>
                            <w:gridSpan w:val="7"/>
                            <w:tcBorders>
                              <w:left w:val="single" w:sz="4" w:space="0" w:color="000000"/>
                              <w:right w:val="single" w:sz="4" w:space="0" w:color="000000"/>
                            </w:tcBorders>
                            <w:vAlign w:val="center"/>
                          </w:tcPr>
                          <w:p w14:paraId="36DD2D5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 </w:t>
                            </w:r>
                          </w:p>
                        </w:tc>
                        <w:tc>
                          <w:tcPr>
                            <w:tcW w:w="605" w:type="dxa"/>
                            <w:gridSpan w:val="5"/>
                            <w:tcBorders>
                              <w:left w:val="single" w:sz="4" w:space="0" w:color="000000"/>
                              <w:right w:val="single" w:sz="4" w:space="0" w:color="000000"/>
                            </w:tcBorders>
                            <w:vAlign w:val="center"/>
                          </w:tcPr>
                          <w:p w14:paraId="5E20888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18.9 </w:t>
                            </w:r>
                          </w:p>
                        </w:tc>
                        <w:tc>
                          <w:tcPr>
                            <w:tcW w:w="600" w:type="dxa"/>
                            <w:gridSpan w:val="6"/>
                            <w:tcBorders>
                              <w:left w:val="single" w:sz="4" w:space="0" w:color="000000"/>
                              <w:right w:val="single" w:sz="4" w:space="0" w:color="000000"/>
                            </w:tcBorders>
                            <w:vAlign w:val="center"/>
                          </w:tcPr>
                          <w:p w14:paraId="2123099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26.9 </w:t>
                            </w:r>
                          </w:p>
                        </w:tc>
                        <w:tc>
                          <w:tcPr>
                            <w:tcW w:w="605" w:type="dxa"/>
                            <w:tcBorders>
                              <w:left w:val="single" w:sz="4" w:space="0" w:color="000000"/>
                              <w:right w:val="single" w:sz="4" w:space="0" w:color="000000"/>
                            </w:tcBorders>
                            <w:vAlign w:val="center"/>
                          </w:tcPr>
                          <w:p w14:paraId="583408E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33.3 </w:t>
                            </w:r>
                          </w:p>
                        </w:tc>
                        <w:tc>
                          <w:tcPr>
                            <w:tcW w:w="610" w:type="dxa"/>
                            <w:gridSpan w:val="8"/>
                            <w:tcBorders>
                              <w:left w:val="single" w:sz="4" w:space="0" w:color="000000"/>
                              <w:right w:val="single" w:sz="4" w:space="0" w:color="030407"/>
                            </w:tcBorders>
                            <w:vAlign w:val="center"/>
                          </w:tcPr>
                          <w:p w14:paraId="5F4642F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39.7 </w:t>
                            </w:r>
                          </w:p>
                        </w:tc>
                      </w:tr>
                      <w:tr w:rsidR="00000000" w14:paraId="65BF293C" w14:textId="77777777">
                        <w:tblPrEx>
                          <w:tblCellMar>
                            <w:top w:w="0" w:type="dxa"/>
                            <w:bottom w:w="0" w:type="dxa"/>
                          </w:tblCellMar>
                        </w:tblPrEx>
                        <w:trPr>
                          <w:gridAfter w:val="6"/>
                          <w:wAfter w:w="1997" w:type="dxa"/>
                          <w:trHeight w:val="151"/>
                        </w:trPr>
                        <w:tc>
                          <w:tcPr>
                            <w:tcW w:w="2127" w:type="dxa"/>
                            <w:gridSpan w:val="23"/>
                            <w:tcBorders>
                              <w:left w:val="single" w:sz="4" w:space="0" w:color="030407"/>
                              <w:right w:val="single" w:sz="4" w:space="0" w:color="07070D"/>
                            </w:tcBorders>
                            <w:shd w:val="clear" w:color="auto" w:fill="E8E7F3"/>
                            <w:vAlign w:val="center"/>
                          </w:tcPr>
                          <w:p w14:paraId="6AE7202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10 </w:t>
                            </w:r>
                          </w:p>
                        </w:tc>
                        <w:tc>
                          <w:tcPr>
                            <w:tcW w:w="665" w:type="dxa"/>
                            <w:gridSpan w:val="9"/>
                            <w:tcBorders>
                              <w:left w:val="single" w:sz="4" w:space="0" w:color="07070D"/>
                              <w:right w:val="single" w:sz="4" w:space="0" w:color="000000"/>
                            </w:tcBorders>
                            <w:shd w:val="clear" w:color="auto" w:fill="E8E7F3"/>
                            <w:vAlign w:val="center"/>
                          </w:tcPr>
                          <w:p w14:paraId="3FCA5C87"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6.4 </w:t>
                            </w:r>
                          </w:p>
                        </w:tc>
                        <w:tc>
                          <w:tcPr>
                            <w:tcW w:w="657" w:type="dxa"/>
                            <w:gridSpan w:val="11"/>
                            <w:tcBorders>
                              <w:left w:val="single" w:sz="4" w:space="0" w:color="000000"/>
                              <w:right w:val="single" w:sz="4" w:space="0" w:color="000000"/>
                            </w:tcBorders>
                            <w:shd w:val="clear" w:color="auto" w:fill="E8E7F3"/>
                            <w:vAlign w:val="center"/>
                          </w:tcPr>
                          <w:p w14:paraId="514C7C63"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8.5 </w:t>
                            </w:r>
                          </w:p>
                        </w:tc>
                        <w:tc>
                          <w:tcPr>
                            <w:tcW w:w="680" w:type="dxa"/>
                            <w:gridSpan w:val="11"/>
                            <w:tcBorders>
                              <w:left w:val="single" w:sz="4" w:space="0" w:color="000000"/>
                              <w:right w:val="single" w:sz="4" w:space="0" w:color="000000"/>
                            </w:tcBorders>
                            <w:shd w:val="clear" w:color="auto" w:fill="E8E7F3"/>
                            <w:vAlign w:val="center"/>
                          </w:tcPr>
                          <w:p w14:paraId="7E4CB788"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9.3 </w:t>
                            </w:r>
                          </w:p>
                        </w:tc>
                        <w:tc>
                          <w:tcPr>
                            <w:tcW w:w="680" w:type="dxa"/>
                            <w:gridSpan w:val="13"/>
                            <w:tcBorders>
                              <w:left w:val="single" w:sz="4" w:space="0" w:color="000000"/>
                              <w:right w:val="single" w:sz="4" w:space="0" w:color="000000"/>
                            </w:tcBorders>
                            <w:shd w:val="clear" w:color="auto" w:fill="E8E7F3"/>
                            <w:vAlign w:val="center"/>
                          </w:tcPr>
                          <w:p w14:paraId="6029C6E1"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9.9 </w:t>
                            </w:r>
                          </w:p>
                        </w:tc>
                        <w:tc>
                          <w:tcPr>
                            <w:tcW w:w="645" w:type="dxa"/>
                            <w:gridSpan w:val="8"/>
                            <w:tcBorders>
                              <w:left w:val="single" w:sz="4" w:space="0" w:color="000000"/>
                              <w:right w:val="single" w:sz="4" w:space="0" w:color="000000"/>
                            </w:tcBorders>
                            <w:shd w:val="clear" w:color="auto" w:fill="E8E7F3"/>
                            <w:vAlign w:val="center"/>
                          </w:tcPr>
                          <w:p w14:paraId="3DBF83EC"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10.5 </w:t>
                            </w:r>
                          </w:p>
                        </w:tc>
                        <w:tc>
                          <w:tcPr>
                            <w:tcW w:w="605" w:type="dxa"/>
                            <w:gridSpan w:val="6"/>
                            <w:tcBorders>
                              <w:left w:val="single" w:sz="4" w:space="0" w:color="000000"/>
                              <w:right w:val="single" w:sz="4" w:space="0" w:color="000000"/>
                            </w:tcBorders>
                            <w:shd w:val="clear" w:color="auto" w:fill="E8E7F3"/>
                            <w:vAlign w:val="center"/>
                          </w:tcPr>
                          <w:p w14:paraId="7734DAE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 </w:t>
                            </w:r>
                          </w:p>
                        </w:tc>
                        <w:tc>
                          <w:tcPr>
                            <w:tcW w:w="612" w:type="dxa"/>
                            <w:gridSpan w:val="7"/>
                            <w:tcBorders>
                              <w:left w:val="single" w:sz="4" w:space="0" w:color="000000"/>
                              <w:right w:val="single" w:sz="4" w:space="0" w:color="000000"/>
                            </w:tcBorders>
                            <w:shd w:val="clear" w:color="auto" w:fill="E8E7F3"/>
                            <w:vAlign w:val="center"/>
                          </w:tcPr>
                          <w:p w14:paraId="41BFF9B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12.8 </w:t>
                            </w:r>
                          </w:p>
                        </w:tc>
                        <w:tc>
                          <w:tcPr>
                            <w:tcW w:w="605" w:type="dxa"/>
                            <w:gridSpan w:val="5"/>
                            <w:tcBorders>
                              <w:left w:val="single" w:sz="4" w:space="0" w:color="000000"/>
                              <w:right w:val="single" w:sz="4" w:space="0" w:color="000000"/>
                            </w:tcBorders>
                            <w:shd w:val="clear" w:color="auto" w:fill="E8E7F3"/>
                            <w:vAlign w:val="center"/>
                          </w:tcPr>
                          <w:p w14:paraId="7CDC855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20.8 </w:t>
                            </w:r>
                          </w:p>
                        </w:tc>
                        <w:tc>
                          <w:tcPr>
                            <w:tcW w:w="600" w:type="dxa"/>
                            <w:gridSpan w:val="6"/>
                            <w:tcBorders>
                              <w:left w:val="single" w:sz="4" w:space="0" w:color="000000"/>
                              <w:right w:val="single" w:sz="4" w:space="0" w:color="000000"/>
                            </w:tcBorders>
                            <w:shd w:val="clear" w:color="auto" w:fill="E8E7F3"/>
                            <w:vAlign w:val="center"/>
                          </w:tcPr>
                          <w:p w14:paraId="32F3ADC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26.7 </w:t>
                            </w:r>
                          </w:p>
                        </w:tc>
                        <w:tc>
                          <w:tcPr>
                            <w:tcW w:w="605" w:type="dxa"/>
                            <w:tcBorders>
                              <w:left w:val="single" w:sz="4" w:space="0" w:color="000000"/>
                              <w:right w:val="single" w:sz="4" w:space="0" w:color="000000"/>
                            </w:tcBorders>
                            <w:shd w:val="clear" w:color="auto" w:fill="E8E7F3"/>
                            <w:vAlign w:val="center"/>
                          </w:tcPr>
                          <w:p w14:paraId="495F53A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35.1 </w:t>
                            </w:r>
                          </w:p>
                        </w:tc>
                        <w:tc>
                          <w:tcPr>
                            <w:tcW w:w="610" w:type="dxa"/>
                            <w:gridSpan w:val="8"/>
                            <w:tcBorders>
                              <w:left w:val="single" w:sz="4" w:space="0" w:color="000000"/>
                              <w:right w:val="single" w:sz="4" w:space="0" w:color="030407"/>
                            </w:tcBorders>
                            <w:shd w:val="clear" w:color="auto" w:fill="E8E7F3"/>
                            <w:vAlign w:val="center"/>
                          </w:tcPr>
                          <w:p w14:paraId="6918569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41.6 </w:t>
                            </w:r>
                          </w:p>
                        </w:tc>
                      </w:tr>
                      <w:tr w:rsidR="00000000" w14:paraId="62539421" w14:textId="77777777">
                        <w:tblPrEx>
                          <w:tblCellMar>
                            <w:top w:w="0" w:type="dxa"/>
                            <w:bottom w:w="0" w:type="dxa"/>
                          </w:tblCellMar>
                        </w:tblPrEx>
                        <w:trPr>
                          <w:gridAfter w:val="6"/>
                          <w:wAfter w:w="1997" w:type="dxa"/>
                          <w:trHeight w:val="151"/>
                        </w:trPr>
                        <w:tc>
                          <w:tcPr>
                            <w:tcW w:w="2127" w:type="dxa"/>
                            <w:gridSpan w:val="23"/>
                            <w:tcBorders>
                              <w:left w:val="single" w:sz="4" w:space="0" w:color="030407"/>
                              <w:right w:val="single" w:sz="4" w:space="0" w:color="07070D"/>
                            </w:tcBorders>
                            <w:vAlign w:val="center"/>
                          </w:tcPr>
                          <w:p w14:paraId="719DD41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20 </w:t>
                            </w:r>
                          </w:p>
                        </w:tc>
                        <w:tc>
                          <w:tcPr>
                            <w:tcW w:w="665" w:type="dxa"/>
                            <w:gridSpan w:val="9"/>
                            <w:tcBorders>
                              <w:left w:val="single" w:sz="4" w:space="0" w:color="07070D"/>
                              <w:right w:val="single" w:sz="4" w:space="0" w:color="000000"/>
                            </w:tcBorders>
                            <w:vAlign w:val="center"/>
                          </w:tcPr>
                          <w:p w14:paraId="4EDE4268"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9.1 </w:t>
                            </w:r>
                          </w:p>
                        </w:tc>
                        <w:tc>
                          <w:tcPr>
                            <w:tcW w:w="657" w:type="dxa"/>
                            <w:gridSpan w:val="11"/>
                            <w:tcBorders>
                              <w:left w:val="single" w:sz="4" w:space="0" w:color="000000"/>
                              <w:right w:val="single" w:sz="4" w:space="0" w:color="000000"/>
                            </w:tcBorders>
                            <w:vAlign w:val="center"/>
                          </w:tcPr>
                          <w:p w14:paraId="3FA677B5"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11.1 </w:t>
                            </w:r>
                          </w:p>
                        </w:tc>
                        <w:tc>
                          <w:tcPr>
                            <w:tcW w:w="680" w:type="dxa"/>
                            <w:gridSpan w:val="11"/>
                            <w:tcBorders>
                              <w:left w:val="single" w:sz="4" w:space="0" w:color="000000"/>
                              <w:right w:val="single" w:sz="4" w:space="0" w:color="000000"/>
                            </w:tcBorders>
                            <w:vAlign w:val="center"/>
                          </w:tcPr>
                          <w:p w14:paraId="704B321E"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12.0 </w:t>
                            </w:r>
                          </w:p>
                        </w:tc>
                        <w:tc>
                          <w:tcPr>
                            <w:tcW w:w="680" w:type="dxa"/>
                            <w:gridSpan w:val="13"/>
                            <w:tcBorders>
                              <w:left w:val="single" w:sz="4" w:space="0" w:color="000000"/>
                              <w:right w:val="single" w:sz="4" w:space="0" w:color="000000"/>
                            </w:tcBorders>
                            <w:vAlign w:val="center"/>
                          </w:tcPr>
                          <w:p w14:paraId="0FCEA129"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12.6 </w:t>
                            </w:r>
                          </w:p>
                        </w:tc>
                        <w:tc>
                          <w:tcPr>
                            <w:tcW w:w="645" w:type="dxa"/>
                            <w:gridSpan w:val="8"/>
                            <w:tcBorders>
                              <w:left w:val="single" w:sz="4" w:space="0" w:color="000000"/>
                              <w:right w:val="single" w:sz="4" w:space="0" w:color="000000"/>
                            </w:tcBorders>
                            <w:vAlign w:val="center"/>
                          </w:tcPr>
                          <w:p w14:paraId="050969E8"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13.1 </w:t>
                            </w:r>
                          </w:p>
                        </w:tc>
                        <w:tc>
                          <w:tcPr>
                            <w:tcW w:w="605" w:type="dxa"/>
                            <w:gridSpan w:val="6"/>
                            <w:tcBorders>
                              <w:left w:val="single" w:sz="4" w:space="0" w:color="000000"/>
                              <w:right w:val="single" w:sz="4" w:space="0" w:color="000000"/>
                            </w:tcBorders>
                            <w:vAlign w:val="center"/>
                          </w:tcPr>
                          <w:p w14:paraId="55308BB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13.6 </w:t>
                            </w:r>
                          </w:p>
                        </w:tc>
                        <w:tc>
                          <w:tcPr>
                            <w:tcW w:w="612" w:type="dxa"/>
                            <w:gridSpan w:val="7"/>
                            <w:tcBorders>
                              <w:left w:val="single" w:sz="4" w:space="0" w:color="000000"/>
                              <w:right w:val="single" w:sz="4" w:space="0" w:color="000000"/>
                            </w:tcBorders>
                            <w:vAlign w:val="center"/>
                          </w:tcPr>
                          <w:p w14:paraId="426E0D8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15.5 </w:t>
                            </w:r>
                          </w:p>
                        </w:tc>
                        <w:tc>
                          <w:tcPr>
                            <w:tcW w:w="605" w:type="dxa"/>
                            <w:gridSpan w:val="5"/>
                            <w:tcBorders>
                              <w:left w:val="single" w:sz="4" w:space="0" w:color="000000"/>
                              <w:right w:val="single" w:sz="4" w:space="0" w:color="000000"/>
                            </w:tcBorders>
                            <w:vAlign w:val="center"/>
                          </w:tcPr>
                          <w:p w14:paraId="1308F60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23.4 </w:t>
                            </w:r>
                          </w:p>
                        </w:tc>
                        <w:tc>
                          <w:tcPr>
                            <w:tcW w:w="600" w:type="dxa"/>
                            <w:gridSpan w:val="6"/>
                            <w:tcBorders>
                              <w:left w:val="single" w:sz="4" w:space="0" w:color="000000"/>
                              <w:right w:val="single" w:sz="4" w:space="0" w:color="000000"/>
                            </w:tcBorders>
                            <w:vAlign w:val="center"/>
                          </w:tcPr>
                          <w:p w14:paraId="59D2BD5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29.4 </w:t>
                            </w:r>
                          </w:p>
                        </w:tc>
                        <w:tc>
                          <w:tcPr>
                            <w:tcW w:w="605" w:type="dxa"/>
                            <w:tcBorders>
                              <w:left w:val="single" w:sz="4" w:space="0" w:color="000000"/>
                              <w:right w:val="single" w:sz="4" w:space="0" w:color="000000"/>
                            </w:tcBorders>
                            <w:vAlign w:val="center"/>
                          </w:tcPr>
                          <w:p w14:paraId="04B75E5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37.8 </w:t>
                            </w:r>
                          </w:p>
                        </w:tc>
                        <w:tc>
                          <w:tcPr>
                            <w:tcW w:w="610" w:type="dxa"/>
                            <w:gridSpan w:val="8"/>
                            <w:tcBorders>
                              <w:left w:val="single" w:sz="4" w:space="0" w:color="000000"/>
                              <w:right w:val="single" w:sz="4" w:space="0" w:color="030407"/>
                            </w:tcBorders>
                            <w:vAlign w:val="center"/>
                          </w:tcPr>
                          <w:p w14:paraId="09AA38D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44.2 </w:t>
                            </w:r>
                          </w:p>
                        </w:tc>
                      </w:tr>
                      <w:tr w:rsidR="00000000" w14:paraId="2B56042B" w14:textId="77777777">
                        <w:tblPrEx>
                          <w:tblCellMar>
                            <w:top w:w="0" w:type="dxa"/>
                            <w:bottom w:w="0" w:type="dxa"/>
                          </w:tblCellMar>
                        </w:tblPrEx>
                        <w:trPr>
                          <w:gridAfter w:val="6"/>
                          <w:wAfter w:w="1997" w:type="dxa"/>
                          <w:trHeight w:val="152"/>
                        </w:trPr>
                        <w:tc>
                          <w:tcPr>
                            <w:tcW w:w="2127" w:type="dxa"/>
                            <w:gridSpan w:val="23"/>
                            <w:tcBorders>
                              <w:left w:val="single" w:sz="4" w:space="0" w:color="030407"/>
                              <w:bottom w:val="single" w:sz="4" w:space="0" w:color="000000"/>
                              <w:right w:val="single" w:sz="4" w:space="0" w:color="07070D"/>
                            </w:tcBorders>
                            <w:shd w:val="clear" w:color="auto" w:fill="E8E7F3"/>
                            <w:vAlign w:val="center"/>
                          </w:tcPr>
                          <w:p w14:paraId="3B6691C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b/>
                                <w:bCs/>
                                <w:sz w:val="18"/>
                                <w:szCs w:val="18"/>
                              </w:rPr>
                              <w:t xml:space="preserve">30 </w:t>
                            </w:r>
                          </w:p>
                        </w:tc>
                        <w:tc>
                          <w:tcPr>
                            <w:tcW w:w="665" w:type="dxa"/>
                            <w:gridSpan w:val="9"/>
                            <w:tcBorders>
                              <w:left w:val="single" w:sz="4" w:space="0" w:color="07070D"/>
                              <w:bottom w:val="single" w:sz="4" w:space="0" w:color="000000"/>
                              <w:right w:val="single" w:sz="4" w:space="0" w:color="000000"/>
                            </w:tcBorders>
                            <w:shd w:val="clear" w:color="auto" w:fill="E8E7F3"/>
                            <w:vAlign w:val="center"/>
                          </w:tcPr>
                          <w:p w14:paraId="68F34653"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11.1 </w:t>
                            </w:r>
                          </w:p>
                        </w:tc>
                        <w:tc>
                          <w:tcPr>
                            <w:tcW w:w="657" w:type="dxa"/>
                            <w:gridSpan w:val="11"/>
                            <w:tcBorders>
                              <w:left w:val="single" w:sz="4" w:space="0" w:color="000000"/>
                              <w:bottom w:val="single" w:sz="4" w:space="0" w:color="000000"/>
                              <w:right w:val="single" w:sz="4" w:space="0" w:color="000000"/>
                            </w:tcBorders>
                            <w:shd w:val="clear" w:color="auto" w:fill="E8E7F3"/>
                            <w:vAlign w:val="center"/>
                          </w:tcPr>
                          <w:p w14:paraId="57DDBF7C"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680" w:type="dxa"/>
                            <w:gridSpan w:val="11"/>
                            <w:tcBorders>
                              <w:left w:val="single" w:sz="4" w:space="0" w:color="000000"/>
                              <w:bottom w:val="single" w:sz="4" w:space="0" w:color="000000"/>
                              <w:right w:val="single" w:sz="4" w:space="0" w:color="000000"/>
                            </w:tcBorders>
                            <w:shd w:val="clear" w:color="auto" w:fill="E8E7F3"/>
                            <w:vAlign w:val="center"/>
                          </w:tcPr>
                          <w:p w14:paraId="7107D003"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14.0 </w:t>
                            </w:r>
                          </w:p>
                        </w:tc>
                        <w:tc>
                          <w:tcPr>
                            <w:tcW w:w="680" w:type="dxa"/>
                            <w:gridSpan w:val="13"/>
                            <w:tcBorders>
                              <w:left w:val="single" w:sz="4" w:space="0" w:color="000000"/>
                              <w:bottom w:val="single" w:sz="4" w:space="0" w:color="000000"/>
                              <w:right w:val="single" w:sz="4" w:space="0" w:color="000000"/>
                            </w:tcBorders>
                            <w:shd w:val="clear" w:color="auto" w:fill="E8E7F3"/>
                            <w:vAlign w:val="center"/>
                          </w:tcPr>
                          <w:p w14:paraId="53C3E65E"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14.6 </w:t>
                            </w:r>
                          </w:p>
                        </w:tc>
                        <w:tc>
                          <w:tcPr>
                            <w:tcW w:w="645" w:type="dxa"/>
                            <w:gridSpan w:val="8"/>
                            <w:tcBorders>
                              <w:left w:val="single" w:sz="4" w:space="0" w:color="000000"/>
                              <w:bottom w:val="single" w:sz="4" w:space="0" w:color="000000"/>
                              <w:right w:val="single" w:sz="4" w:space="0" w:color="000000"/>
                            </w:tcBorders>
                            <w:shd w:val="clear" w:color="auto" w:fill="E8E7F3"/>
                            <w:vAlign w:val="center"/>
                          </w:tcPr>
                          <w:p w14:paraId="1D6997EA" w14:textId="77777777" w:rsidR="00000000" w:rsidRDefault="00A450E1">
                            <w:pPr>
                              <w:pStyle w:val="Default"/>
                              <w:jc w:val="right"/>
                              <w:rPr>
                                <w:rFonts w:ascii="Helvetica 55 Roman" w:hAnsi="Helvetica 55 Roman" w:cs="Helvetica 55 Roman"/>
                                <w:sz w:val="18"/>
                                <w:szCs w:val="18"/>
                              </w:rPr>
                            </w:pPr>
                            <w:r>
                              <w:rPr>
                                <w:rFonts w:ascii="Helvetica 55 Roman" w:hAnsi="Helvetica 55 Roman" w:cs="Helvetica 55 Roman"/>
                                <w:sz w:val="18"/>
                                <w:szCs w:val="18"/>
                              </w:rPr>
                              <w:t xml:space="preserve">15.2 </w:t>
                            </w:r>
                          </w:p>
                        </w:tc>
                        <w:tc>
                          <w:tcPr>
                            <w:tcW w:w="605" w:type="dxa"/>
                            <w:gridSpan w:val="6"/>
                            <w:tcBorders>
                              <w:left w:val="single" w:sz="4" w:space="0" w:color="000000"/>
                              <w:bottom w:val="single" w:sz="4" w:space="0" w:color="000000"/>
                              <w:right w:val="single" w:sz="4" w:space="0" w:color="000000"/>
                            </w:tcBorders>
                            <w:shd w:val="clear" w:color="auto" w:fill="E8E7F3"/>
                            <w:vAlign w:val="center"/>
                          </w:tcPr>
                          <w:p w14:paraId="76F5B7D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15.7 </w:t>
                            </w:r>
                          </w:p>
                        </w:tc>
                        <w:tc>
                          <w:tcPr>
                            <w:tcW w:w="612" w:type="dxa"/>
                            <w:gridSpan w:val="7"/>
                            <w:tcBorders>
                              <w:left w:val="single" w:sz="4" w:space="0" w:color="000000"/>
                              <w:bottom w:val="single" w:sz="4" w:space="0" w:color="000000"/>
                              <w:right w:val="single" w:sz="4" w:space="0" w:color="000000"/>
                            </w:tcBorders>
                            <w:shd w:val="clear" w:color="auto" w:fill="E8E7F3"/>
                            <w:vAlign w:val="center"/>
                          </w:tcPr>
                          <w:p w14:paraId="4B9A5FB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17.5 </w:t>
                            </w:r>
                          </w:p>
                        </w:tc>
                        <w:tc>
                          <w:tcPr>
                            <w:tcW w:w="605" w:type="dxa"/>
                            <w:gridSpan w:val="5"/>
                            <w:tcBorders>
                              <w:left w:val="single" w:sz="4" w:space="0" w:color="000000"/>
                              <w:bottom w:val="single" w:sz="4" w:space="0" w:color="000000"/>
                              <w:right w:val="single" w:sz="4" w:space="0" w:color="000000"/>
                            </w:tcBorders>
                            <w:shd w:val="clear" w:color="auto" w:fill="E8E7F3"/>
                            <w:vAlign w:val="center"/>
                          </w:tcPr>
                          <w:p w14:paraId="7C55BFC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25.5 </w:t>
                            </w:r>
                          </w:p>
                        </w:tc>
                        <w:tc>
                          <w:tcPr>
                            <w:tcW w:w="600" w:type="dxa"/>
                            <w:gridSpan w:val="6"/>
                            <w:tcBorders>
                              <w:left w:val="single" w:sz="4" w:space="0" w:color="000000"/>
                              <w:bottom w:val="single" w:sz="4" w:space="0" w:color="000000"/>
                              <w:right w:val="single" w:sz="4" w:space="0" w:color="000000"/>
                            </w:tcBorders>
                            <w:shd w:val="clear" w:color="auto" w:fill="E8E7F3"/>
                            <w:vAlign w:val="center"/>
                          </w:tcPr>
                          <w:p w14:paraId="00AAEAC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31.4 </w:t>
                            </w:r>
                          </w:p>
                        </w:tc>
                        <w:tc>
                          <w:tcPr>
                            <w:tcW w:w="605" w:type="dxa"/>
                            <w:tcBorders>
                              <w:left w:val="single" w:sz="4" w:space="0" w:color="000000"/>
                              <w:bottom w:val="single" w:sz="4" w:space="0" w:color="000000"/>
                              <w:right w:val="single" w:sz="4" w:space="0" w:color="000000"/>
                            </w:tcBorders>
                            <w:shd w:val="clear" w:color="auto" w:fill="E8E7F3"/>
                            <w:vAlign w:val="center"/>
                          </w:tcPr>
                          <w:p w14:paraId="37FE3BE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39.8 </w:t>
                            </w:r>
                          </w:p>
                        </w:tc>
                        <w:tc>
                          <w:tcPr>
                            <w:tcW w:w="610" w:type="dxa"/>
                            <w:gridSpan w:val="8"/>
                            <w:tcBorders>
                              <w:left w:val="single" w:sz="4" w:space="0" w:color="000000"/>
                              <w:bottom w:val="single" w:sz="4" w:space="0" w:color="000000"/>
                              <w:right w:val="single" w:sz="4" w:space="0" w:color="030407"/>
                            </w:tcBorders>
                            <w:shd w:val="clear" w:color="auto" w:fill="E8E7F3"/>
                            <w:vAlign w:val="center"/>
                          </w:tcPr>
                          <w:p w14:paraId="2F4CAB5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46.3 </w:t>
                            </w:r>
                          </w:p>
                        </w:tc>
                      </w:tr>
                    </w:tbl>
                  </w:txbxContent>
                </v:textbox>
                <w10:wrap type="through" anchorx="page" anchory="page"/>
              </v:shape>
            </w:pict>
          </mc:Fallback>
        </mc:AlternateContent>
      </w:r>
    </w:p>
    <w:p w14:paraId="31F9EDA7" w14:textId="77777777" w:rsidR="00541A14" w:rsidRDefault="00A450E1">
      <w:pPr>
        <w:pStyle w:val="CM1"/>
        <w:jc w:val="center"/>
        <w:rPr>
          <w:rFonts w:ascii="Palatino" w:hAnsi="Palatino" w:cs="Palatino"/>
          <w:sz w:val="20"/>
          <w:szCs w:val="20"/>
        </w:rPr>
      </w:pPr>
      <w:r>
        <w:rPr>
          <w:rFonts w:ascii="Palatino" w:hAnsi="Palatino" w:cs="Palatino"/>
          <w:sz w:val="20"/>
          <w:szCs w:val="20"/>
        </w:rPr>
        <w:t xml:space="preserve">The values in Table 5 are derived from the formula: </w:t>
      </w:r>
    </w:p>
    <w:p w14:paraId="5C1EDDC8" w14:textId="77777777" w:rsidR="00541A14" w:rsidRDefault="00A450E1">
      <w:pPr>
        <w:pStyle w:val="CM1"/>
        <w:jc w:val="center"/>
        <w:rPr>
          <w:rFonts w:ascii="Times New Roman" w:hAnsi="Times New Roman"/>
          <w:sz w:val="22"/>
          <w:szCs w:val="22"/>
        </w:rPr>
      </w:pPr>
      <w:r>
        <w:rPr>
          <w:rFonts w:ascii="Times New Roman" w:hAnsi="Times New Roman"/>
          <w:i/>
          <w:iCs/>
          <w:sz w:val="22"/>
          <w:szCs w:val="22"/>
        </w:rPr>
        <w:t xml:space="preserve">g </w:t>
      </w:r>
    </w:p>
    <w:p w14:paraId="272F31C0" w14:textId="77777777" w:rsidR="00541A14" w:rsidRDefault="00A450E1">
      <w:pPr>
        <w:pStyle w:val="CM1"/>
        <w:jc w:val="center"/>
        <w:rPr>
          <w:rFonts w:ascii="Times New Roman" w:hAnsi="Times New Roman"/>
          <w:sz w:val="22"/>
          <w:szCs w:val="22"/>
        </w:rPr>
      </w:pPr>
      <w:r>
        <w:rPr>
          <w:rFonts w:ascii="Times New Roman" w:hAnsi="Times New Roman"/>
          <w:sz w:val="22"/>
          <w:szCs w:val="22"/>
        </w:rPr>
        <w:t>=</w:t>
      </w:r>
    </w:p>
    <w:p w14:paraId="58946266" w14:textId="77777777" w:rsidR="00541A14" w:rsidRDefault="00A450E1">
      <w:pPr>
        <w:pStyle w:val="CM1"/>
        <w:jc w:val="center"/>
        <w:rPr>
          <w:rFonts w:ascii="Times New Roman" w:hAnsi="Times New Roman"/>
          <w:sz w:val="22"/>
          <w:szCs w:val="22"/>
        </w:rPr>
      </w:pPr>
      <w:r>
        <w:rPr>
          <w:rFonts w:ascii="Times New Roman" w:hAnsi="Times New Roman"/>
          <w:sz w:val="22"/>
          <w:szCs w:val="22"/>
        </w:rPr>
        <w:t>2.03</w:t>
      </w:r>
    </w:p>
    <w:p w14:paraId="4F8FC01D" w14:textId="77777777" w:rsidR="00541A14" w:rsidRDefault="00A450E1">
      <w:pPr>
        <w:pStyle w:val="CM1"/>
        <w:jc w:val="center"/>
        <w:rPr>
          <w:rFonts w:ascii="Times New Roman" w:hAnsi="Times New Roman"/>
          <w:sz w:val="22"/>
          <w:szCs w:val="22"/>
        </w:rPr>
      </w:pPr>
      <w:r>
        <w:rPr>
          <w:rFonts w:ascii="Times New Roman" w:hAnsi="Times New Roman"/>
          <w:sz w:val="22"/>
          <w:szCs w:val="22"/>
        </w:rPr>
        <w:t>×</w:t>
      </w:r>
    </w:p>
    <w:p w14:paraId="58CA094D" w14:textId="77777777" w:rsidR="00541A14" w:rsidRDefault="00A450E1">
      <w:pPr>
        <w:pStyle w:val="CM1"/>
        <w:spacing w:after="8657"/>
        <w:jc w:val="center"/>
        <w:rPr>
          <w:rFonts w:ascii="Times New Roman" w:hAnsi="Times New Roman"/>
          <w:sz w:val="22"/>
          <w:szCs w:val="22"/>
        </w:rPr>
      </w:pPr>
      <w:r>
        <w:rPr>
          <w:rFonts w:ascii="Cambria Math" w:hAnsi="Cambria Math" w:cs="Cambria Math"/>
          <w:sz w:val="22"/>
          <w:szCs w:val="22"/>
        </w:rPr>
        <w:t>⎛⎜</w:t>
      </w:r>
      <w:r>
        <w:rPr>
          <w:rFonts w:ascii="Symbol" w:hAnsi="Symbol" w:cs="Symbol"/>
          <w:sz w:val="22"/>
          <w:szCs w:val="22"/>
        </w:rPr>
        <w:t></w:t>
      </w:r>
    </w:p>
    <w:p w14:paraId="59D3B6F9" w14:textId="77777777" w:rsidR="00541A14" w:rsidRDefault="00DD420F">
      <w:pPr>
        <w:pStyle w:val="Default"/>
        <w:framePr w:w="953" w:wrap="auto" w:vAnchor="page" w:hAnchor="page" w:x="7195" w:y="13388"/>
        <w:spacing w:after="2080"/>
        <w:rPr>
          <w:rFonts w:ascii="Times New Roman" w:hAnsi="Times New Roman" w:cs="Times New Roman"/>
          <w:color w:val="auto"/>
          <w:sz w:val="22"/>
          <w:szCs w:val="22"/>
        </w:rPr>
      </w:pPr>
      <w:r>
        <w:rPr>
          <w:rFonts w:ascii="Times New Roman" w:hAnsi="Times New Roman" w:cs="Times New Roman"/>
          <w:noProof/>
          <w:color w:val="auto"/>
          <w:sz w:val="22"/>
          <w:szCs w:val="22"/>
        </w:rPr>
        <w:drawing>
          <wp:inline distT="0" distB="0" distL="0" distR="0" wp14:anchorId="4F0705AF" wp14:editId="5B71F7BE">
            <wp:extent cx="73660" cy="238760"/>
            <wp:effectExtent l="0" t="0" r="254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73660" cy="238760"/>
                    </a:xfrm>
                    <a:prstGeom prst="rect">
                      <a:avLst/>
                    </a:prstGeom>
                    <a:noFill/>
                    <a:ln>
                      <a:noFill/>
                    </a:ln>
                  </pic:spPr>
                </pic:pic>
              </a:graphicData>
            </a:graphic>
          </wp:inline>
        </w:drawing>
      </w:r>
    </w:p>
    <w:p w14:paraId="2A1F4CCB" w14:textId="77777777" w:rsidR="00541A14" w:rsidRDefault="00A450E1">
      <w:pPr>
        <w:pStyle w:val="CM1"/>
        <w:jc w:val="center"/>
        <w:rPr>
          <w:rFonts w:ascii="Times New Roman" w:hAnsi="Times New Roman"/>
          <w:sz w:val="22"/>
          <w:szCs w:val="22"/>
        </w:rPr>
      </w:pPr>
      <w:r>
        <w:rPr>
          <w:rFonts w:ascii="Times New Roman" w:hAnsi="Times New Roman"/>
          <w:i/>
          <w:iCs/>
          <w:sz w:val="22"/>
          <w:szCs w:val="22"/>
        </w:rPr>
        <w:t>h</w:t>
      </w:r>
    </w:p>
    <w:p w14:paraId="0DD1D586" w14:textId="77777777" w:rsidR="00541A14" w:rsidRDefault="00A450E1">
      <w:pPr>
        <w:pStyle w:val="CM1"/>
        <w:jc w:val="center"/>
        <w:rPr>
          <w:rFonts w:ascii="Times New Roman" w:hAnsi="Times New Roman"/>
          <w:sz w:val="22"/>
          <w:szCs w:val="22"/>
        </w:rPr>
      </w:pPr>
      <w:r>
        <w:rPr>
          <w:rFonts w:ascii="Cambria Math" w:hAnsi="Cambria Math" w:cs="Cambria Math"/>
          <w:sz w:val="22"/>
          <w:szCs w:val="22"/>
        </w:rPr>
        <w:t>⎞⎟</w:t>
      </w:r>
      <w:r>
        <w:rPr>
          <w:rFonts w:ascii="Symbol" w:hAnsi="Symbol" w:cs="Symbol"/>
          <w:sz w:val="22"/>
          <w:szCs w:val="22"/>
        </w:rPr>
        <w:t></w:t>
      </w:r>
      <w:r>
        <w:rPr>
          <w:rFonts w:ascii="Times New Roman" w:hAnsi="Times New Roman"/>
          <w:sz w:val="22"/>
          <w:szCs w:val="22"/>
        </w:rPr>
        <w:t xml:space="preserve"> </w:t>
      </w:r>
    </w:p>
    <w:p w14:paraId="45F93DFC" w14:textId="77777777" w:rsidR="00541A14" w:rsidRDefault="00A450E1">
      <w:pPr>
        <w:pStyle w:val="CM1"/>
        <w:jc w:val="center"/>
        <w:rPr>
          <w:rFonts w:ascii="Times New Roman" w:hAnsi="Times New Roman"/>
          <w:sz w:val="22"/>
          <w:szCs w:val="22"/>
        </w:rPr>
      </w:pPr>
      <w:r>
        <w:rPr>
          <w:rFonts w:ascii="Palatino" w:hAnsi="Palatino" w:cs="Palatino"/>
          <w:sz w:val="20"/>
          <w:szCs w:val="20"/>
        </w:rPr>
        <w:t xml:space="preserve">where: R= geographical range (nautical miles) </w:t>
      </w:r>
      <w:r>
        <w:rPr>
          <w:rFonts w:ascii="Times New Roman" w:hAnsi="Times New Roman"/>
          <w:i/>
          <w:iCs/>
          <w:sz w:val="22"/>
          <w:szCs w:val="22"/>
        </w:rPr>
        <w:t xml:space="preserve">R </w:t>
      </w:r>
    </w:p>
    <w:p w14:paraId="05CBD141" w14:textId="77777777" w:rsidR="00541A14" w:rsidRDefault="00A450E1">
      <w:pPr>
        <w:pStyle w:val="CM193"/>
        <w:spacing w:after="268"/>
        <w:jc w:val="both"/>
        <w:rPr>
          <w:rFonts w:ascii="Times New Roman" w:hAnsi="Times New Roman"/>
          <w:sz w:val="22"/>
          <w:szCs w:val="22"/>
        </w:rPr>
      </w:pPr>
      <w:r>
        <w:rPr>
          <w:rFonts w:ascii="Times New Roman" w:hAnsi="Times New Roman"/>
          <w:i/>
          <w:iCs/>
          <w:sz w:val="22"/>
          <w:szCs w:val="22"/>
        </w:rPr>
        <w:t xml:space="preserve">o </w:t>
      </w:r>
    </w:p>
    <w:p w14:paraId="772762E2" w14:textId="77777777" w:rsidR="00541A14" w:rsidRDefault="00DD420F">
      <w:pPr>
        <w:pStyle w:val="Default"/>
        <w:ind w:left="715"/>
        <w:rPr>
          <w:rFonts w:ascii="Times New Roman" w:hAnsi="Times New Roman" w:cs="Times New Roman"/>
          <w:color w:val="auto"/>
          <w:sz w:val="22"/>
          <w:szCs w:val="22"/>
        </w:rPr>
      </w:pPr>
      <w:r>
        <w:rPr>
          <w:rFonts w:ascii="Times New Roman" w:hAnsi="Times New Roman" w:cs="Times New Roman"/>
          <w:noProof/>
          <w:color w:val="auto"/>
          <w:sz w:val="22"/>
          <w:szCs w:val="22"/>
        </w:rPr>
        <w:drawing>
          <wp:inline distT="0" distB="0" distL="0" distR="0" wp14:anchorId="3E3A26D0" wp14:editId="57EFDDE4">
            <wp:extent cx="73660" cy="238760"/>
            <wp:effectExtent l="0" t="0" r="254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3660" cy="238760"/>
                    </a:xfrm>
                    <a:prstGeom prst="rect">
                      <a:avLst/>
                    </a:prstGeom>
                    <a:noFill/>
                    <a:ln>
                      <a:noFill/>
                    </a:ln>
                  </pic:spPr>
                </pic:pic>
              </a:graphicData>
            </a:graphic>
          </wp:inline>
        </w:drawing>
      </w:r>
      <w:r w:rsidR="00A450E1">
        <w:rPr>
          <w:rFonts w:ascii="Times New Roman" w:hAnsi="Times New Roman" w:cs="Times New Roman"/>
          <w:i/>
          <w:iCs/>
          <w:color w:val="auto"/>
          <w:sz w:val="22"/>
          <w:szCs w:val="22"/>
        </w:rPr>
        <w:t xml:space="preserve">m </w:t>
      </w:r>
    </w:p>
    <w:p w14:paraId="3D0961C0" w14:textId="77777777" w:rsidR="00541A14" w:rsidRDefault="00A450E1">
      <w:pPr>
        <w:pStyle w:val="CM1"/>
        <w:jc w:val="center"/>
        <w:rPr>
          <w:rFonts w:ascii="Times New Roman" w:hAnsi="Times New Roman"/>
          <w:sz w:val="22"/>
          <w:szCs w:val="22"/>
        </w:rPr>
      </w:pPr>
      <w:r>
        <w:rPr>
          <w:rFonts w:ascii="Times New Roman" w:hAnsi="Times New Roman"/>
          <w:sz w:val="22"/>
          <w:szCs w:val="22"/>
        </w:rPr>
        <w:t>+</w:t>
      </w:r>
    </w:p>
    <w:p w14:paraId="2BF7E116" w14:textId="77777777" w:rsidR="00541A14" w:rsidRDefault="00A450E1">
      <w:pPr>
        <w:pStyle w:val="CM1"/>
        <w:jc w:val="center"/>
        <w:rPr>
          <w:rFonts w:ascii="Times New Roman" w:hAnsi="Times New Roman"/>
          <w:sz w:val="22"/>
          <w:szCs w:val="22"/>
        </w:rPr>
      </w:pPr>
      <w:r>
        <w:rPr>
          <w:rFonts w:ascii="Times New Roman" w:hAnsi="Times New Roman"/>
          <w:i/>
          <w:iCs/>
          <w:sz w:val="22"/>
          <w:szCs w:val="22"/>
        </w:rPr>
        <w:t>H</w:t>
      </w:r>
    </w:p>
    <w:p w14:paraId="5F82D6C4" w14:textId="77777777" w:rsidR="00541A14" w:rsidRDefault="00A450E1">
      <w:pPr>
        <w:pStyle w:val="CM64"/>
        <w:ind w:left="855"/>
        <w:rPr>
          <w:rFonts w:ascii="Palatino" w:hAnsi="Palatino" w:cs="Palatino"/>
          <w:sz w:val="11"/>
          <w:szCs w:val="11"/>
        </w:rPr>
      </w:pPr>
      <w:r>
        <w:rPr>
          <w:rFonts w:ascii="Palatino" w:hAnsi="Palatino" w:cs="Palatino"/>
          <w:sz w:val="11"/>
          <w:szCs w:val="11"/>
        </w:rPr>
        <w:t>g</w:t>
      </w:r>
    </w:p>
    <w:p w14:paraId="39760BDF" w14:textId="77777777" w:rsidR="00541A14" w:rsidRDefault="00A450E1">
      <w:pPr>
        <w:pStyle w:val="CM169"/>
        <w:spacing w:after="65"/>
        <w:rPr>
          <w:rFonts w:ascii="Palatino" w:hAnsi="Palatino" w:cs="Palatino"/>
          <w:sz w:val="20"/>
          <w:szCs w:val="20"/>
        </w:rPr>
      </w:pPr>
      <w:r>
        <w:rPr>
          <w:rFonts w:ascii="Palatino" w:hAnsi="Palatino" w:cs="Palatino"/>
          <w:sz w:val="20"/>
          <w:szCs w:val="20"/>
        </w:rPr>
        <w:t xml:space="preserve">h= elevation of observer’s eye (metres) </w:t>
      </w:r>
    </w:p>
    <w:p w14:paraId="00B24EB8" w14:textId="77777777" w:rsidR="00541A14" w:rsidRDefault="00A450E1">
      <w:pPr>
        <w:pStyle w:val="Default"/>
        <w:ind w:left="115"/>
        <w:jc w:val="both"/>
        <w:rPr>
          <w:rFonts w:ascii="Palatino" w:hAnsi="Palatino" w:cs="Palatino"/>
          <w:color w:val="auto"/>
          <w:sz w:val="11"/>
          <w:szCs w:val="11"/>
        </w:rPr>
      </w:pPr>
      <w:r>
        <w:rPr>
          <w:rFonts w:ascii="Palatino" w:hAnsi="Palatino" w:cs="Palatino"/>
          <w:color w:val="auto"/>
          <w:sz w:val="11"/>
          <w:szCs w:val="11"/>
        </w:rPr>
        <w:t xml:space="preserve">o </w:t>
      </w:r>
    </w:p>
    <w:p w14:paraId="5382A11D" w14:textId="77777777" w:rsidR="00541A14" w:rsidRDefault="00A450E1">
      <w:pPr>
        <w:pStyle w:val="CM169"/>
        <w:spacing w:after="65"/>
        <w:ind w:right="482"/>
        <w:rPr>
          <w:rFonts w:ascii="Palatino" w:hAnsi="Palatino" w:cs="Palatino"/>
          <w:sz w:val="20"/>
          <w:szCs w:val="20"/>
        </w:rPr>
      </w:pPr>
      <w:r>
        <w:rPr>
          <w:rFonts w:ascii="Palatino" w:hAnsi="Palatino" w:cs="Palatino"/>
          <w:sz w:val="20"/>
          <w:szCs w:val="20"/>
        </w:rPr>
        <w:t xml:space="preserve">H= elevation of the mark (metres) </w:t>
      </w:r>
    </w:p>
    <w:p w14:paraId="556BBF2F" w14:textId="77777777" w:rsidR="00541A14" w:rsidRDefault="00A450E1">
      <w:pPr>
        <w:pStyle w:val="Default"/>
        <w:ind w:left="165"/>
        <w:jc w:val="both"/>
        <w:rPr>
          <w:rFonts w:ascii="Palatino" w:hAnsi="Palatino" w:cs="Palatino"/>
          <w:color w:val="auto"/>
          <w:sz w:val="11"/>
          <w:szCs w:val="11"/>
        </w:rPr>
      </w:pPr>
      <w:r>
        <w:rPr>
          <w:rFonts w:ascii="Palatino" w:hAnsi="Palatino" w:cs="Palatino"/>
          <w:color w:val="auto"/>
          <w:sz w:val="11"/>
          <w:szCs w:val="11"/>
        </w:rPr>
        <w:t xml:space="preserve">m </w:t>
      </w:r>
    </w:p>
    <w:p w14:paraId="219257BA" w14:textId="77777777" w:rsidR="00541A14" w:rsidRDefault="00A450E1">
      <w:pPr>
        <w:pStyle w:val="CM173"/>
        <w:spacing w:after="340" w:line="291" w:lineRule="atLeast"/>
        <w:rPr>
          <w:rFonts w:ascii="Palatino" w:hAnsi="Palatino" w:cs="Palatino"/>
          <w:sz w:val="20"/>
          <w:szCs w:val="20"/>
        </w:rPr>
      </w:pPr>
      <w:r>
        <w:rPr>
          <w:rFonts w:ascii="Palatino" w:hAnsi="Palatino" w:cs="Palatino"/>
          <w:b/>
          <w:bCs/>
          <w:sz w:val="20"/>
          <w:szCs w:val="20"/>
        </w:rPr>
        <w:t>Note</w:t>
      </w:r>
      <w:r>
        <w:rPr>
          <w:rFonts w:ascii="Palatino" w:hAnsi="Palatino" w:cs="Palatino"/>
          <w:sz w:val="20"/>
          <w:szCs w:val="20"/>
        </w:rPr>
        <w:t xml:space="preserve"> - The factor 2.03 accounts for refraction in the atmosphere. Climatic variations around the world may lead to different factors being recommended. The typical range of factors is 2.03 to 2.12. </w:t>
      </w:r>
    </w:p>
    <w:p w14:paraId="063C3265" w14:textId="77777777" w:rsidR="00541A14" w:rsidRDefault="00A450E1">
      <w:pPr>
        <w:pStyle w:val="CM163"/>
        <w:spacing w:after="642"/>
        <w:rPr>
          <w:rFonts w:ascii="Palatino" w:hAnsi="Palatino" w:cs="Palatino"/>
          <w:sz w:val="18"/>
          <w:szCs w:val="18"/>
        </w:rPr>
      </w:pPr>
      <w:r>
        <w:rPr>
          <w:rFonts w:ascii="Palatino" w:hAnsi="Palatino" w:cs="Palatino"/>
          <w:position w:val="6"/>
          <w:sz w:val="20"/>
          <w:szCs w:val="20"/>
          <w:vertAlign w:val="superscript"/>
        </w:rPr>
        <w:t>14</w:t>
      </w:r>
      <w:r>
        <w:rPr>
          <w:rFonts w:ascii="Palatino" w:hAnsi="Palatino" w:cs="Palatino"/>
          <w:sz w:val="20"/>
          <w:szCs w:val="20"/>
        </w:rPr>
        <w:t xml:space="preserve">That is, a magnifying power of 7 and an objective lens of 50 </w:t>
      </w:r>
      <w:r>
        <w:rPr>
          <w:rFonts w:ascii="Palatino" w:hAnsi="Palatino" w:cs="Palatino"/>
          <w:sz w:val="18"/>
          <w:szCs w:val="18"/>
        </w:rPr>
        <w:t xml:space="preserve">mm diameter. </w:t>
      </w:r>
    </w:p>
    <w:p w14:paraId="4E660C88" w14:textId="77777777" w:rsidR="00541A14" w:rsidRDefault="00DD420F">
      <w:pPr>
        <w:pStyle w:val="Default"/>
        <w:framePr w:w="10739" w:wrap="auto" w:vAnchor="page" w:hAnchor="page" w:x="1434" w:y="16278"/>
        <w:rPr>
          <w:rFonts w:ascii="Palatino" w:hAnsi="Palatino" w:cs="Palatino"/>
          <w:color w:val="auto"/>
          <w:sz w:val="18"/>
          <w:szCs w:val="18"/>
        </w:rPr>
      </w:pPr>
      <w:r>
        <w:rPr>
          <w:rFonts w:ascii="Palatino" w:hAnsi="Palatino" w:cs="Palatino"/>
          <w:noProof/>
          <w:color w:val="auto"/>
          <w:sz w:val="18"/>
          <w:szCs w:val="18"/>
        </w:rPr>
        <w:drawing>
          <wp:inline distT="0" distB="0" distL="0" distR="0" wp14:anchorId="282055FC" wp14:editId="7B8F7C6F">
            <wp:extent cx="7542530" cy="420370"/>
            <wp:effectExtent l="0" t="0" r="1270" b="1143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3BFB8DF4" w14:textId="77777777" w:rsidR="00541A14" w:rsidRDefault="00DD420F">
      <w:pPr>
        <w:pStyle w:val="Default"/>
        <w:pageBreakBefore/>
        <w:framePr w:w="24763" w:wrap="auto" w:vAnchor="page" w:hAnchor="page" w:x="101" w:y="1"/>
        <w:spacing w:after="680"/>
        <w:rPr>
          <w:rFonts w:ascii="Palatino" w:hAnsi="Palatino" w:cs="Palatino"/>
          <w:color w:val="auto"/>
          <w:sz w:val="18"/>
          <w:szCs w:val="18"/>
        </w:rPr>
      </w:pPr>
      <w:r>
        <w:rPr>
          <w:rFonts w:ascii="Palatino" w:hAnsi="Palatino" w:cs="Palatino"/>
          <w:noProof/>
          <w:color w:val="auto"/>
          <w:sz w:val="18"/>
          <w:szCs w:val="18"/>
        </w:rPr>
        <w:drawing>
          <wp:inline distT="0" distB="0" distL="0" distR="0" wp14:anchorId="4AA5B100" wp14:editId="51841E72">
            <wp:extent cx="7553960" cy="115316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3C81AD98"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Meteorological Optical Range </w:t>
      </w:r>
    </w:p>
    <w:p w14:paraId="55ED85E5" w14:textId="77777777" w:rsidR="00541A14" w:rsidRDefault="00A450E1">
      <w:pPr>
        <w:pStyle w:val="CM169"/>
        <w:spacing w:after="65"/>
        <w:rPr>
          <w:rFonts w:ascii="Palatino" w:hAnsi="Palatino" w:cs="Palatino"/>
          <w:color w:val="000000"/>
          <w:sz w:val="20"/>
          <w:szCs w:val="20"/>
        </w:rPr>
      </w:pPr>
      <w:r>
        <w:rPr>
          <w:rFonts w:ascii="Palatino" w:hAnsi="Palatino" w:cs="Palatino"/>
          <w:color w:val="000000"/>
          <w:sz w:val="20"/>
          <w:szCs w:val="20"/>
        </w:rPr>
        <w:t xml:space="preserve">This is the distance through the atmosphere that is required for 95% attenuation in the luminous flux </w:t>
      </w:r>
    </w:p>
    <w:p w14:paraId="14368EB1" w14:textId="77777777" w:rsidR="00541A14" w:rsidRDefault="00A450E1">
      <w:pPr>
        <w:pStyle w:val="CM185"/>
        <w:spacing w:after="140" w:line="336" w:lineRule="atLeast"/>
        <w:ind w:right="905"/>
        <w:rPr>
          <w:rFonts w:ascii="Palatino" w:hAnsi="Palatino" w:cs="Palatino"/>
          <w:color w:val="000000"/>
          <w:sz w:val="20"/>
          <w:szCs w:val="20"/>
        </w:rPr>
      </w:pPr>
      <w:r>
        <w:rPr>
          <w:rFonts w:ascii="Palatino" w:hAnsi="Palatino" w:cs="Palatino"/>
          <w:color w:val="000000"/>
          <w:sz w:val="20"/>
          <w:szCs w:val="20"/>
        </w:rPr>
        <w:t>of a collimated beam of light using a source colour temperature of 2700ºK. The meteorological optical range is related to the atmospheric transmissivity by the formula:</w:t>
      </w:r>
    </w:p>
    <w:p w14:paraId="0C0CD061" w14:textId="77777777" w:rsidR="00541A14" w:rsidRDefault="00A450E1">
      <w:pPr>
        <w:pStyle w:val="CM194"/>
        <w:spacing w:after="138"/>
        <w:ind w:left="1372"/>
        <w:rPr>
          <w:rFonts w:ascii="Times New Roman" w:hAnsi="Times New Roman"/>
          <w:color w:val="000000"/>
          <w:sz w:val="23"/>
          <w:szCs w:val="23"/>
        </w:rPr>
      </w:pPr>
      <w:r>
        <w:rPr>
          <w:rFonts w:ascii="Times New Roman" w:hAnsi="Times New Roman"/>
          <w:color w:val="000000"/>
          <w:sz w:val="23"/>
          <w:szCs w:val="23"/>
          <w:u w:val="single"/>
        </w:rPr>
        <w:t>log 0.05</w:t>
      </w:r>
    </w:p>
    <w:p w14:paraId="62A2D5EE" w14:textId="77777777" w:rsidR="00541A14" w:rsidRDefault="00A450E1">
      <w:pPr>
        <w:pStyle w:val="CM181"/>
        <w:spacing w:after="195"/>
        <w:ind w:left="745"/>
        <w:rPr>
          <w:rFonts w:ascii="Times New Roman" w:hAnsi="Times New Roman"/>
          <w:color w:val="000000"/>
          <w:sz w:val="23"/>
          <w:szCs w:val="23"/>
        </w:rPr>
      </w:pPr>
      <w:r>
        <w:rPr>
          <w:rFonts w:ascii="Times New Roman" w:hAnsi="Times New Roman"/>
          <w:i/>
          <w:iCs/>
          <w:color w:val="000000"/>
          <w:sz w:val="23"/>
          <w:szCs w:val="23"/>
        </w:rPr>
        <w:t xml:space="preserve">V </w:t>
      </w:r>
      <w:r>
        <w:rPr>
          <w:rFonts w:ascii="Times New Roman" w:hAnsi="Times New Roman"/>
          <w:color w:val="000000"/>
          <w:sz w:val="23"/>
          <w:szCs w:val="23"/>
        </w:rPr>
        <w:t xml:space="preserve">= </w:t>
      </w:r>
      <w:r>
        <w:rPr>
          <w:rFonts w:ascii="Times New Roman" w:hAnsi="Times New Roman"/>
          <w:i/>
          <w:iCs/>
          <w:color w:val="000000"/>
          <w:sz w:val="23"/>
          <w:szCs w:val="23"/>
        </w:rPr>
        <w:t xml:space="preserve">d </w:t>
      </w:r>
    </w:p>
    <w:p w14:paraId="1BF5EA3F" w14:textId="77777777" w:rsidR="00541A14" w:rsidRDefault="00A450E1">
      <w:pPr>
        <w:pStyle w:val="CM195"/>
        <w:spacing w:after="353"/>
        <w:ind w:left="1507"/>
        <w:rPr>
          <w:rFonts w:ascii="Palatino" w:hAnsi="Palatino" w:cs="Palatino"/>
          <w:color w:val="000000"/>
          <w:sz w:val="20"/>
          <w:szCs w:val="20"/>
        </w:rPr>
      </w:pPr>
      <w:r>
        <w:rPr>
          <w:rFonts w:ascii="Times New Roman" w:hAnsi="Times New Roman"/>
          <w:color w:val="000000"/>
          <w:position w:val="-15"/>
          <w:sz w:val="23"/>
          <w:szCs w:val="23"/>
          <w:vertAlign w:val="subscript"/>
        </w:rPr>
        <w:t>log</w:t>
      </w:r>
      <w:r>
        <w:rPr>
          <w:rFonts w:ascii="Times New Roman" w:hAnsi="Times New Roman"/>
          <w:i/>
          <w:iCs/>
          <w:color w:val="000000"/>
          <w:position w:val="-15"/>
          <w:sz w:val="23"/>
          <w:szCs w:val="23"/>
          <w:vertAlign w:val="subscript"/>
        </w:rPr>
        <w:t xml:space="preserve">T </w:t>
      </w:r>
      <w:r>
        <w:rPr>
          <w:rFonts w:ascii="Palatino" w:hAnsi="Palatino" w:cs="Palatino"/>
          <w:color w:val="000000"/>
          <w:sz w:val="20"/>
          <w:szCs w:val="20"/>
        </w:rPr>
        <w:t xml:space="preserve">or </w:t>
      </w:r>
    </w:p>
    <w:p w14:paraId="4428441C" w14:textId="77777777" w:rsidR="00541A14" w:rsidRDefault="00DD420F">
      <w:pPr>
        <w:pStyle w:val="Default"/>
        <w:framePr w:w="2000" w:wrap="auto" w:vAnchor="page" w:hAnchor="page" w:x="4266" w:y="3906"/>
        <w:spacing w:after="320"/>
        <w:rPr>
          <w:rFonts w:ascii="Palatino" w:hAnsi="Palatino" w:cs="Palatino"/>
          <w:sz w:val="20"/>
          <w:szCs w:val="20"/>
        </w:rPr>
      </w:pPr>
      <w:r>
        <w:rPr>
          <w:rFonts w:ascii="Palatino" w:hAnsi="Palatino" w:cs="Palatino"/>
          <w:noProof/>
          <w:sz w:val="20"/>
          <w:szCs w:val="20"/>
        </w:rPr>
        <w:drawing>
          <wp:inline distT="0" distB="0" distL="0" distR="0" wp14:anchorId="5490E643" wp14:editId="55DE72ED">
            <wp:extent cx="761365" cy="278130"/>
            <wp:effectExtent l="0" t="0" r="635" b="127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61365" cy="278130"/>
                    </a:xfrm>
                    <a:prstGeom prst="rect">
                      <a:avLst/>
                    </a:prstGeom>
                    <a:noFill/>
                    <a:ln>
                      <a:noFill/>
                    </a:ln>
                  </pic:spPr>
                </pic:pic>
              </a:graphicData>
            </a:graphic>
          </wp:inline>
        </w:drawing>
      </w:r>
    </w:p>
    <w:p w14:paraId="57C9BC1D" w14:textId="77777777" w:rsidR="00541A14" w:rsidRDefault="00A450E1">
      <w:pPr>
        <w:pStyle w:val="CM165"/>
        <w:spacing w:after="85" w:line="286" w:lineRule="atLeast"/>
        <w:ind w:left="720" w:hanging="720"/>
        <w:rPr>
          <w:rFonts w:ascii="Palatino" w:hAnsi="Palatino" w:cs="Palatino"/>
          <w:color w:val="000000"/>
          <w:sz w:val="20"/>
          <w:szCs w:val="20"/>
        </w:rPr>
      </w:pPr>
      <w:r>
        <w:rPr>
          <w:rFonts w:ascii="Palatino" w:hAnsi="Palatino" w:cs="Palatino"/>
          <w:color w:val="000000"/>
          <w:sz w:val="20"/>
          <w:szCs w:val="20"/>
        </w:rPr>
        <w:t xml:space="preserve">Where: V = meteorological optical range (nautical miles) d = distance (nautical miles) T = atmospheric transmissivity </w:t>
      </w:r>
    </w:p>
    <w:p w14:paraId="71428B7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It is often convenient to simplify the above expression by giving the distance term a value of one, such that:</w:t>
      </w:r>
    </w:p>
    <w:p w14:paraId="20EE03EB" w14:textId="77777777" w:rsidR="00541A14" w:rsidRDefault="00DD420F">
      <w:pPr>
        <w:pStyle w:val="Default"/>
        <w:framePr w:w="3790" w:wrap="auto" w:vAnchor="page" w:hAnchor="page" w:x="2249" w:y="6110"/>
        <w:spacing w:after="200"/>
        <w:rPr>
          <w:rFonts w:ascii="Palatino" w:hAnsi="Palatino" w:cs="Palatino"/>
          <w:sz w:val="20"/>
          <w:szCs w:val="20"/>
        </w:rPr>
      </w:pPr>
      <w:r>
        <w:rPr>
          <w:rFonts w:ascii="Palatino" w:hAnsi="Palatino" w:cs="Palatino"/>
          <w:noProof/>
          <w:sz w:val="20"/>
          <w:szCs w:val="20"/>
        </w:rPr>
        <w:drawing>
          <wp:inline distT="0" distB="0" distL="0" distR="0" wp14:anchorId="51EBDF17" wp14:editId="60DA4BE5">
            <wp:extent cx="1902460" cy="266700"/>
            <wp:effectExtent l="0" t="0" r="2540" b="1270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902460" cy="266700"/>
                    </a:xfrm>
                    <a:prstGeom prst="rect">
                      <a:avLst/>
                    </a:prstGeom>
                    <a:noFill/>
                    <a:ln>
                      <a:noFill/>
                    </a:ln>
                  </pic:spPr>
                </pic:pic>
              </a:graphicData>
            </a:graphic>
          </wp:inline>
        </w:drawing>
      </w:r>
    </w:p>
    <w:p w14:paraId="66190930"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Visual Range </w:t>
      </w:r>
    </w:p>
    <w:p w14:paraId="698266D4" w14:textId="77777777" w:rsidR="00541A14" w:rsidRDefault="00A450E1">
      <w:pPr>
        <w:pStyle w:val="CM175"/>
        <w:spacing w:after="267" w:line="293" w:lineRule="atLeast"/>
        <w:ind w:right="245"/>
        <w:rPr>
          <w:rFonts w:ascii="Palatino" w:hAnsi="Palatino" w:cs="Palatino"/>
          <w:color w:val="000000"/>
          <w:sz w:val="20"/>
          <w:szCs w:val="20"/>
        </w:rPr>
      </w:pPr>
      <w:r>
        <w:rPr>
          <w:rFonts w:ascii="Palatino" w:hAnsi="Palatino" w:cs="Palatino"/>
          <w:color w:val="000000"/>
          <w:sz w:val="20"/>
          <w:szCs w:val="20"/>
        </w:rPr>
        <w:t xml:space="preserve">This is the maximum distance at which the contrast of the object against its background is reduced by the atmosphere to the contrast threshold of the observer. The visual range can be enhanced if the observer uses binoculars, although the effectiveness depends on the stability of the observer’s platform. Visual Range can be interpreted as the distance that a given light is seen by an observer. </w:t>
      </w:r>
    </w:p>
    <w:p w14:paraId="4AAFBE8A"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Luminous Range </w:t>
      </w:r>
    </w:p>
    <w:p w14:paraId="532D80B5" w14:textId="77777777" w:rsidR="00541A14" w:rsidRDefault="00A450E1">
      <w:pPr>
        <w:pStyle w:val="CM26"/>
        <w:ind w:right="177"/>
        <w:rPr>
          <w:rFonts w:ascii="Palatino" w:hAnsi="Palatino" w:cs="Palatino"/>
          <w:color w:val="000000"/>
          <w:sz w:val="20"/>
          <w:szCs w:val="20"/>
        </w:rPr>
      </w:pPr>
      <w:r>
        <w:rPr>
          <w:rFonts w:ascii="Palatino" w:hAnsi="Palatino" w:cs="Palatino"/>
          <w:color w:val="000000"/>
          <w:sz w:val="20"/>
          <w:szCs w:val="20"/>
        </w:rPr>
        <w:t xml:space="preserve">This is the maximum distance at which a given light signal can be seen by the eye of the observer at a given time, as determined by the meteorological visibility prevailing at that time. It does take into account the: </w:t>
      </w:r>
    </w:p>
    <w:p w14:paraId="13AF9206" w14:textId="77777777" w:rsidR="00541A14" w:rsidRDefault="00A450E1">
      <w:pPr>
        <w:pStyle w:val="Default"/>
        <w:numPr>
          <w:ilvl w:val="0"/>
          <w:numId w:val="32"/>
        </w:numPr>
        <w:rPr>
          <w:rFonts w:ascii="Palatino" w:hAnsi="Palatino" w:cs="Palatino"/>
          <w:sz w:val="20"/>
          <w:szCs w:val="20"/>
        </w:rPr>
      </w:pPr>
      <w:r>
        <w:rPr>
          <w:rFonts w:ascii="Palatino" w:hAnsi="Palatino" w:cs="Palatino"/>
          <w:sz w:val="20"/>
          <w:szCs w:val="20"/>
        </w:rPr>
        <w:t xml:space="preserve">height of the light; • observer’s height of eye; or </w:t>
      </w:r>
    </w:p>
    <w:p w14:paraId="5181A3BB" w14:textId="77777777" w:rsidR="00541A14" w:rsidRDefault="00A450E1">
      <w:pPr>
        <w:pStyle w:val="Default"/>
        <w:numPr>
          <w:ilvl w:val="0"/>
          <w:numId w:val="32"/>
        </w:numPr>
        <w:rPr>
          <w:rFonts w:ascii="Palatino" w:hAnsi="Palatino" w:cs="Palatino"/>
          <w:sz w:val="20"/>
          <w:szCs w:val="20"/>
        </w:rPr>
      </w:pPr>
      <w:r>
        <w:rPr>
          <w:rFonts w:ascii="Palatino" w:hAnsi="Palatino" w:cs="Palatino"/>
          <w:sz w:val="20"/>
          <w:szCs w:val="20"/>
        </w:rPr>
        <w:t xml:space="preserve">curvature of the Earth. </w:t>
      </w:r>
    </w:p>
    <w:p w14:paraId="75731592" w14:textId="77777777" w:rsidR="00541A14" w:rsidRDefault="00541A14">
      <w:pPr>
        <w:pStyle w:val="Default"/>
        <w:rPr>
          <w:rFonts w:ascii="Palatino" w:hAnsi="Palatino" w:cs="Palatino"/>
          <w:sz w:val="20"/>
          <w:szCs w:val="20"/>
        </w:rPr>
      </w:pPr>
    </w:p>
    <w:p w14:paraId="5B0F7DAB" w14:textId="77777777" w:rsidR="00541A14" w:rsidRDefault="00A450E1">
      <w:pPr>
        <w:pStyle w:val="CM45"/>
        <w:rPr>
          <w:rFonts w:ascii="Futura Book" w:hAnsi="Futura Book" w:cs="Futura Book"/>
          <w:color w:val="2C5062"/>
          <w:sz w:val="20"/>
          <w:szCs w:val="20"/>
        </w:rPr>
      </w:pPr>
      <w:r>
        <w:rPr>
          <w:rFonts w:ascii="Futura Book" w:hAnsi="Futura Book" w:cs="Futura Book"/>
          <w:b/>
          <w:bCs/>
          <w:color w:val="2C5062"/>
          <w:sz w:val="20"/>
          <w:szCs w:val="20"/>
        </w:rPr>
        <w:t xml:space="preserve">Nominal Range </w:t>
      </w:r>
    </w:p>
    <w:p w14:paraId="7C54FE3B" w14:textId="77777777" w:rsidR="00541A14" w:rsidRDefault="00A450E1">
      <w:pPr>
        <w:pStyle w:val="CM169"/>
        <w:spacing w:after="65" w:line="346" w:lineRule="atLeast"/>
        <w:rPr>
          <w:rFonts w:ascii="Palatino" w:hAnsi="Palatino" w:cs="Palatino"/>
          <w:color w:val="000000"/>
          <w:sz w:val="20"/>
          <w:szCs w:val="20"/>
        </w:rPr>
      </w:pPr>
      <w:r>
        <w:rPr>
          <w:rFonts w:ascii="Palatino" w:hAnsi="Palatino" w:cs="Palatino"/>
          <w:color w:val="000000"/>
          <w:sz w:val="20"/>
          <w:szCs w:val="20"/>
        </w:rPr>
        <w:t xml:space="preserve">Nominal range is the luminous range when the meteorological visibility is 10 nautical miles, which is </w:t>
      </w:r>
    </w:p>
    <w:p w14:paraId="63AA19F6" w14:textId="77777777" w:rsidR="00541A14" w:rsidRDefault="00A450E1">
      <w:pPr>
        <w:pStyle w:val="CM45"/>
        <w:rPr>
          <w:rFonts w:ascii="Palatino" w:hAnsi="Palatino" w:cs="Palatino"/>
          <w:color w:val="000000"/>
          <w:sz w:val="20"/>
          <w:szCs w:val="20"/>
        </w:rPr>
      </w:pPr>
      <w:r>
        <w:rPr>
          <w:rFonts w:ascii="Palatino" w:hAnsi="Palatino" w:cs="Palatino"/>
          <w:color w:val="000000"/>
          <w:sz w:val="20"/>
          <w:szCs w:val="20"/>
        </w:rPr>
        <w:t xml:space="preserve">equivalent to a transmission factor of T = 0.74. Nominal Range is generally the figure used in official </w:t>
      </w:r>
    </w:p>
    <w:p w14:paraId="0FB2EE60" w14:textId="77777777" w:rsidR="00541A14" w:rsidRDefault="00A450E1">
      <w:pPr>
        <w:pStyle w:val="CM175"/>
        <w:spacing w:after="267" w:line="320" w:lineRule="atLeast"/>
        <w:rPr>
          <w:rFonts w:ascii="Palatino" w:hAnsi="Palatino" w:cs="Palatino"/>
          <w:color w:val="000000"/>
          <w:sz w:val="20"/>
          <w:szCs w:val="20"/>
        </w:rPr>
      </w:pPr>
      <w:r>
        <w:rPr>
          <w:rFonts w:ascii="Palatino" w:hAnsi="Palatino" w:cs="Palatino"/>
          <w:color w:val="000000"/>
          <w:sz w:val="20"/>
          <w:szCs w:val="20"/>
        </w:rPr>
        <w:t xml:space="preserve">documentation such as nautical charts, Lists of Lights, etc. Nominal range assumes that the light is observed against a dark background, free of background lighting. </w:t>
      </w:r>
    </w:p>
    <w:p w14:paraId="5E6FA3F4"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3.2 Aids to Navigation Lights </w:t>
      </w:r>
    </w:p>
    <w:p w14:paraId="7BF1A1A0"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Until the first application of electricity for lights late in the nineteenth century, all artificial light was produced by fire. Illuminants progressed from pyres of wood (used up until the 1800’s), to oil wick lamps, vaporised oil and gas burners, then electric arc and tungsten filament lamps. Optical devices matched these developments, first with reflector systems and later with lenses. </w:t>
      </w:r>
    </w:p>
    <w:p w14:paraId="7FD27D1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It is interesting to note the efforts to understand human perception of light. To improve the efficiency </w:t>
      </w:r>
    </w:p>
    <w:p w14:paraId="4915F93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and effectiveness of aids to navigation, illuminants and optical apparatus were at the forefront of </w:t>
      </w:r>
    </w:p>
    <w:p w14:paraId="6B071B7B" w14:textId="77777777" w:rsidR="00541A14" w:rsidRDefault="00A450E1">
      <w:pPr>
        <w:pStyle w:val="CM163"/>
        <w:spacing w:after="642" w:line="291" w:lineRule="atLeast"/>
        <w:rPr>
          <w:rFonts w:ascii="Palatino" w:hAnsi="Palatino" w:cs="Palatino"/>
          <w:color w:val="000000"/>
          <w:sz w:val="20"/>
          <w:szCs w:val="20"/>
        </w:rPr>
      </w:pPr>
      <w:r>
        <w:rPr>
          <w:rFonts w:ascii="Palatino" w:hAnsi="Palatino" w:cs="Palatino"/>
          <w:color w:val="000000"/>
          <w:sz w:val="20"/>
          <w:szCs w:val="20"/>
        </w:rPr>
        <w:t xml:space="preserve">scientific endeavours for many years. </w:t>
      </w:r>
    </w:p>
    <w:p w14:paraId="0AB62FBA"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319E8887" wp14:editId="29E871F2">
            <wp:extent cx="7553960" cy="420370"/>
            <wp:effectExtent l="0" t="0" r="0" b="1143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0A51B7BC" w14:textId="77777777" w:rsidR="00541A14" w:rsidRDefault="00DD420F">
      <w:pPr>
        <w:pStyle w:val="Default"/>
        <w:pageBreakBefore/>
        <w:framePr w:w="12857" w:wrap="auto" w:vAnchor="page" w:hAnchor="page" w:x="101" w:y="1"/>
        <w:spacing w:after="620"/>
        <w:rPr>
          <w:rFonts w:ascii="Palatino" w:hAnsi="Palatino" w:cs="Palatino"/>
          <w:sz w:val="20"/>
          <w:szCs w:val="20"/>
        </w:rPr>
      </w:pPr>
      <w:r>
        <w:rPr>
          <w:rFonts w:ascii="Palatino" w:hAnsi="Palatino" w:cs="Palatino"/>
          <w:noProof/>
          <w:sz w:val="20"/>
          <w:szCs w:val="20"/>
        </w:rPr>
        <w:drawing>
          <wp:inline distT="0" distB="0" distL="0" distR="0" wp14:anchorId="55680EA7" wp14:editId="14071049">
            <wp:extent cx="7553960" cy="115316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7C024D82" w14:textId="77777777" w:rsidR="00541A14" w:rsidRDefault="00A450E1">
      <w:pPr>
        <w:pStyle w:val="CM59"/>
        <w:rPr>
          <w:rFonts w:ascii="Palatino" w:hAnsi="Palatino" w:cs="Palatino"/>
          <w:color w:val="000000"/>
          <w:sz w:val="20"/>
          <w:szCs w:val="20"/>
        </w:rPr>
      </w:pPr>
      <w:r>
        <w:rPr>
          <w:rFonts w:ascii="Palatino" w:hAnsi="Palatino" w:cs="Palatino"/>
          <w:color w:val="000000"/>
          <w:sz w:val="20"/>
          <w:szCs w:val="20"/>
        </w:rPr>
        <w:t xml:space="preserve">The glass lens design pioneered by Fresnel around 1820 remains a principal element of the modern aid </w:t>
      </w:r>
    </w:p>
    <w:p w14:paraId="7F64667D" w14:textId="77777777" w:rsidR="00541A14" w:rsidRDefault="00A450E1">
      <w:pPr>
        <w:pStyle w:val="CM59"/>
        <w:rPr>
          <w:rFonts w:ascii="Palatino" w:hAnsi="Palatino" w:cs="Palatino"/>
          <w:color w:val="000000"/>
          <w:sz w:val="20"/>
          <w:szCs w:val="20"/>
        </w:rPr>
      </w:pPr>
      <w:r>
        <w:rPr>
          <w:rFonts w:ascii="Palatino" w:hAnsi="Palatino" w:cs="Palatino"/>
          <w:color w:val="000000"/>
          <w:sz w:val="20"/>
          <w:szCs w:val="20"/>
        </w:rPr>
        <w:t xml:space="preserve">to navigation light, although present day lenses are often made of plastic rather than glass.  A few countries still have gas lights that burn acetylene or propane. However, the majority of aids to navigation lights use electric lamps of various types. Increasingly, these lamps draw their power from renewable energy sources such as solar, wind or wave power. </w:t>
      </w:r>
    </w:p>
    <w:p w14:paraId="49BCC9C3" w14:textId="77777777" w:rsidR="00541A14" w:rsidRDefault="00A450E1">
      <w:pPr>
        <w:pStyle w:val="CM59"/>
        <w:rPr>
          <w:rFonts w:ascii="Palatino" w:hAnsi="Palatino" w:cs="Palatino"/>
          <w:color w:val="000000"/>
          <w:sz w:val="20"/>
          <w:szCs w:val="20"/>
        </w:rPr>
      </w:pPr>
      <w:r>
        <w:rPr>
          <w:rFonts w:ascii="Palatino" w:hAnsi="Palatino" w:cs="Palatino"/>
          <w:color w:val="000000"/>
          <w:sz w:val="20"/>
          <w:szCs w:val="20"/>
        </w:rPr>
        <w:t xml:space="preserve">Electric lamps have been specifically designed for aids to navigation applications. However, lamps </w:t>
      </w:r>
    </w:p>
    <w:p w14:paraId="6A951D85"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selected from the enormous range of commercial products have also been used or adapted for aids to navigation. </w:t>
      </w:r>
    </w:p>
    <w:p w14:paraId="759A75CB" w14:textId="77777777" w:rsidR="00541A14" w:rsidRDefault="00A450E1">
      <w:pPr>
        <w:pStyle w:val="CM175"/>
        <w:spacing w:after="267" w:line="291" w:lineRule="atLeast"/>
        <w:rPr>
          <w:rFonts w:ascii="Palatino" w:hAnsi="Palatino" w:cs="Palatino"/>
          <w:color w:val="000000"/>
          <w:sz w:val="20"/>
          <w:szCs w:val="20"/>
        </w:rPr>
      </w:pPr>
      <w:r>
        <w:rPr>
          <w:rFonts w:ascii="Palatino" w:hAnsi="Palatino" w:cs="Palatino"/>
          <w:color w:val="000000"/>
          <w:sz w:val="20"/>
          <w:szCs w:val="20"/>
        </w:rPr>
        <w:t xml:space="preserve">Light Emitting Diode (LED) technology is now used widely as an alternative to filament lamps. </w:t>
      </w:r>
    </w:p>
    <w:p w14:paraId="41A5DDF7" w14:textId="77777777" w:rsidR="00541A14" w:rsidRDefault="00A450E1">
      <w:pPr>
        <w:pStyle w:val="CM172"/>
        <w:spacing w:after="202"/>
        <w:rPr>
          <w:rFonts w:ascii="Futura Book" w:hAnsi="Futura Book" w:cs="Futura Book"/>
          <w:color w:val="2C5062"/>
          <w:sz w:val="22"/>
          <w:szCs w:val="22"/>
        </w:rPr>
      </w:pPr>
      <w:r>
        <w:rPr>
          <w:rFonts w:ascii="Futura Book" w:hAnsi="Futura Book" w:cs="Futura Book"/>
          <w:b/>
          <w:bCs/>
          <w:color w:val="2C5062"/>
          <w:sz w:val="22"/>
          <w:szCs w:val="22"/>
        </w:rPr>
        <w:t xml:space="preserve">3.2.1 Gas Lights </w:t>
      </w:r>
    </w:p>
    <w:p w14:paraId="134111E4"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Acetylene </w:t>
      </w:r>
    </w:p>
    <w:p w14:paraId="4258246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acetylene light has a special place in the history of aids to navigation, primarily for being the </w:t>
      </w:r>
    </w:p>
    <w:p w14:paraId="4A7975A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first reliable means of automating lighthouses, buoys and beacons during the earlier part of the 20th </w:t>
      </w:r>
    </w:p>
    <w:p w14:paraId="30A4947D" w14:textId="77777777" w:rsidR="00541A14" w:rsidRDefault="00A450E1">
      <w:pPr>
        <w:pStyle w:val="CM165"/>
        <w:spacing w:after="85" w:line="200" w:lineRule="atLeast"/>
        <w:ind w:firstLine="7180"/>
        <w:rPr>
          <w:rFonts w:ascii="Palatino" w:hAnsi="Palatino" w:cs="Palatino"/>
          <w:color w:val="000000"/>
          <w:sz w:val="20"/>
          <w:szCs w:val="20"/>
        </w:rPr>
      </w:pPr>
      <w:r>
        <w:rPr>
          <w:rFonts w:ascii="Palatino" w:hAnsi="Palatino" w:cs="Palatino"/>
          <w:color w:val="000000"/>
          <w:sz w:val="20"/>
          <w:szCs w:val="20"/>
        </w:rPr>
        <w:t xml:space="preserve">´century.  Acetylene lighting systems originated from the inventions of Gustaf Dalen and were made by a number of suppliers. Acetylene gas has the unusual property of burning with a white flame when correctly mixed with air. This enabled the development of exceptionally reliable open flame lanterns. </w:t>
      </w:r>
    </w:p>
    <w:p w14:paraId="34E1580D" w14:textId="77777777" w:rsidR="00541A14" w:rsidRDefault="00A450E1">
      <w:pPr>
        <w:pStyle w:val="CM16"/>
        <w:ind w:right="327"/>
        <w:rPr>
          <w:rFonts w:ascii="Palatino" w:hAnsi="Palatino" w:cs="Palatino"/>
          <w:color w:val="000000"/>
          <w:sz w:val="20"/>
          <w:szCs w:val="20"/>
        </w:rPr>
      </w:pPr>
      <w:r>
        <w:rPr>
          <w:rFonts w:ascii="Palatino" w:hAnsi="Palatino" w:cs="Palatino"/>
          <w:color w:val="000000"/>
          <w:sz w:val="20"/>
          <w:szCs w:val="20"/>
        </w:rPr>
        <w:t xml:space="preserve">Acetylene lighting technology was further enhanced by the development of the Dalen “mixer” that allowed gas and air to be drawn into a chamber and then consumed in an incandescent mantle to </w:t>
      </w:r>
    </w:p>
    <w:p w14:paraId="43FBBFFE"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 xml:space="preserve">produce a brighter light source than the open flame type.  The incandescent mantle can be operated as a flashing source inside a fixed lens or as a continuous source inside a rotating lens. Related </w:t>
      </w:r>
    </w:p>
    <w:p w14:paraId="2C0141E0" w14:textId="77777777" w:rsidR="00541A14" w:rsidRDefault="00A450E1">
      <w:pPr>
        <w:pStyle w:val="CM172"/>
        <w:spacing w:after="202" w:line="293" w:lineRule="atLeast"/>
        <w:ind w:right="570"/>
        <w:rPr>
          <w:rFonts w:ascii="Palatino" w:hAnsi="Palatino" w:cs="Palatino"/>
          <w:color w:val="000000"/>
          <w:sz w:val="20"/>
          <w:szCs w:val="20"/>
        </w:rPr>
      </w:pPr>
      <w:r>
        <w:rPr>
          <w:rFonts w:ascii="Palatino" w:hAnsi="Palatino" w:cs="Palatino"/>
          <w:color w:val="000000"/>
          <w:sz w:val="20"/>
          <w:szCs w:val="20"/>
        </w:rPr>
        <w:t xml:space="preserve">developments included a gas-operated mechanism for rotating a lens and a clockwork powered automatic mantle changing device. </w:t>
      </w:r>
    </w:p>
    <w:p w14:paraId="4748F69B"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Propane and Butane </w:t>
      </w:r>
    </w:p>
    <w:p w14:paraId="5529760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Propane and butane gases have been used as fuels for gas lighting systems.  The lighting equipment </w:t>
      </w:r>
    </w:p>
    <w:p w14:paraId="32A266C1"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has to use an incandescent mantle burner as both gasses burn with yellow/orange flames when an open flame burner is used. </w:t>
      </w:r>
    </w:p>
    <w:p w14:paraId="1B4CBD07" w14:textId="77777777" w:rsidR="00541A14" w:rsidRDefault="00A450E1">
      <w:pPr>
        <w:pStyle w:val="CM172"/>
        <w:spacing w:after="202" w:line="298" w:lineRule="atLeast"/>
        <w:ind w:right="507"/>
        <w:rPr>
          <w:rFonts w:ascii="Palatino" w:hAnsi="Palatino" w:cs="Palatino"/>
          <w:color w:val="000000"/>
          <w:sz w:val="20"/>
          <w:szCs w:val="20"/>
        </w:rPr>
      </w:pPr>
      <w:r>
        <w:rPr>
          <w:rFonts w:ascii="Palatino" w:hAnsi="Palatino" w:cs="Palatino"/>
          <w:color w:val="000000"/>
          <w:sz w:val="20"/>
          <w:szCs w:val="20"/>
        </w:rPr>
        <w:t xml:space="preserve">Gas lighting installations continue to be used in some countries, where they are chosen for their robustness and simplicity of operation. They have been replaced by solar/electric installations in many countries generally resulting in considerable savings in operating costs. </w:t>
      </w:r>
    </w:p>
    <w:p w14:paraId="69FC70E2" w14:textId="77777777" w:rsidR="00541A14" w:rsidRDefault="00A450E1">
      <w:pPr>
        <w:pStyle w:val="CM165"/>
        <w:spacing w:after="85" w:line="298" w:lineRule="atLeast"/>
        <w:ind w:left="367"/>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148388E9" w14:textId="77777777" w:rsidR="00541A14" w:rsidRDefault="00A450E1">
      <w:pPr>
        <w:pStyle w:val="CM39"/>
        <w:spacing w:after="3117"/>
        <w:ind w:left="367"/>
        <w:rPr>
          <w:rFonts w:ascii="Palatino" w:hAnsi="Palatino" w:cs="Palatino"/>
          <w:color w:val="000000"/>
          <w:sz w:val="20"/>
          <w:szCs w:val="20"/>
        </w:rPr>
      </w:pPr>
      <w:r>
        <w:rPr>
          <w:rFonts w:ascii="Palatino" w:hAnsi="Palatino" w:cs="Palatino"/>
          <w:i/>
          <w:iCs/>
          <w:color w:val="000000"/>
          <w:sz w:val="20"/>
          <w:szCs w:val="20"/>
        </w:rPr>
        <w:t xml:space="preserve">Practical Note for the Safe Handling of Gases, October 1993. </w:t>
      </w:r>
    </w:p>
    <w:p w14:paraId="15282152"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6E087E68" wp14:editId="56E65D55">
            <wp:extent cx="7542530" cy="420370"/>
            <wp:effectExtent l="0" t="0" r="1270" b="1143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3F9315FD" w14:textId="77777777" w:rsidR="00541A14" w:rsidRDefault="00DD420F">
      <w:pPr>
        <w:pStyle w:val="Default"/>
        <w:pageBreakBefore/>
        <w:framePr w:w="24763" w:wrap="auto" w:vAnchor="page" w:hAnchor="page" w:x="101" w:y="1"/>
        <w:spacing w:after="600"/>
        <w:rPr>
          <w:rFonts w:ascii="Palatino" w:hAnsi="Palatino" w:cs="Palatino"/>
          <w:sz w:val="20"/>
          <w:szCs w:val="20"/>
        </w:rPr>
      </w:pPr>
      <w:r>
        <w:rPr>
          <w:rFonts w:ascii="Palatino" w:hAnsi="Palatino" w:cs="Palatino"/>
          <w:noProof/>
          <w:sz w:val="20"/>
          <w:szCs w:val="20"/>
        </w:rPr>
        <w:drawing>
          <wp:inline distT="0" distB="0" distL="0" distR="0" wp14:anchorId="5E9761F7" wp14:editId="709623A2">
            <wp:extent cx="7553960" cy="115316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08BF6487" w14:textId="77777777" w:rsidR="00541A14" w:rsidRDefault="00A450E1">
      <w:pPr>
        <w:pStyle w:val="CM175"/>
        <w:spacing w:after="267"/>
        <w:rPr>
          <w:rFonts w:ascii="Futura Book" w:hAnsi="Futura Book" w:cs="Futura Book"/>
          <w:color w:val="2C5062"/>
          <w:sz w:val="22"/>
          <w:szCs w:val="22"/>
        </w:rPr>
      </w:pPr>
      <w:r>
        <w:rPr>
          <w:rFonts w:ascii="Futura Book" w:hAnsi="Futura Book" w:cs="Futura Book"/>
          <w:b/>
          <w:bCs/>
          <w:color w:val="2C5062"/>
          <w:sz w:val="22"/>
          <w:szCs w:val="22"/>
        </w:rPr>
        <w:t xml:space="preserve">3.2.2 Electric Lights </w:t>
      </w:r>
    </w:p>
    <w:p w14:paraId="31804BD0"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Incandescent filament lamps </w:t>
      </w:r>
    </w:p>
    <w:p w14:paraId="21E929F4" w14:textId="77777777" w:rsidR="00541A14" w:rsidRDefault="00A450E1">
      <w:pPr>
        <w:pStyle w:val="CM165"/>
        <w:spacing w:after="85"/>
        <w:rPr>
          <w:rFonts w:ascii="Palatino" w:hAnsi="Palatino" w:cs="Palatino"/>
          <w:color w:val="000000"/>
          <w:sz w:val="20"/>
          <w:szCs w:val="20"/>
        </w:rPr>
      </w:pPr>
      <w:r>
        <w:rPr>
          <w:rFonts w:ascii="Palatino" w:hAnsi="Palatino" w:cs="Palatino"/>
          <w:b/>
          <w:bCs/>
          <w:color w:val="000000"/>
          <w:sz w:val="20"/>
          <w:szCs w:val="20"/>
        </w:rPr>
        <w:t xml:space="preserve">Tungsten filament </w:t>
      </w:r>
    </w:p>
    <w:p w14:paraId="08FB42BF" w14:textId="77777777" w:rsidR="00541A14" w:rsidRDefault="00A450E1">
      <w:pPr>
        <w:pStyle w:val="CM165"/>
        <w:spacing w:after="85"/>
        <w:rPr>
          <w:rFonts w:ascii="Palatino" w:hAnsi="Palatino" w:cs="Palatino"/>
          <w:color w:val="000000"/>
          <w:sz w:val="20"/>
          <w:szCs w:val="20"/>
        </w:rPr>
      </w:pPr>
      <w:r>
        <w:rPr>
          <w:rFonts w:ascii="Palatino" w:hAnsi="Palatino" w:cs="Palatino"/>
          <w:i/>
          <w:iCs/>
          <w:color w:val="000000"/>
          <w:sz w:val="20"/>
          <w:szCs w:val="20"/>
        </w:rPr>
        <w:t xml:space="preserve">Description of operation: </w:t>
      </w:r>
    </w:p>
    <w:p w14:paraId="2A3C4958" w14:textId="77777777" w:rsidR="00541A14" w:rsidRDefault="00A450E1">
      <w:pPr>
        <w:pStyle w:val="Default"/>
        <w:numPr>
          <w:ilvl w:val="0"/>
          <w:numId w:val="33"/>
        </w:numPr>
        <w:rPr>
          <w:rFonts w:ascii="Palatino" w:hAnsi="Palatino" w:cs="Palatino"/>
          <w:sz w:val="20"/>
          <w:szCs w:val="20"/>
        </w:rPr>
      </w:pPr>
      <w:r>
        <w:rPr>
          <w:rFonts w:ascii="Palatino" w:hAnsi="Palatino" w:cs="Palatino"/>
          <w:sz w:val="20"/>
          <w:szCs w:val="20"/>
        </w:rPr>
        <w:t xml:space="preserve">Can be operated directly from an appropriate electrical supply. </w:t>
      </w:r>
    </w:p>
    <w:p w14:paraId="65D67209" w14:textId="77777777" w:rsidR="00541A14" w:rsidRDefault="00A450E1">
      <w:pPr>
        <w:pStyle w:val="Default"/>
        <w:numPr>
          <w:ilvl w:val="0"/>
          <w:numId w:val="33"/>
        </w:numPr>
        <w:rPr>
          <w:rFonts w:ascii="Palatino" w:hAnsi="Palatino" w:cs="Palatino"/>
          <w:sz w:val="20"/>
          <w:szCs w:val="20"/>
        </w:rPr>
      </w:pPr>
      <w:r>
        <w:rPr>
          <w:rFonts w:ascii="Palatino" w:hAnsi="Palatino" w:cs="Palatino"/>
          <w:sz w:val="20"/>
          <w:szCs w:val="20"/>
        </w:rPr>
        <w:t xml:space="preserve">Nominal voltage 6 to 240 Volt (V), both Alternating Current (AC) and Direct Current (DC). </w:t>
      </w:r>
    </w:p>
    <w:p w14:paraId="6EE19E88" w14:textId="77777777" w:rsidR="00541A14" w:rsidRDefault="00A450E1">
      <w:pPr>
        <w:pStyle w:val="Default"/>
        <w:numPr>
          <w:ilvl w:val="0"/>
          <w:numId w:val="33"/>
        </w:numPr>
        <w:rPr>
          <w:rFonts w:ascii="Palatino" w:hAnsi="Palatino" w:cs="Palatino"/>
          <w:sz w:val="20"/>
          <w:szCs w:val="20"/>
        </w:rPr>
      </w:pPr>
      <w:r>
        <w:rPr>
          <w:rFonts w:ascii="Palatino" w:hAnsi="Palatino" w:cs="Palatino"/>
          <w:sz w:val="20"/>
          <w:szCs w:val="20"/>
        </w:rPr>
        <w:t xml:space="preserve">These light sources have been used in most countries from at least the early 1900s. Many special lamp designs have been used over the years, as filament size, shape, and location must be well </w:t>
      </w:r>
    </w:p>
    <w:p w14:paraId="608BAA63" w14:textId="77777777" w:rsidR="00541A14" w:rsidRDefault="00541A14">
      <w:pPr>
        <w:pStyle w:val="Default"/>
        <w:rPr>
          <w:rFonts w:ascii="Palatino" w:hAnsi="Palatino" w:cs="Palatino"/>
          <w:sz w:val="20"/>
          <w:szCs w:val="20"/>
        </w:rPr>
      </w:pPr>
    </w:p>
    <w:p w14:paraId="69146FDB"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matched to the lens system. </w:t>
      </w:r>
    </w:p>
    <w:p w14:paraId="501400D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i/>
          <w:iCs/>
          <w:color w:val="000000"/>
          <w:sz w:val="20"/>
          <w:szCs w:val="20"/>
        </w:rPr>
        <w:t xml:space="preserve">Typical use: </w:t>
      </w:r>
    </w:p>
    <w:p w14:paraId="2A723C7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All types of lighted beacons (e.g. leading lights, sector lights, 360° lights and lanterns on light buoys) Some countries and manufacturers have adopted standard designs, with reference codes, for lamps </w:t>
      </w:r>
    </w:p>
    <w:p w14:paraId="7B863F5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designed specially for lighthouse applications. These designs typically include filament supports to maintain filament shape and ensure an even output over 360 degrees azimuth. </w:t>
      </w:r>
    </w:p>
    <w:p w14:paraId="68393A48"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 xml:space="preserve">Technical data: </w:t>
      </w:r>
    </w:p>
    <w:p w14:paraId="767DCD38" w14:textId="77777777" w:rsidR="00541A14" w:rsidRDefault="00A450E1">
      <w:pPr>
        <w:pStyle w:val="Default"/>
        <w:numPr>
          <w:ilvl w:val="0"/>
          <w:numId w:val="34"/>
        </w:numPr>
        <w:rPr>
          <w:rFonts w:ascii="Palatino" w:hAnsi="Palatino" w:cs="Palatino"/>
          <w:sz w:val="20"/>
          <w:szCs w:val="20"/>
        </w:rPr>
      </w:pPr>
      <w:r>
        <w:rPr>
          <w:rFonts w:ascii="Palatino" w:hAnsi="Palatino" w:cs="Palatino"/>
          <w:sz w:val="20"/>
          <w:szCs w:val="20"/>
        </w:rPr>
        <w:t xml:space="preserve">Power: From 2 to 1000 Watt (3 500 W lamps have been used in the past) </w:t>
      </w:r>
    </w:p>
    <w:p w14:paraId="5336E137" w14:textId="77777777" w:rsidR="00541A14" w:rsidRDefault="00A450E1">
      <w:pPr>
        <w:pStyle w:val="Default"/>
        <w:numPr>
          <w:ilvl w:val="0"/>
          <w:numId w:val="34"/>
        </w:numPr>
        <w:rPr>
          <w:rFonts w:ascii="Palatino" w:hAnsi="Palatino" w:cs="Palatino"/>
          <w:sz w:val="20"/>
          <w:szCs w:val="20"/>
        </w:rPr>
      </w:pPr>
      <w:r>
        <w:rPr>
          <w:rFonts w:ascii="Palatino" w:hAnsi="Palatino" w:cs="Palatino"/>
          <w:sz w:val="20"/>
          <w:szCs w:val="20"/>
        </w:rPr>
        <w:t xml:space="preserve">Efficiency: From 9 to 19 lumens/ W </w:t>
      </w:r>
    </w:p>
    <w:p w14:paraId="7B6AEF31" w14:textId="77777777" w:rsidR="00541A14" w:rsidRDefault="00A450E1">
      <w:pPr>
        <w:pStyle w:val="Default"/>
        <w:numPr>
          <w:ilvl w:val="0"/>
          <w:numId w:val="34"/>
        </w:numPr>
        <w:rPr>
          <w:rFonts w:ascii="Palatino" w:hAnsi="Palatino" w:cs="Palatino"/>
          <w:sz w:val="20"/>
          <w:szCs w:val="20"/>
        </w:rPr>
      </w:pPr>
      <w:r>
        <w:rPr>
          <w:rFonts w:ascii="Palatino" w:hAnsi="Palatino" w:cs="Palatino"/>
          <w:sz w:val="20"/>
          <w:szCs w:val="20"/>
        </w:rPr>
        <w:t xml:space="preserve">Operating life: From 300 to1500 hours </w:t>
      </w:r>
    </w:p>
    <w:p w14:paraId="50672070" w14:textId="77777777" w:rsidR="00541A14" w:rsidRDefault="00541A14">
      <w:pPr>
        <w:pStyle w:val="Default"/>
        <w:rPr>
          <w:rFonts w:ascii="Palatino" w:hAnsi="Palatino" w:cs="Palatino"/>
          <w:sz w:val="20"/>
          <w:szCs w:val="20"/>
        </w:rPr>
      </w:pPr>
    </w:p>
    <w:p w14:paraId="1F54496C"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 xml:space="preserve">Advantages: </w:t>
      </w:r>
    </w:p>
    <w:p w14:paraId="7F917AD0" w14:textId="77777777" w:rsidR="00541A14" w:rsidRDefault="00A450E1">
      <w:pPr>
        <w:pStyle w:val="Default"/>
        <w:numPr>
          <w:ilvl w:val="0"/>
          <w:numId w:val="35"/>
        </w:numPr>
        <w:rPr>
          <w:rFonts w:ascii="Palatino" w:hAnsi="Palatino" w:cs="Palatino"/>
          <w:sz w:val="20"/>
          <w:szCs w:val="20"/>
        </w:rPr>
      </w:pPr>
      <w:r>
        <w:rPr>
          <w:rFonts w:ascii="Palatino" w:hAnsi="Palatino" w:cs="Palatino"/>
          <w:sz w:val="20"/>
          <w:szCs w:val="20"/>
        </w:rPr>
        <w:t xml:space="preserve">Coding can be easily achieved by interrupting the electrical supply. </w:t>
      </w:r>
    </w:p>
    <w:p w14:paraId="0B2181D1" w14:textId="77777777" w:rsidR="00541A14" w:rsidRDefault="00A450E1">
      <w:pPr>
        <w:pStyle w:val="Default"/>
        <w:numPr>
          <w:ilvl w:val="0"/>
          <w:numId w:val="35"/>
        </w:numPr>
        <w:rPr>
          <w:rFonts w:ascii="Palatino" w:hAnsi="Palatino" w:cs="Palatino"/>
          <w:sz w:val="20"/>
          <w:szCs w:val="20"/>
        </w:rPr>
      </w:pPr>
      <w:r>
        <w:rPr>
          <w:rFonts w:ascii="Palatino" w:hAnsi="Palatino" w:cs="Palatino"/>
          <w:sz w:val="20"/>
          <w:szCs w:val="20"/>
        </w:rPr>
        <w:t xml:space="preserve">Filament geometry can be designed to match the optic. </w:t>
      </w:r>
    </w:p>
    <w:p w14:paraId="1F7DD2F8" w14:textId="77777777" w:rsidR="00541A14" w:rsidRDefault="00A450E1">
      <w:pPr>
        <w:pStyle w:val="Default"/>
        <w:numPr>
          <w:ilvl w:val="0"/>
          <w:numId w:val="35"/>
        </w:numPr>
        <w:rPr>
          <w:rFonts w:ascii="Palatino" w:hAnsi="Palatino" w:cs="Palatino"/>
          <w:sz w:val="20"/>
          <w:szCs w:val="20"/>
        </w:rPr>
      </w:pPr>
      <w:r>
        <w:rPr>
          <w:rFonts w:ascii="Palatino" w:hAnsi="Palatino" w:cs="Palatino"/>
          <w:sz w:val="20"/>
          <w:szCs w:val="20"/>
        </w:rPr>
        <w:t xml:space="preserve">Diffusing envelope (e.g. pearl or etched) can improve lens illumination when used in older </w:t>
      </w:r>
    </w:p>
    <w:p w14:paraId="391335BB" w14:textId="77777777" w:rsidR="00541A14" w:rsidRDefault="00541A14">
      <w:pPr>
        <w:pStyle w:val="Default"/>
        <w:rPr>
          <w:rFonts w:ascii="Palatino" w:hAnsi="Palatino" w:cs="Palatino"/>
          <w:sz w:val="20"/>
          <w:szCs w:val="20"/>
        </w:rPr>
      </w:pPr>
    </w:p>
    <w:p w14:paraId="31012545"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optics, but at the expense of reduced intensity. </w:t>
      </w:r>
    </w:p>
    <w:p w14:paraId="13FF95D8" w14:textId="77777777" w:rsidR="00541A14" w:rsidRDefault="00A450E1">
      <w:pPr>
        <w:pStyle w:val="Default"/>
        <w:numPr>
          <w:ilvl w:val="0"/>
          <w:numId w:val="36"/>
        </w:numPr>
        <w:rPr>
          <w:rFonts w:ascii="Palatino" w:hAnsi="Palatino" w:cs="Palatino"/>
          <w:sz w:val="20"/>
          <w:szCs w:val="20"/>
        </w:rPr>
      </w:pPr>
      <w:r>
        <w:rPr>
          <w:rFonts w:ascii="Palatino" w:hAnsi="Palatino" w:cs="Palatino"/>
          <w:sz w:val="20"/>
          <w:szCs w:val="20"/>
        </w:rPr>
        <w:t xml:space="preserve">Broad colour spectrum provides good performance with most coloured filters. </w:t>
      </w:r>
    </w:p>
    <w:p w14:paraId="4F2447C6" w14:textId="77777777" w:rsidR="00541A14" w:rsidRDefault="00A450E1">
      <w:pPr>
        <w:pStyle w:val="Default"/>
        <w:numPr>
          <w:ilvl w:val="0"/>
          <w:numId w:val="36"/>
        </w:numPr>
        <w:rPr>
          <w:rFonts w:ascii="Palatino" w:hAnsi="Palatino" w:cs="Palatino"/>
          <w:sz w:val="20"/>
          <w:szCs w:val="20"/>
        </w:rPr>
      </w:pPr>
      <w:r>
        <w:rPr>
          <w:rFonts w:ascii="Palatino" w:hAnsi="Palatino" w:cs="Palatino"/>
          <w:sz w:val="20"/>
          <w:szCs w:val="20"/>
        </w:rPr>
        <w:t xml:space="preserve">Output reasonably stable over lifetime, but lamp envelope may start to blacken before lamp </w:t>
      </w:r>
    </w:p>
    <w:p w14:paraId="3DE25BA2" w14:textId="77777777" w:rsidR="00541A14" w:rsidRDefault="00541A14">
      <w:pPr>
        <w:pStyle w:val="Default"/>
        <w:rPr>
          <w:rFonts w:ascii="Palatino" w:hAnsi="Palatino" w:cs="Palatino"/>
          <w:sz w:val="20"/>
          <w:szCs w:val="20"/>
        </w:rPr>
      </w:pPr>
    </w:p>
    <w:p w14:paraId="2FE2347D"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failure. </w:t>
      </w:r>
    </w:p>
    <w:p w14:paraId="140462B3"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Remote monitoring by current sensing is simple. </w:t>
      </w:r>
    </w:p>
    <w:p w14:paraId="074B24DA"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 xml:space="preserve">Disadvantages: </w:t>
      </w:r>
    </w:p>
    <w:p w14:paraId="68D17F08" w14:textId="77777777" w:rsidR="00541A14" w:rsidRDefault="00A450E1">
      <w:pPr>
        <w:pStyle w:val="Default"/>
        <w:numPr>
          <w:ilvl w:val="0"/>
          <w:numId w:val="37"/>
        </w:numPr>
        <w:rPr>
          <w:rFonts w:ascii="Palatino" w:hAnsi="Palatino" w:cs="Palatino"/>
          <w:sz w:val="20"/>
          <w:szCs w:val="20"/>
        </w:rPr>
      </w:pPr>
      <w:r>
        <w:rPr>
          <w:rFonts w:ascii="Palatino" w:hAnsi="Palatino" w:cs="Palatino"/>
          <w:sz w:val="20"/>
          <w:szCs w:val="20"/>
        </w:rPr>
        <w:t xml:space="preserve">Relatively short lifetime. </w:t>
      </w:r>
    </w:p>
    <w:p w14:paraId="48034CD1" w14:textId="77777777" w:rsidR="00541A14" w:rsidRDefault="00A450E1">
      <w:pPr>
        <w:pStyle w:val="Default"/>
        <w:numPr>
          <w:ilvl w:val="0"/>
          <w:numId w:val="37"/>
        </w:numPr>
        <w:rPr>
          <w:rFonts w:ascii="Palatino" w:hAnsi="Palatino" w:cs="Palatino"/>
          <w:sz w:val="20"/>
          <w:szCs w:val="20"/>
        </w:rPr>
      </w:pPr>
      <w:r>
        <w:rPr>
          <w:rFonts w:ascii="Palatino" w:hAnsi="Palatino" w:cs="Palatino"/>
          <w:sz w:val="20"/>
          <w:szCs w:val="20"/>
        </w:rPr>
        <w:t xml:space="preserve">Specialist AtoN lamps are expensive. </w:t>
      </w:r>
    </w:p>
    <w:p w14:paraId="41A6D1E1" w14:textId="77777777" w:rsidR="00541A14" w:rsidRDefault="00A450E1">
      <w:pPr>
        <w:pStyle w:val="Default"/>
        <w:numPr>
          <w:ilvl w:val="0"/>
          <w:numId w:val="37"/>
        </w:numPr>
        <w:rPr>
          <w:rFonts w:ascii="Palatino" w:hAnsi="Palatino" w:cs="Palatino"/>
          <w:sz w:val="20"/>
          <w:szCs w:val="20"/>
        </w:rPr>
      </w:pPr>
      <w:r>
        <w:rPr>
          <w:rFonts w:ascii="Palatino" w:hAnsi="Palatino" w:cs="Palatino"/>
          <w:sz w:val="20"/>
          <w:szCs w:val="20"/>
        </w:rPr>
        <w:t xml:space="preserve">Colour rendering is not in the preferred white region (tends towards yellow). </w:t>
      </w:r>
    </w:p>
    <w:p w14:paraId="37CE8A6B" w14:textId="77777777" w:rsidR="00541A14" w:rsidRDefault="00A450E1">
      <w:pPr>
        <w:pStyle w:val="Default"/>
        <w:numPr>
          <w:ilvl w:val="0"/>
          <w:numId w:val="37"/>
        </w:numPr>
        <w:rPr>
          <w:rFonts w:ascii="Palatino" w:hAnsi="Palatino" w:cs="Palatino"/>
          <w:sz w:val="20"/>
          <w:szCs w:val="20"/>
        </w:rPr>
      </w:pPr>
      <w:r>
        <w:rPr>
          <w:rFonts w:ascii="Palatino" w:hAnsi="Palatino" w:cs="Palatino"/>
          <w:sz w:val="20"/>
          <w:szCs w:val="20"/>
        </w:rPr>
        <w:t xml:space="preserve">Efficiency poor. </w:t>
      </w:r>
    </w:p>
    <w:p w14:paraId="09A0F102" w14:textId="77777777" w:rsidR="00541A14" w:rsidRDefault="00541A14">
      <w:pPr>
        <w:pStyle w:val="Default"/>
        <w:rPr>
          <w:rFonts w:ascii="Palatino" w:hAnsi="Palatino" w:cs="Palatino"/>
          <w:sz w:val="20"/>
          <w:szCs w:val="20"/>
        </w:rPr>
      </w:pPr>
    </w:p>
    <w:p w14:paraId="7E4A8DCC"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Safety</w:t>
      </w:r>
      <w:r>
        <w:rPr>
          <w:rFonts w:ascii="Palatino" w:hAnsi="Palatino" w:cs="Palatino"/>
          <w:color w:val="000000"/>
          <w:sz w:val="20"/>
          <w:szCs w:val="20"/>
        </w:rPr>
        <w:t xml:space="preserve">: </w:t>
      </w:r>
    </w:p>
    <w:p w14:paraId="0D2ED488" w14:textId="77777777" w:rsidR="00541A14" w:rsidRDefault="00A450E1">
      <w:pPr>
        <w:pStyle w:val="Default"/>
        <w:numPr>
          <w:ilvl w:val="0"/>
          <w:numId w:val="38"/>
        </w:numPr>
        <w:rPr>
          <w:rFonts w:ascii="Palatino" w:hAnsi="Palatino" w:cs="Palatino"/>
          <w:sz w:val="20"/>
          <w:szCs w:val="20"/>
        </w:rPr>
      </w:pPr>
      <w:r>
        <w:rPr>
          <w:rFonts w:ascii="Palatino" w:hAnsi="Palatino" w:cs="Palatino"/>
          <w:sz w:val="20"/>
          <w:szCs w:val="20"/>
        </w:rPr>
        <w:t xml:space="preserve">High envelope temperature when in use. </w:t>
      </w:r>
    </w:p>
    <w:p w14:paraId="589C1DFA" w14:textId="77777777" w:rsidR="00541A14" w:rsidRDefault="00A450E1">
      <w:pPr>
        <w:pStyle w:val="Default"/>
        <w:numPr>
          <w:ilvl w:val="0"/>
          <w:numId w:val="38"/>
        </w:numPr>
        <w:rPr>
          <w:rFonts w:ascii="Palatino" w:hAnsi="Palatino" w:cs="Palatino"/>
          <w:sz w:val="20"/>
          <w:szCs w:val="20"/>
        </w:rPr>
      </w:pPr>
      <w:r>
        <w:rPr>
          <w:rFonts w:ascii="Palatino" w:hAnsi="Palatino" w:cs="Palatino"/>
          <w:sz w:val="20"/>
          <w:szCs w:val="20"/>
        </w:rPr>
        <w:t xml:space="preserve">Operating voltage may be hazardous. </w:t>
      </w:r>
    </w:p>
    <w:p w14:paraId="7836DEFA" w14:textId="77777777" w:rsidR="00541A14" w:rsidRDefault="00A450E1">
      <w:pPr>
        <w:pStyle w:val="Default"/>
        <w:numPr>
          <w:ilvl w:val="0"/>
          <w:numId w:val="38"/>
        </w:numPr>
        <w:rPr>
          <w:rFonts w:ascii="Palatino" w:hAnsi="Palatino" w:cs="Palatino"/>
          <w:sz w:val="20"/>
          <w:szCs w:val="20"/>
        </w:rPr>
      </w:pPr>
      <w:r>
        <w:rPr>
          <w:rFonts w:ascii="Palatino" w:hAnsi="Palatino" w:cs="Palatino"/>
          <w:sz w:val="20"/>
          <w:szCs w:val="20"/>
        </w:rPr>
        <w:t xml:space="preserve">Possible risk of arcing. </w:t>
      </w:r>
    </w:p>
    <w:p w14:paraId="6C1510E2" w14:textId="77777777" w:rsidR="00541A14" w:rsidRDefault="00A450E1">
      <w:pPr>
        <w:pStyle w:val="Default"/>
        <w:numPr>
          <w:ilvl w:val="0"/>
          <w:numId w:val="38"/>
        </w:numPr>
        <w:rPr>
          <w:rFonts w:ascii="Palatino" w:hAnsi="Palatino" w:cs="Palatino"/>
          <w:sz w:val="20"/>
          <w:szCs w:val="20"/>
        </w:rPr>
      </w:pPr>
      <w:r>
        <w:rPr>
          <w:rFonts w:ascii="Palatino" w:hAnsi="Palatino" w:cs="Palatino"/>
          <w:sz w:val="20"/>
          <w:szCs w:val="20"/>
        </w:rPr>
        <w:t xml:space="preserve">General glass hazard. </w:t>
      </w:r>
    </w:p>
    <w:p w14:paraId="7F3595E0" w14:textId="77777777" w:rsidR="00541A14" w:rsidRDefault="00541A14">
      <w:pPr>
        <w:pStyle w:val="Default"/>
        <w:rPr>
          <w:rFonts w:ascii="Palatino" w:hAnsi="Palatino" w:cs="Palatino"/>
          <w:sz w:val="20"/>
          <w:szCs w:val="20"/>
        </w:rPr>
      </w:pPr>
    </w:p>
    <w:p w14:paraId="45C3A23E" w14:textId="77777777" w:rsidR="00541A14" w:rsidRDefault="00A450E1">
      <w:pPr>
        <w:pStyle w:val="CM163"/>
        <w:spacing w:after="642" w:line="346" w:lineRule="atLeast"/>
        <w:rPr>
          <w:rFonts w:ascii="Palatino" w:hAnsi="Palatino" w:cs="Palatino"/>
          <w:color w:val="000000"/>
          <w:sz w:val="20"/>
          <w:szCs w:val="20"/>
        </w:rPr>
      </w:pPr>
      <w:r>
        <w:rPr>
          <w:rFonts w:ascii="Palatino" w:hAnsi="Palatino" w:cs="Palatino"/>
          <w:i/>
          <w:iCs/>
          <w:color w:val="000000"/>
          <w:sz w:val="20"/>
          <w:szCs w:val="20"/>
        </w:rPr>
        <w:t>Disposal</w:t>
      </w:r>
      <w:r>
        <w:rPr>
          <w:rFonts w:ascii="Palatino" w:hAnsi="Palatino" w:cs="Palatino"/>
          <w:color w:val="000000"/>
          <w:sz w:val="20"/>
          <w:szCs w:val="20"/>
        </w:rPr>
        <w:t xml:space="preserve">: Safe disposal appropriate for metal and glass waste. </w:t>
      </w:r>
    </w:p>
    <w:p w14:paraId="7D3405B4"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4AE1F510" wp14:editId="5983405A">
            <wp:extent cx="7553960" cy="420370"/>
            <wp:effectExtent l="0" t="0" r="0" b="1143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4FCBBAC8" w14:textId="77777777" w:rsidR="00541A14" w:rsidRDefault="00DD420F">
      <w:pPr>
        <w:pStyle w:val="Default"/>
        <w:pageBreakBefore/>
        <w:framePr w:w="12857" w:wrap="auto" w:vAnchor="page" w:hAnchor="page" w:x="101" w:y="1"/>
        <w:spacing w:after="620"/>
        <w:rPr>
          <w:rFonts w:ascii="Palatino" w:hAnsi="Palatino" w:cs="Palatino"/>
          <w:sz w:val="20"/>
          <w:szCs w:val="20"/>
        </w:rPr>
      </w:pPr>
      <w:r>
        <w:rPr>
          <w:rFonts w:ascii="Palatino" w:hAnsi="Palatino" w:cs="Palatino"/>
          <w:noProof/>
          <w:sz w:val="20"/>
          <w:szCs w:val="20"/>
        </w:rPr>
        <w:drawing>
          <wp:inline distT="0" distB="0" distL="0" distR="0" wp14:anchorId="1B4898DC" wp14:editId="4B1CF36F">
            <wp:extent cx="7553960" cy="115316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55C9762D" w14:textId="77777777" w:rsidR="00541A14" w:rsidRDefault="00A450E1">
      <w:pPr>
        <w:pStyle w:val="CM165"/>
        <w:spacing w:after="85"/>
        <w:rPr>
          <w:rFonts w:ascii="Palatino" w:hAnsi="Palatino" w:cs="Palatino"/>
          <w:color w:val="000000"/>
          <w:sz w:val="20"/>
          <w:szCs w:val="20"/>
        </w:rPr>
      </w:pPr>
      <w:r>
        <w:rPr>
          <w:rFonts w:ascii="Palatino" w:hAnsi="Palatino" w:cs="Palatino"/>
          <w:b/>
          <w:bCs/>
          <w:color w:val="000000"/>
          <w:sz w:val="20"/>
          <w:szCs w:val="20"/>
        </w:rPr>
        <w:t xml:space="preserve">tungsten halogen </w:t>
      </w:r>
    </w:p>
    <w:p w14:paraId="2CC78F4A" w14:textId="77777777" w:rsidR="00541A14" w:rsidRDefault="00A450E1">
      <w:pPr>
        <w:pStyle w:val="CM165"/>
        <w:spacing w:after="85"/>
        <w:rPr>
          <w:rFonts w:ascii="Palatino" w:hAnsi="Palatino" w:cs="Palatino"/>
          <w:color w:val="000000"/>
          <w:sz w:val="20"/>
          <w:szCs w:val="20"/>
        </w:rPr>
      </w:pPr>
      <w:r>
        <w:rPr>
          <w:rFonts w:ascii="Palatino" w:hAnsi="Palatino" w:cs="Palatino"/>
          <w:i/>
          <w:iCs/>
          <w:color w:val="000000"/>
          <w:sz w:val="20"/>
          <w:szCs w:val="20"/>
        </w:rPr>
        <w:t xml:space="preserve">Description of operation: </w:t>
      </w:r>
    </w:p>
    <w:p w14:paraId="7ED0D5C8" w14:textId="77777777" w:rsidR="00541A14" w:rsidRDefault="00A450E1">
      <w:pPr>
        <w:pStyle w:val="Default"/>
        <w:rPr>
          <w:rFonts w:ascii="Palatino" w:hAnsi="Palatino" w:cs="Palatino"/>
          <w:sz w:val="20"/>
          <w:szCs w:val="20"/>
        </w:rPr>
      </w:pPr>
      <w:r>
        <w:rPr>
          <w:rFonts w:ascii="Palatino" w:hAnsi="Palatino" w:cs="Palatino"/>
          <w:sz w:val="20"/>
          <w:szCs w:val="20"/>
        </w:rPr>
        <w:t xml:space="preserve">The tungsten halogen lamp encloses a small amount of halide with inert gas, and the tungsten </w:t>
      </w:r>
    </w:p>
    <w:p w14:paraId="2CA659EF" w14:textId="77777777" w:rsidR="00541A14" w:rsidRDefault="00A450E1">
      <w:pPr>
        <w:pStyle w:val="Default"/>
        <w:rPr>
          <w:rFonts w:ascii="Palatino" w:hAnsi="Palatino" w:cs="Palatino"/>
          <w:sz w:val="20"/>
          <w:szCs w:val="20"/>
        </w:rPr>
      </w:pPr>
      <w:r>
        <w:rPr>
          <w:rFonts w:ascii="Palatino" w:hAnsi="Palatino" w:cs="Palatino"/>
          <w:sz w:val="20"/>
          <w:szCs w:val="20"/>
        </w:rPr>
        <w:t xml:space="preserve">evaporating from the hot filament combines with the halogen to diffuse around the envelope wall. </w:t>
      </w:r>
    </w:p>
    <w:p w14:paraId="04D4FE78" w14:textId="77777777" w:rsidR="00541A14" w:rsidRDefault="00A450E1">
      <w:pPr>
        <w:pStyle w:val="Default"/>
        <w:rPr>
          <w:rFonts w:ascii="Palatino" w:hAnsi="Palatino" w:cs="Palatino"/>
          <w:sz w:val="20"/>
          <w:szCs w:val="20"/>
        </w:rPr>
      </w:pPr>
      <w:r>
        <w:rPr>
          <w:rFonts w:ascii="Palatino" w:hAnsi="Palatino" w:cs="Palatino"/>
          <w:sz w:val="20"/>
          <w:szCs w:val="20"/>
        </w:rPr>
        <w:t xml:space="preserve">Due to careful design the envelope operates at high temperature, and this prevents deposition of </w:t>
      </w:r>
    </w:p>
    <w:p w14:paraId="7A32F07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tungsten on the glass. The tungsten-halide is then carried by convection towards the filament where it is decomposed and the tungsten metal deposited back onto the filament. </w:t>
      </w:r>
    </w:p>
    <w:p w14:paraId="0F412D1A" w14:textId="77777777" w:rsidR="00541A14" w:rsidRDefault="00A450E1">
      <w:pPr>
        <w:pStyle w:val="Default"/>
        <w:numPr>
          <w:ilvl w:val="0"/>
          <w:numId w:val="39"/>
        </w:numPr>
        <w:rPr>
          <w:rFonts w:ascii="Palatino" w:hAnsi="Palatino" w:cs="Palatino"/>
          <w:sz w:val="20"/>
          <w:szCs w:val="20"/>
        </w:rPr>
      </w:pPr>
      <w:r>
        <w:rPr>
          <w:rFonts w:ascii="Palatino" w:hAnsi="Palatino" w:cs="Palatino"/>
          <w:sz w:val="20"/>
          <w:szCs w:val="20"/>
        </w:rPr>
        <w:t xml:space="preserve">Can be operated directly from an appropriate electrical supply. </w:t>
      </w:r>
    </w:p>
    <w:p w14:paraId="526C06C0" w14:textId="77777777" w:rsidR="00541A14" w:rsidRDefault="00A450E1">
      <w:pPr>
        <w:pStyle w:val="Default"/>
        <w:numPr>
          <w:ilvl w:val="0"/>
          <w:numId w:val="39"/>
        </w:numPr>
        <w:rPr>
          <w:rFonts w:ascii="Palatino" w:hAnsi="Palatino" w:cs="Palatino"/>
          <w:sz w:val="20"/>
          <w:szCs w:val="20"/>
        </w:rPr>
      </w:pPr>
      <w:r>
        <w:rPr>
          <w:rFonts w:ascii="Palatino" w:hAnsi="Palatino" w:cs="Palatino"/>
          <w:sz w:val="20"/>
          <w:szCs w:val="20"/>
        </w:rPr>
        <w:t xml:space="preserve">Nominal voltage 12 to 240 V, both AC and DC. </w:t>
      </w:r>
    </w:p>
    <w:p w14:paraId="154BD875" w14:textId="77777777" w:rsidR="00541A14" w:rsidRDefault="00541A14">
      <w:pPr>
        <w:pStyle w:val="Default"/>
        <w:rPr>
          <w:rFonts w:ascii="Palatino" w:hAnsi="Palatino" w:cs="Palatino"/>
          <w:sz w:val="20"/>
          <w:szCs w:val="20"/>
        </w:rPr>
      </w:pPr>
    </w:p>
    <w:p w14:paraId="19BBB8C7"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Typical use</w:t>
      </w:r>
      <w:r>
        <w:rPr>
          <w:rFonts w:ascii="Palatino" w:hAnsi="Palatino" w:cs="Palatino"/>
          <w:color w:val="000000"/>
          <w:sz w:val="20"/>
          <w:szCs w:val="20"/>
        </w:rPr>
        <w:t xml:space="preserve">: All types of lighted beacons, but several lamps could be used in a cluster in large rotating optics, to produce a large light source similar to the original non-electric light source. </w:t>
      </w:r>
      <w:r>
        <w:rPr>
          <w:rFonts w:ascii="Palatino" w:hAnsi="Palatino" w:cs="Palatino"/>
          <w:i/>
          <w:iCs/>
          <w:color w:val="000000"/>
          <w:sz w:val="20"/>
          <w:szCs w:val="20"/>
        </w:rPr>
        <w:t>Technical data</w:t>
      </w:r>
      <w:r>
        <w:rPr>
          <w:rFonts w:ascii="Palatino" w:hAnsi="Palatino" w:cs="Palatino"/>
          <w:color w:val="000000"/>
          <w:sz w:val="20"/>
          <w:szCs w:val="20"/>
        </w:rPr>
        <w:t xml:space="preserve">: </w:t>
      </w:r>
    </w:p>
    <w:p w14:paraId="51AC6D94" w14:textId="77777777" w:rsidR="00541A14" w:rsidRDefault="00A450E1">
      <w:pPr>
        <w:pStyle w:val="Default"/>
        <w:numPr>
          <w:ilvl w:val="0"/>
          <w:numId w:val="40"/>
        </w:numPr>
        <w:rPr>
          <w:rFonts w:ascii="Palatino" w:hAnsi="Palatino" w:cs="Palatino"/>
          <w:sz w:val="20"/>
          <w:szCs w:val="20"/>
        </w:rPr>
      </w:pPr>
      <w:r>
        <w:rPr>
          <w:rFonts w:ascii="Palatino" w:hAnsi="Palatino" w:cs="Palatino"/>
          <w:sz w:val="20"/>
          <w:szCs w:val="20"/>
        </w:rPr>
        <w:t xml:space="preserve">Power: From 5 to 1000 W, exceptionally 1500 and 2000 W </w:t>
      </w:r>
    </w:p>
    <w:p w14:paraId="5EF4A4F3" w14:textId="77777777" w:rsidR="00541A14" w:rsidRDefault="00A450E1">
      <w:pPr>
        <w:pStyle w:val="Default"/>
        <w:numPr>
          <w:ilvl w:val="0"/>
          <w:numId w:val="40"/>
        </w:numPr>
        <w:rPr>
          <w:rFonts w:ascii="Palatino" w:hAnsi="Palatino" w:cs="Palatino"/>
          <w:sz w:val="20"/>
          <w:szCs w:val="20"/>
        </w:rPr>
      </w:pPr>
      <w:r>
        <w:rPr>
          <w:rFonts w:ascii="Palatino" w:hAnsi="Palatino" w:cs="Palatino"/>
          <w:sz w:val="20"/>
          <w:szCs w:val="20"/>
        </w:rPr>
        <w:t xml:space="preserve">Efficiency: 20 to 25 lumen/W </w:t>
      </w:r>
    </w:p>
    <w:p w14:paraId="6A68E47A" w14:textId="77777777" w:rsidR="00541A14" w:rsidRDefault="00A450E1">
      <w:pPr>
        <w:pStyle w:val="Default"/>
        <w:numPr>
          <w:ilvl w:val="0"/>
          <w:numId w:val="40"/>
        </w:numPr>
        <w:rPr>
          <w:rFonts w:ascii="Palatino" w:hAnsi="Palatino" w:cs="Palatino"/>
          <w:sz w:val="20"/>
          <w:szCs w:val="20"/>
        </w:rPr>
      </w:pPr>
      <w:r>
        <w:rPr>
          <w:rFonts w:ascii="Palatino" w:hAnsi="Palatino" w:cs="Palatino"/>
          <w:sz w:val="20"/>
          <w:szCs w:val="20"/>
        </w:rPr>
        <w:t xml:space="preserve">Operating life: 300 to 4000 hours. </w:t>
      </w:r>
    </w:p>
    <w:p w14:paraId="5512133B" w14:textId="77777777" w:rsidR="00541A14" w:rsidRDefault="00541A14">
      <w:pPr>
        <w:pStyle w:val="Default"/>
        <w:rPr>
          <w:rFonts w:ascii="Palatino" w:hAnsi="Palatino" w:cs="Palatino"/>
          <w:sz w:val="20"/>
          <w:szCs w:val="20"/>
        </w:rPr>
      </w:pPr>
    </w:p>
    <w:p w14:paraId="3178A264" w14:textId="77777777" w:rsidR="00541A14" w:rsidRDefault="00A450E1">
      <w:pPr>
        <w:pStyle w:val="CM185"/>
        <w:spacing w:after="140" w:line="293" w:lineRule="atLeast"/>
        <w:ind w:left="300"/>
        <w:rPr>
          <w:rFonts w:ascii="Palatino" w:hAnsi="Palatino" w:cs="Palatino"/>
          <w:color w:val="000000"/>
          <w:sz w:val="20"/>
          <w:szCs w:val="20"/>
        </w:rPr>
      </w:pPr>
      <w:r>
        <w:rPr>
          <w:rFonts w:ascii="Palatino" w:hAnsi="Palatino" w:cs="Palatino"/>
          <w:b/>
          <w:bCs/>
          <w:color w:val="000000"/>
          <w:sz w:val="20"/>
          <w:szCs w:val="20"/>
        </w:rPr>
        <w:t>Note</w:t>
      </w:r>
      <w:r>
        <w:rPr>
          <w:rFonts w:ascii="Palatino" w:hAnsi="Palatino" w:cs="Palatino"/>
          <w:color w:val="000000"/>
          <w:sz w:val="20"/>
          <w:szCs w:val="20"/>
        </w:rPr>
        <w:t xml:space="preserve"> - some very bright lamps have a short working life </w:t>
      </w:r>
    </w:p>
    <w:p w14:paraId="7BFA95A4"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Advantages</w:t>
      </w:r>
      <w:r>
        <w:rPr>
          <w:rFonts w:ascii="Palatino" w:hAnsi="Palatino" w:cs="Palatino"/>
          <w:color w:val="000000"/>
          <w:sz w:val="20"/>
          <w:szCs w:val="20"/>
        </w:rPr>
        <w:t xml:space="preserve">: </w:t>
      </w:r>
    </w:p>
    <w:p w14:paraId="574BA113" w14:textId="77777777" w:rsidR="00541A14" w:rsidRDefault="00A450E1">
      <w:pPr>
        <w:pStyle w:val="Default"/>
        <w:numPr>
          <w:ilvl w:val="0"/>
          <w:numId w:val="41"/>
        </w:numPr>
        <w:rPr>
          <w:rFonts w:ascii="Palatino" w:hAnsi="Palatino" w:cs="Palatino"/>
          <w:sz w:val="20"/>
          <w:szCs w:val="20"/>
        </w:rPr>
      </w:pPr>
      <w:r>
        <w:rPr>
          <w:rFonts w:ascii="Palatino" w:hAnsi="Palatino" w:cs="Palatino"/>
          <w:sz w:val="20"/>
          <w:szCs w:val="20"/>
        </w:rPr>
        <w:t xml:space="preserve">Coding can be easily achieved by interrupting the electrical supply, but see below. </w:t>
      </w:r>
    </w:p>
    <w:p w14:paraId="0B6F3058" w14:textId="77777777" w:rsidR="00541A14" w:rsidRDefault="00A450E1">
      <w:pPr>
        <w:pStyle w:val="Default"/>
        <w:numPr>
          <w:ilvl w:val="0"/>
          <w:numId w:val="41"/>
        </w:numPr>
        <w:rPr>
          <w:rFonts w:ascii="Palatino" w:hAnsi="Palatino" w:cs="Palatino"/>
          <w:sz w:val="20"/>
          <w:szCs w:val="20"/>
        </w:rPr>
      </w:pPr>
      <w:r>
        <w:rPr>
          <w:rFonts w:ascii="Palatino" w:hAnsi="Palatino" w:cs="Palatino"/>
          <w:sz w:val="20"/>
          <w:szCs w:val="20"/>
        </w:rPr>
        <w:t xml:space="preserve">Higher luminance than tungsten lamps. </w:t>
      </w:r>
    </w:p>
    <w:p w14:paraId="439E5CA9" w14:textId="77777777" w:rsidR="00541A14" w:rsidRDefault="00A450E1">
      <w:pPr>
        <w:pStyle w:val="Default"/>
        <w:numPr>
          <w:ilvl w:val="0"/>
          <w:numId w:val="41"/>
        </w:numPr>
        <w:rPr>
          <w:rFonts w:ascii="Palatino" w:hAnsi="Palatino" w:cs="Palatino"/>
          <w:sz w:val="20"/>
          <w:szCs w:val="20"/>
        </w:rPr>
      </w:pPr>
      <w:r>
        <w:rPr>
          <w:rFonts w:ascii="Palatino" w:hAnsi="Palatino" w:cs="Palatino"/>
          <w:sz w:val="20"/>
          <w:szCs w:val="20"/>
        </w:rPr>
        <w:t xml:space="preserve">Output very stable over lifetime. </w:t>
      </w:r>
    </w:p>
    <w:p w14:paraId="2D559E2E" w14:textId="77777777" w:rsidR="00541A14" w:rsidRDefault="00A450E1">
      <w:pPr>
        <w:pStyle w:val="Default"/>
        <w:numPr>
          <w:ilvl w:val="0"/>
          <w:numId w:val="41"/>
        </w:numPr>
        <w:rPr>
          <w:rFonts w:ascii="Palatino" w:hAnsi="Palatino" w:cs="Palatino"/>
          <w:sz w:val="20"/>
          <w:szCs w:val="20"/>
        </w:rPr>
      </w:pPr>
      <w:r>
        <w:rPr>
          <w:rFonts w:ascii="Palatino" w:hAnsi="Palatino" w:cs="Palatino"/>
          <w:sz w:val="20"/>
          <w:szCs w:val="20"/>
        </w:rPr>
        <w:t xml:space="preserve">Colour rendering good in white preferred region. </w:t>
      </w:r>
    </w:p>
    <w:p w14:paraId="48A21BEF" w14:textId="77777777" w:rsidR="00541A14" w:rsidRDefault="00A450E1">
      <w:pPr>
        <w:pStyle w:val="Default"/>
        <w:numPr>
          <w:ilvl w:val="0"/>
          <w:numId w:val="41"/>
        </w:numPr>
        <w:rPr>
          <w:rFonts w:ascii="Palatino" w:hAnsi="Palatino" w:cs="Palatino"/>
          <w:sz w:val="20"/>
          <w:szCs w:val="20"/>
        </w:rPr>
      </w:pPr>
      <w:r>
        <w:rPr>
          <w:rFonts w:ascii="Palatino" w:hAnsi="Palatino" w:cs="Palatino"/>
          <w:sz w:val="20"/>
          <w:szCs w:val="20"/>
        </w:rPr>
        <w:t xml:space="preserve">High performance general-purpose lamps available at low cost. </w:t>
      </w:r>
    </w:p>
    <w:p w14:paraId="0E1675C5" w14:textId="77777777" w:rsidR="00541A14" w:rsidRDefault="00A450E1">
      <w:pPr>
        <w:pStyle w:val="Default"/>
        <w:numPr>
          <w:ilvl w:val="0"/>
          <w:numId w:val="41"/>
        </w:numPr>
        <w:rPr>
          <w:rFonts w:ascii="Palatino" w:hAnsi="Palatino" w:cs="Palatino"/>
          <w:sz w:val="20"/>
          <w:szCs w:val="20"/>
        </w:rPr>
      </w:pPr>
      <w:r>
        <w:rPr>
          <w:rFonts w:ascii="Palatino" w:hAnsi="Palatino" w:cs="Palatino"/>
          <w:sz w:val="20"/>
          <w:szCs w:val="20"/>
        </w:rPr>
        <w:t xml:space="preserve">Small lamp sizes (10 to 100W) are very mechanically robust. </w:t>
      </w:r>
    </w:p>
    <w:p w14:paraId="0EB0C728" w14:textId="77777777" w:rsidR="00541A14" w:rsidRDefault="00A450E1">
      <w:pPr>
        <w:pStyle w:val="Default"/>
        <w:numPr>
          <w:ilvl w:val="0"/>
          <w:numId w:val="41"/>
        </w:numPr>
        <w:rPr>
          <w:rFonts w:ascii="Palatino" w:hAnsi="Palatino" w:cs="Palatino"/>
          <w:sz w:val="20"/>
          <w:szCs w:val="20"/>
        </w:rPr>
      </w:pPr>
      <w:r>
        <w:rPr>
          <w:rFonts w:ascii="Palatino" w:hAnsi="Palatino" w:cs="Palatino"/>
          <w:sz w:val="20"/>
          <w:szCs w:val="20"/>
        </w:rPr>
        <w:t xml:space="preserve">Envelope sizes are typically smaller than tungsten lamps, and may allow smaller optic system sizes. </w:t>
      </w:r>
    </w:p>
    <w:p w14:paraId="2ED5130A" w14:textId="77777777" w:rsidR="00541A14" w:rsidRDefault="00541A14">
      <w:pPr>
        <w:pStyle w:val="Default"/>
        <w:rPr>
          <w:rFonts w:ascii="Palatino" w:hAnsi="Palatino" w:cs="Palatino"/>
          <w:sz w:val="20"/>
          <w:szCs w:val="20"/>
        </w:rPr>
      </w:pPr>
    </w:p>
    <w:p w14:paraId="3F482161"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Disadvantages</w:t>
      </w:r>
      <w:r>
        <w:rPr>
          <w:rFonts w:ascii="Palatino" w:hAnsi="Palatino" w:cs="Palatino"/>
          <w:color w:val="000000"/>
          <w:sz w:val="20"/>
          <w:szCs w:val="20"/>
        </w:rPr>
        <w:t xml:space="preserve">: </w:t>
      </w:r>
    </w:p>
    <w:p w14:paraId="4D35494C" w14:textId="77777777" w:rsidR="00541A14" w:rsidRDefault="00A450E1">
      <w:pPr>
        <w:pStyle w:val="Default"/>
        <w:numPr>
          <w:ilvl w:val="0"/>
          <w:numId w:val="42"/>
        </w:numPr>
        <w:rPr>
          <w:rFonts w:ascii="Palatino" w:hAnsi="Palatino" w:cs="Palatino"/>
          <w:sz w:val="20"/>
          <w:szCs w:val="20"/>
        </w:rPr>
      </w:pPr>
      <w:r>
        <w:rPr>
          <w:rFonts w:ascii="Palatino" w:hAnsi="Palatino" w:cs="Palatino"/>
          <w:sz w:val="20"/>
          <w:szCs w:val="20"/>
        </w:rPr>
        <w:t xml:space="preserve">The filament size is usually small hence the geometry is poor when modernising old lens systems. </w:t>
      </w:r>
    </w:p>
    <w:p w14:paraId="1049D841" w14:textId="77777777" w:rsidR="00541A14" w:rsidRDefault="00A450E1">
      <w:pPr>
        <w:pStyle w:val="Default"/>
        <w:numPr>
          <w:ilvl w:val="0"/>
          <w:numId w:val="42"/>
        </w:numPr>
        <w:rPr>
          <w:rFonts w:ascii="Palatino" w:hAnsi="Palatino" w:cs="Palatino"/>
          <w:sz w:val="20"/>
          <w:szCs w:val="20"/>
        </w:rPr>
      </w:pPr>
      <w:r>
        <w:rPr>
          <w:rFonts w:ascii="Palatino" w:hAnsi="Palatino" w:cs="Palatino"/>
          <w:sz w:val="20"/>
          <w:szCs w:val="20"/>
        </w:rPr>
        <w:t xml:space="preserve">Generally low operating voltage results in high current requiring careful design of lamp holder </w:t>
      </w:r>
    </w:p>
    <w:p w14:paraId="7BFA01D0" w14:textId="77777777" w:rsidR="00541A14" w:rsidRDefault="00541A14">
      <w:pPr>
        <w:pStyle w:val="Default"/>
        <w:rPr>
          <w:rFonts w:ascii="Palatino" w:hAnsi="Palatino" w:cs="Palatino"/>
          <w:sz w:val="20"/>
          <w:szCs w:val="20"/>
        </w:rPr>
      </w:pPr>
    </w:p>
    <w:p w14:paraId="41247E5A"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and associated wiring. </w:t>
      </w:r>
    </w:p>
    <w:p w14:paraId="30100ADA" w14:textId="77777777" w:rsidR="00541A14" w:rsidRDefault="00A450E1">
      <w:pPr>
        <w:pStyle w:val="Default"/>
        <w:numPr>
          <w:ilvl w:val="0"/>
          <w:numId w:val="43"/>
        </w:numPr>
        <w:rPr>
          <w:rFonts w:ascii="Palatino" w:hAnsi="Palatino" w:cs="Palatino"/>
          <w:sz w:val="20"/>
          <w:szCs w:val="20"/>
        </w:rPr>
      </w:pPr>
      <w:r>
        <w:rPr>
          <w:rFonts w:ascii="Palatino" w:hAnsi="Palatino" w:cs="Palatino"/>
          <w:sz w:val="20"/>
          <w:szCs w:val="20"/>
        </w:rPr>
        <w:t xml:space="preserve">A cluster of several lamps will be required to match these small lamps to existing large optics. </w:t>
      </w:r>
    </w:p>
    <w:p w14:paraId="727D23F6" w14:textId="77777777" w:rsidR="00541A14" w:rsidRDefault="00A450E1">
      <w:pPr>
        <w:pStyle w:val="Default"/>
        <w:numPr>
          <w:ilvl w:val="0"/>
          <w:numId w:val="43"/>
        </w:numPr>
        <w:rPr>
          <w:rFonts w:ascii="Palatino" w:hAnsi="Palatino" w:cs="Palatino"/>
          <w:sz w:val="20"/>
          <w:szCs w:val="20"/>
        </w:rPr>
      </w:pPr>
      <w:r>
        <w:rPr>
          <w:rFonts w:ascii="Palatino" w:hAnsi="Palatino" w:cs="Palatino"/>
          <w:sz w:val="20"/>
          <w:szCs w:val="20"/>
        </w:rPr>
        <w:t xml:space="preserve">Lamps are not made specifically for AtoN use and specifications may be changed without notice. </w:t>
      </w:r>
    </w:p>
    <w:p w14:paraId="45D97B3E" w14:textId="77777777" w:rsidR="00541A14" w:rsidRDefault="00A450E1">
      <w:pPr>
        <w:pStyle w:val="Default"/>
        <w:numPr>
          <w:ilvl w:val="0"/>
          <w:numId w:val="43"/>
        </w:numPr>
        <w:rPr>
          <w:rFonts w:ascii="Palatino" w:hAnsi="Palatino" w:cs="Palatino"/>
          <w:sz w:val="20"/>
          <w:szCs w:val="20"/>
        </w:rPr>
      </w:pPr>
      <w:r>
        <w:rPr>
          <w:rFonts w:ascii="Palatino" w:hAnsi="Palatino" w:cs="Palatino"/>
          <w:sz w:val="20"/>
          <w:szCs w:val="20"/>
        </w:rPr>
        <w:t xml:space="preserve">The flashing of tungsten halogen lamps may lead to the interruption of the halogen cycle with </w:t>
      </w:r>
    </w:p>
    <w:p w14:paraId="4359E280" w14:textId="77777777" w:rsidR="00541A14" w:rsidRDefault="00541A14">
      <w:pPr>
        <w:pStyle w:val="Default"/>
        <w:rPr>
          <w:rFonts w:ascii="Palatino" w:hAnsi="Palatino" w:cs="Palatino"/>
          <w:sz w:val="20"/>
          <w:szCs w:val="20"/>
        </w:rPr>
      </w:pPr>
    </w:p>
    <w:p w14:paraId="6A530E55" w14:textId="77777777" w:rsidR="00541A14" w:rsidRDefault="00A450E1">
      <w:pPr>
        <w:pStyle w:val="CM54"/>
        <w:jc w:val="center"/>
        <w:rPr>
          <w:rFonts w:ascii="Palatino" w:hAnsi="Palatino" w:cs="Palatino"/>
          <w:color w:val="000000"/>
          <w:sz w:val="20"/>
          <w:szCs w:val="20"/>
        </w:rPr>
      </w:pPr>
      <w:r>
        <w:rPr>
          <w:rFonts w:ascii="Palatino" w:hAnsi="Palatino" w:cs="Palatino"/>
          <w:color w:val="000000"/>
          <w:sz w:val="20"/>
          <w:szCs w:val="20"/>
        </w:rPr>
        <w:t xml:space="preserve">consequent blackening of the envelope and premature failure. Practical trials are recommended with the proposed operating voltage and duty cycle or consultation with other IALA members. </w:t>
      </w:r>
    </w:p>
    <w:p w14:paraId="0F59B7D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 Lamps should not be touched with bare hands due to consequential reduction in lamp life. </w:t>
      </w:r>
    </w:p>
    <w:p w14:paraId="7FED4D5F"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Safety</w:t>
      </w:r>
      <w:r>
        <w:rPr>
          <w:rFonts w:ascii="Palatino" w:hAnsi="Palatino" w:cs="Palatino"/>
          <w:color w:val="000000"/>
          <w:sz w:val="20"/>
          <w:szCs w:val="20"/>
        </w:rPr>
        <w:t xml:space="preserve">: </w:t>
      </w:r>
    </w:p>
    <w:p w14:paraId="4DBE3929" w14:textId="77777777" w:rsidR="00541A14" w:rsidRDefault="00A450E1">
      <w:pPr>
        <w:pStyle w:val="Default"/>
        <w:numPr>
          <w:ilvl w:val="0"/>
          <w:numId w:val="44"/>
        </w:numPr>
        <w:rPr>
          <w:rFonts w:ascii="Palatino" w:hAnsi="Palatino" w:cs="Palatino"/>
          <w:sz w:val="20"/>
          <w:szCs w:val="20"/>
        </w:rPr>
      </w:pPr>
      <w:r>
        <w:rPr>
          <w:rFonts w:ascii="Palatino" w:hAnsi="Palatino" w:cs="Palatino"/>
          <w:sz w:val="20"/>
          <w:szCs w:val="20"/>
        </w:rPr>
        <w:t xml:space="preserve">Operating voltage may be hazardous. </w:t>
      </w:r>
    </w:p>
    <w:p w14:paraId="15A3B948" w14:textId="77777777" w:rsidR="00541A14" w:rsidRDefault="00A450E1">
      <w:pPr>
        <w:pStyle w:val="Default"/>
        <w:numPr>
          <w:ilvl w:val="0"/>
          <w:numId w:val="44"/>
        </w:numPr>
        <w:rPr>
          <w:rFonts w:ascii="Palatino" w:hAnsi="Palatino" w:cs="Palatino"/>
          <w:sz w:val="20"/>
          <w:szCs w:val="20"/>
        </w:rPr>
      </w:pPr>
      <w:r>
        <w:rPr>
          <w:rFonts w:ascii="Palatino" w:hAnsi="Palatino" w:cs="Palatino"/>
          <w:sz w:val="20"/>
          <w:szCs w:val="20"/>
        </w:rPr>
        <w:t xml:space="preserve">General glass hazards. </w:t>
      </w:r>
    </w:p>
    <w:p w14:paraId="4507BB66" w14:textId="77777777" w:rsidR="00541A14" w:rsidRDefault="00A450E1">
      <w:pPr>
        <w:pStyle w:val="Default"/>
        <w:numPr>
          <w:ilvl w:val="0"/>
          <w:numId w:val="44"/>
        </w:numPr>
        <w:rPr>
          <w:rFonts w:ascii="Palatino" w:hAnsi="Palatino" w:cs="Palatino"/>
          <w:sz w:val="20"/>
          <w:szCs w:val="20"/>
        </w:rPr>
      </w:pPr>
      <w:r>
        <w:rPr>
          <w:rFonts w:ascii="Palatino" w:hAnsi="Palatino" w:cs="Palatino"/>
          <w:sz w:val="20"/>
          <w:szCs w:val="20"/>
        </w:rPr>
        <w:t xml:space="preserve">Very high surface temperatures because of the small envelope size. </w:t>
      </w:r>
    </w:p>
    <w:p w14:paraId="54AD1364" w14:textId="77777777" w:rsidR="00541A14" w:rsidRDefault="00A450E1">
      <w:pPr>
        <w:pStyle w:val="Default"/>
        <w:numPr>
          <w:ilvl w:val="0"/>
          <w:numId w:val="44"/>
        </w:numPr>
        <w:rPr>
          <w:rFonts w:ascii="Palatino" w:hAnsi="Palatino" w:cs="Palatino"/>
          <w:sz w:val="20"/>
          <w:szCs w:val="20"/>
        </w:rPr>
      </w:pPr>
      <w:r>
        <w:rPr>
          <w:rFonts w:ascii="Palatino" w:hAnsi="Palatino" w:cs="Palatino"/>
          <w:sz w:val="20"/>
          <w:szCs w:val="20"/>
        </w:rPr>
        <w:t xml:space="preserve">Possible high Ultra Violet (UV) radiation risk (dependant on lamp type). </w:t>
      </w:r>
    </w:p>
    <w:p w14:paraId="0ECDCD48" w14:textId="77777777" w:rsidR="00541A14" w:rsidRDefault="00A450E1">
      <w:pPr>
        <w:pStyle w:val="Default"/>
        <w:numPr>
          <w:ilvl w:val="0"/>
          <w:numId w:val="44"/>
        </w:numPr>
        <w:rPr>
          <w:rFonts w:ascii="Palatino" w:hAnsi="Palatino" w:cs="Palatino"/>
          <w:sz w:val="20"/>
          <w:szCs w:val="20"/>
        </w:rPr>
      </w:pPr>
      <w:r>
        <w:rPr>
          <w:rFonts w:ascii="Palatino" w:hAnsi="Palatino" w:cs="Palatino"/>
          <w:sz w:val="20"/>
          <w:szCs w:val="20"/>
        </w:rPr>
        <w:t xml:space="preserve">Risk of explosion with high-pressure lamp types. </w:t>
      </w:r>
    </w:p>
    <w:p w14:paraId="0848F07E" w14:textId="77777777" w:rsidR="00541A14" w:rsidRDefault="00541A14">
      <w:pPr>
        <w:pStyle w:val="Default"/>
        <w:rPr>
          <w:rFonts w:ascii="Palatino" w:hAnsi="Palatino" w:cs="Palatino"/>
          <w:sz w:val="20"/>
          <w:szCs w:val="20"/>
        </w:rPr>
      </w:pPr>
    </w:p>
    <w:p w14:paraId="713EC120" w14:textId="77777777" w:rsidR="00541A14" w:rsidRDefault="00A450E1">
      <w:pPr>
        <w:pStyle w:val="CM163"/>
        <w:spacing w:after="642" w:line="291" w:lineRule="atLeast"/>
        <w:rPr>
          <w:rFonts w:ascii="Palatino" w:hAnsi="Palatino" w:cs="Palatino"/>
          <w:color w:val="000000"/>
          <w:sz w:val="20"/>
          <w:szCs w:val="20"/>
        </w:rPr>
      </w:pPr>
      <w:r>
        <w:rPr>
          <w:rFonts w:ascii="Palatino" w:hAnsi="Palatino" w:cs="Palatino"/>
          <w:i/>
          <w:iCs/>
          <w:color w:val="000000"/>
          <w:sz w:val="20"/>
          <w:szCs w:val="20"/>
        </w:rPr>
        <w:t>Disposal</w:t>
      </w:r>
      <w:r>
        <w:rPr>
          <w:rFonts w:ascii="Palatino" w:hAnsi="Palatino" w:cs="Palatino"/>
          <w:color w:val="000000"/>
          <w:sz w:val="20"/>
          <w:szCs w:val="20"/>
        </w:rPr>
        <w:t xml:space="preserve">: Local and national waste disposal regulations should be consulted regarding tungsten halogen lamps. </w:t>
      </w:r>
    </w:p>
    <w:p w14:paraId="0F83E10A"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30B3B60D" wp14:editId="795BEA8F">
            <wp:extent cx="7542530" cy="420370"/>
            <wp:effectExtent l="0" t="0" r="1270" b="1143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515CEC36" w14:textId="77777777" w:rsidR="00541A14" w:rsidRDefault="00DD420F">
      <w:pPr>
        <w:pStyle w:val="Default"/>
        <w:pageBreakBefore/>
        <w:framePr w:w="24763" w:wrap="auto" w:vAnchor="page" w:hAnchor="page" w:x="101" w:y="1"/>
        <w:spacing w:after="520"/>
        <w:rPr>
          <w:rFonts w:ascii="Palatino" w:hAnsi="Palatino" w:cs="Palatino"/>
          <w:sz w:val="20"/>
          <w:szCs w:val="20"/>
        </w:rPr>
      </w:pPr>
      <w:r>
        <w:rPr>
          <w:rFonts w:ascii="Palatino" w:hAnsi="Palatino" w:cs="Palatino"/>
          <w:noProof/>
          <w:sz w:val="20"/>
          <w:szCs w:val="20"/>
        </w:rPr>
        <w:drawing>
          <wp:inline distT="0" distB="0" distL="0" distR="0" wp14:anchorId="564267FC" wp14:editId="4C9C0816">
            <wp:extent cx="7553960" cy="115316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74DEBA91"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Discharge lamps </w:t>
      </w:r>
    </w:p>
    <w:p w14:paraId="1FA83C8C" w14:textId="77777777" w:rsidR="00541A14" w:rsidRDefault="00A450E1">
      <w:pPr>
        <w:pStyle w:val="Default"/>
        <w:rPr>
          <w:rFonts w:ascii="Palatino" w:hAnsi="Palatino" w:cs="Palatino"/>
          <w:sz w:val="20"/>
          <w:szCs w:val="20"/>
        </w:rPr>
      </w:pPr>
      <w:r>
        <w:rPr>
          <w:rFonts w:ascii="Palatino" w:hAnsi="Palatino" w:cs="Palatino"/>
          <w:b/>
          <w:bCs/>
          <w:sz w:val="20"/>
          <w:szCs w:val="20"/>
        </w:rPr>
        <w:t xml:space="preserve">Fluorescent </w:t>
      </w:r>
    </w:p>
    <w:p w14:paraId="142781AE" w14:textId="77777777" w:rsidR="00541A14" w:rsidRDefault="00A450E1">
      <w:pPr>
        <w:pStyle w:val="CM169"/>
        <w:spacing w:after="65" w:line="346" w:lineRule="atLeast"/>
        <w:rPr>
          <w:rFonts w:ascii="Palatino" w:hAnsi="Palatino" w:cs="Palatino"/>
          <w:color w:val="000000"/>
          <w:sz w:val="20"/>
          <w:szCs w:val="20"/>
        </w:rPr>
      </w:pPr>
      <w:r>
        <w:rPr>
          <w:rFonts w:ascii="Palatino" w:hAnsi="Palatino" w:cs="Palatino"/>
          <w:i/>
          <w:iCs/>
          <w:color w:val="000000"/>
          <w:sz w:val="20"/>
          <w:szCs w:val="20"/>
        </w:rPr>
        <w:t>Description of operation</w:t>
      </w:r>
      <w:r>
        <w:rPr>
          <w:rFonts w:ascii="Palatino" w:hAnsi="Palatino" w:cs="Palatino"/>
          <w:color w:val="000000"/>
          <w:sz w:val="20"/>
          <w:szCs w:val="20"/>
        </w:rPr>
        <w:t xml:space="preserve">: 110 to 240 V system voltage with control circuitry to provide a high starting voltage. </w:t>
      </w:r>
      <w:r>
        <w:rPr>
          <w:rFonts w:ascii="Palatino" w:hAnsi="Palatino" w:cs="Palatino"/>
          <w:i/>
          <w:iCs/>
          <w:color w:val="000000"/>
          <w:sz w:val="20"/>
          <w:szCs w:val="20"/>
        </w:rPr>
        <w:t>Typical use</w:t>
      </w:r>
      <w:r>
        <w:rPr>
          <w:rFonts w:ascii="Palatino" w:hAnsi="Palatino" w:cs="Palatino"/>
          <w:color w:val="000000"/>
          <w:sz w:val="20"/>
          <w:szCs w:val="20"/>
        </w:rPr>
        <w:t xml:space="preserve">: Direction arrows, signs and light tubes or bars used for leading lights. Applications where large areas </w:t>
      </w:r>
    </w:p>
    <w:p w14:paraId="4AA6BA3D" w14:textId="77777777" w:rsidR="00541A14" w:rsidRDefault="00A450E1">
      <w:pPr>
        <w:pStyle w:val="Default"/>
        <w:spacing w:line="328" w:lineRule="atLeast"/>
        <w:ind w:right="6005"/>
        <w:rPr>
          <w:rFonts w:ascii="Palatino" w:hAnsi="Palatino" w:cs="Palatino"/>
          <w:sz w:val="20"/>
          <w:szCs w:val="20"/>
        </w:rPr>
      </w:pPr>
      <w:r>
        <w:rPr>
          <w:rFonts w:ascii="Palatino" w:hAnsi="Palatino" w:cs="Palatino"/>
          <w:sz w:val="20"/>
          <w:szCs w:val="20"/>
        </w:rPr>
        <w:t xml:space="preserve">of illumination are an advantage. </w:t>
      </w:r>
      <w:r>
        <w:rPr>
          <w:rFonts w:ascii="Palatino" w:hAnsi="Palatino" w:cs="Palatino"/>
          <w:i/>
          <w:iCs/>
          <w:sz w:val="20"/>
          <w:szCs w:val="20"/>
        </w:rPr>
        <w:t>Technical data</w:t>
      </w:r>
      <w:r>
        <w:rPr>
          <w:rFonts w:ascii="Palatino" w:hAnsi="Palatino" w:cs="Palatino"/>
          <w:sz w:val="20"/>
          <w:szCs w:val="20"/>
        </w:rPr>
        <w:t xml:space="preserve">: </w:t>
      </w:r>
    </w:p>
    <w:p w14:paraId="7943A1AE" w14:textId="77777777" w:rsidR="00541A14" w:rsidRDefault="00A450E1">
      <w:pPr>
        <w:pStyle w:val="Default"/>
        <w:numPr>
          <w:ilvl w:val="0"/>
          <w:numId w:val="45"/>
        </w:numPr>
        <w:rPr>
          <w:rFonts w:ascii="Palatino" w:hAnsi="Palatino" w:cs="Palatino"/>
          <w:sz w:val="20"/>
          <w:szCs w:val="20"/>
        </w:rPr>
      </w:pPr>
      <w:r>
        <w:rPr>
          <w:rFonts w:ascii="Palatino" w:hAnsi="Palatino" w:cs="Palatino"/>
          <w:sz w:val="20"/>
          <w:szCs w:val="20"/>
        </w:rPr>
        <w:t xml:space="preserve">Power: 8 to 100 W </w:t>
      </w:r>
    </w:p>
    <w:p w14:paraId="329E8327" w14:textId="77777777" w:rsidR="00541A14" w:rsidRDefault="00A450E1">
      <w:pPr>
        <w:pStyle w:val="Default"/>
        <w:numPr>
          <w:ilvl w:val="0"/>
          <w:numId w:val="45"/>
        </w:numPr>
        <w:rPr>
          <w:rFonts w:ascii="Palatino" w:hAnsi="Palatino" w:cs="Palatino"/>
          <w:sz w:val="20"/>
          <w:szCs w:val="20"/>
        </w:rPr>
      </w:pPr>
      <w:r>
        <w:rPr>
          <w:rFonts w:ascii="Palatino" w:hAnsi="Palatino" w:cs="Palatino"/>
          <w:sz w:val="20"/>
          <w:szCs w:val="20"/>
        </w:rPr>
        <w:t xml:space="preserve">Efficiency: 80 to 100 lumen/W </w:t>
      </w:r>
    </w:p>
    <w:p w14:paraId="061A3B39" w14:textId="77777777" w:rsidR="00541A14" w:rsidRDefault="00A450E1">
      <w:pPr>
        <w:pStyle w:val="Default"/>
        <w:numPr>
          <w:ilvl w:val="0"/>
          <w:numId w:val="45"/>
        </w:numPr>
        <w:rPr>
          <w:rFonts w:ascii="Palatino" w:hAnsi="Palatino" w:cs="Palatino"/>
          <w:sz w:val="20"/>
          <w:szCs w:val="20"/>
        </w:rPr>
      </w:pPr>
      <w:r>
        <w:rPr>
          <w:rFonts w:ascii="Palatino" w:hAnsi="Palatino" w:cs="Palatino"/>
          <w:sz w:val="20"/>
          <w:szCs w:val="20"/>
        </w:rPr>
        <w:t xml:space="preserve">Operating life: Up to 20000 hours </w:t>
      </w:r>
    </w:p>
    <w:p w14:paraId="375EBB32" w14:textId="77777777" w:rsidR="00541A14" w:rsidRDefault="00541A14">
      <w:pPr>
        <w:pStyle w:val="Default"/>
        <w:rPr>
          <w:rFonts w:ascii="Palatino" w:hAnsi="Palatino" w:cs="Palatino"/>
          <w:sz w:val="20"/>
          <w:szCs w:val="20"/>
        </w:rPr>
      </w:pPr>
    </w:p>
    <w:p w14:paraId="48403D90" w14:textId="77777777" w:rsidR="00541A14" w:rsidRDefault="00A450E1">
      <w:pPr>
        <w:pStyle w:val="CM45"/>
        <w:rPr>
          <w:rFonts w:ascii="Palatino" w:hAnsi="Palatino" w:cs="Palatino"/>
          <w:color w:val="000000"/>
          <w:sz w:val="20"/>
          <w:szCs w:val="20"/>
        </w:rPr>
      </w:pPr>
      <w:r>
        <w:rPr>
          <w:rFonts w:ascii="Palatino" w:hAnsi="Palatino" w:cs="Palatino"/>
          <w:i/>
          <w:iCs/>
          <w:color w:val="000000"/>
          <w:sz w:val="20"/>
          <w:szCs w:val="20"/>
        </w:rPr>
        <w:t>Advantages</w:t>
      </w:r>
      <w:r>
        <w:rPr>
          <w:rFonts w:ascii="Palatino" w:hAnsi="Palatino" w:cs="Palatino"/>
          <w:color w:val="000000"/>
          <w:sz w:val="20"/>
          <w:szCs w:val="20"/>
        </w:rPr>
        <w:t xml:space="preserve">: </w:t>
      </w:r>
    </w:p>
    <w:p w14:paraId="63869354" w14:textId="77777777" w:rsidR="00541A14" w:rsidRDefault="00A450E1">
      <w:pPr>
        <w:pStyle w:val="Default"/>
        <w:numPr>
          <w:ilvl w:val="0"/>
          <w:numId w:val="46"/>
        </w:numPr>
        <w:rPr>
          <w:rFonts w:ascii="Palatino" w:hAnsi="Palatino" w:cs="Palatino"/>
          <w:sz w:val="20"/>
          <w:szCs w:val="20"/>
        </w:rPr>
      </w:pPr>
      <w:r>
        <w:rPr>
          <w:rFonts w:ascii="Palatino" w:hAnsi="Palatino" w:cs="Palatino"/>
          <w:sz w:val="20"/>
          <w:szCs w:val="20"/>
        </w:rPr>
        <w:t xml:space="preserve">High luminous efficiency. </w:t>
      </w:r>
    </w:p>
    <w:p w14:paraId="3CCEEB70" w14:textId="77777777" w:rsidR="00541A14" w:rsidRDefault="00A450E1">
      <w:pPr>
        <w:pStyle w:val="Default"/>
        <w:numPr>
          <w:ilvl w:val="0"/>
          <w:numId w:val="46"/>
        </w:numPr>
        <w:rPr>
          <w:rFonts w:ascii="Palatino" w:hAnsi="Palatino" w:cs="Palatino"/>
          <w:sz w:val="20"/>
          <w:szCs w:val="20"/>
        </w:rPr>
      </w:pPr>
      <w:r>
        <w:rPr>
          <w:rFonts w:ascii="Palatino" w:hAnsi="Palatino" w:cs="Palatino"/>
          <w:sz w:val="20"/>
          <w:szCs w:val="20"/>
        </w:rPr>
        <w:t>Large illuminated area. In suitable applications no optical elements are needed thus providing a</w:t>
      </w:r>
    </w:p>
    <w:p w14:paraId="692AED12" w14:textId="77777777" w:rsidR="00541A14" w:rsidRDefault="00541A14">
      <w:pPr>
        <w:pStyle w:val="Default"/>
        <w:rPr>
          <w:rFonts w:ascii="Palatino" w:hAnsi="Palatino" w:cs="Palatino"/>
          <w:sz w:val="20"/>
          <w:szCs w:val="20"/>
        </w:rPr>
      </w:pPr>
    </w:p>
    <w:p w14:paraId="2ED5AD06" w14:textId="77777777" w:rsidR="00541A14" w:rsidRDefault="00A450E1">
      <w:pPr>
        <w:pStyle w:val="CM30"/>
        <w:ind w:left="290"/>
        <w:rPr>
          <w:rFonts w:ascii="Palatino" w:hAnsi="Palatino" w:cs="Palatino"/>
          <w:color w:val="000000"/>
          <w:sz w:val="20"/>
          <w:szCs w:val="20"/>
        </w:rPr>
      </w:pPr>
      <w:r>
        <w:rPr>
          <w:rFonts w:ascii="Palatino" w:hAnsi="Palatino" w:cs="Palatino"/>
          <w:color w:val="000000"/>
          <w:sz w:val="20"/>
          <w:szCs w:val="20"/>
        </w:rPr>
        <w:t xml:space="preserve">very low cost AtoN. </w:t>
      </w:r>
    </w:p>
    <w:p w14:paraId="565B7EB8" w14:textId="77777777" w:rsidR="00541A14" w:rsidRDefault="00A450E1">
      <w:pPr>
        <w:pStyle w:val="Default"/>
        <w:numPr>
          <w:ilvl w:val="0"/>
          <w:numId w:val="47"/>
        </w:numPr>
        <w:rPr>
          <w:rFonts w:ascii="Palatino" w:hAnsi="Palatino" w:cs="Palatino"/>
          <w:sz w:val="20"/>
          <w:szCs w:val="20"/>
        </w:rPr>
      </w:pPr>
      <w:r>
        <w:rPr>
          <w:rFonts w:ascii="Palatino" w:hAnsi="Palatino" w:cs="Palatino"/>
          <w:sz w:val="20"/>
          <w:szCs w:val="20"/>
        </w:rPr>
        <w:t xml:space="preserve">Very wide range of commercially available products at low prices. </w:t>
      </w:r>
    </w:p>
    <w:p w14:paraId="0F1933E3" w14:textId="77777777" w:rsidR="00541A14" w:rsidRDefault="00A450E1">
      <w:pPr>
        <w:pStyle w:val="Default"/>
        <w:numPr>
          <w:ilvl w:val="0"/>
          <w:numId w:val="47"/>
        </w:numPr>
        <w:rPr>
          <w:rFonts w:ascii="Palatino" w:hAnsi="Palatino" w:cs="Palatino"/>
          <w:sz w:val="20"/>
          <w:szCs w:val="20"/>
        </w:rPr>
      </w:pPr>
      <w:r>
        <w:rPr>
          <w:rFonts w:ascii="Palatino" w:hAnsi="Palatino" w:cs="Palatino"/>
          <w:sz w:val="20"/>
          <w:szCs w:val="20"/>
        </w:rPr>
        <w:t xml:space="preserve">Many colours available (no additional colour filters needed). </w:t>
      </w:r>
    </w:p>
    <w:p w14:paraId="54E8332D" w14:textId="77777777" w:rsidR="00541A14" w:rsidRDefault="00541A14">
      <w:pPr>
        <w:pStyle w:val="Default"/>
        <w:rPr>
          <w:rFonts w:ascii="Palatino" w:hAnsi="Palatino" w:cs="Palatino"/>
          <w:sz w:val="20"/>
          <w:szCs w:val="20"/>
        </w:rPr>
      </w:pPr>
    </w:p>
    <w:p w14:paraId="6B002986" w14:textId="77777777" w:rsidR="00541A14" w:rsidRDefault="00A450E1">
      <w:pPr>
        <w:pStyle w:val="CM45"/>
        <w:rPr>
          <w:rFonts w:ascii="Palatino" w:hAnsi="Palatino" w:cs="Palatino"/>
          <w:color w:val="000000"/>
          <w:sz w:val="20"/>
          <w:szCs w:val="20"/>
        </w:rPr>
      </w:pPr>
      <w:r>
        <w:rPr>
          <w:rFonts w:ascii="Palatino" w:hAnsi="Palatino" w:cs="Palatino"/>
          <w:i/>
          <w:iCs/>
          <w:color w:val="000000"/>
          <w:sz w:val="20"/>
          <w:szCs w:val="20"/>
        </w:rPr>
        <w:t>Disadvantages</w:t>
      </w:r>
      <w:r>
        <w:rPr>
          <w:rFonts w:ascii="Palatino" w:hAnsi="Palatino" w:cs="Palatino"/>
          <w:color w:val="000000"/>
          <w:sz w:val="20"/>
          <w:szCs w:val="20"/>
        </w:rPr>
        <w:t xml:space="preserve">: </w:t>
      </w:r>
    </w:p>
    <w:p w14:paraId="0045F444" w14:textId="77777777" w:rsidR="00541A14" w:rsidRDefault="00A450E1">
      <w:pPr>
        <w:pStyle w:val="Default"/>
        <w:numPr>
          <w:ilvl w:val="0"/>
          <w:numId w:val="48"/>
        </w:numPr>
        <w:rPr>
          <w:rFonts w:ascii="Palatino" w:hAnsi="Palatino" w:cs="Palatino"/>
          <w:sz w:val="20"/>
          <w:szCs w:val="20"/>
        </w:rPr>
      </w:pPr>
      <w:r>
        <w:rPr>
          <w:rFonts w:ascii="Palatino" w:hAnsi="Palatino" w:cs="Palatino"/>
          <w:sz w:val="20"/>
          <w:szCs w:val="20"/>
        </w:rPr>
        <w:t xml:space="preserve">Low luminance. </w:t>
      </w:r>
    </w:p>
    <w:p w14:paraId="16B88E7A" w14:textId="77777777" w:rsidR="00541A14" w:rsidRDefault="00A450E1">
      <w:pPr>
        <w:pStyle w:val="Default"/>
        <w:numPr>
          <w:ilvl w:val="0"/>
          <w:numId w:val="48"/>
        </w:numPr>
        <w:rPr>
          <w:rFonts w:ascii="Palatino" w:hAnsi="Palatino" w:cs="Palatino"/>
          <w:sz w:val="20"/>
          <w:szCs w:val="20"/>
        </w:rPr>
      </w:pPr>
      <w:r>
        <w:rPr>
          <w:rFonts w:ascii="Palatino" w:hAnsi="Palatino" w:cs="Palatino"/>
          <w:sz w:val="20"/>
          <w:szCs w:val="20"/>
        </w:rPr>
        <w:t xml:space="preserve">Difficult to use with lens systems due to source size. </w:t>
      </w:r>
    </w:p>
    <w:p w14:paraId="413E9385" w14:textId="77777777" w:rsidR="00541A14" w:rsidRDefault="00A450E1">
      <w:pPr>
        <w:pStyle w:val="Default"/>
        <w:numPr>
          <w:ilvl w:val="0"/>
          <w:numId w:val="48"/>
        </w:numPr>
        <w:rPr>
          <w:rFonts w:ascii="Palatino" w:hAnsi="Palatino" w:cs="Palatino"/>
          <w:sz w:val="20"/>
          <w:szCs w:val="20"/>
        </w:rPr>
      </w:pPr>
      <w:r>
        <w:rPr>
          <w:rFonts w:ascii="Palatino" w:hAnsi="Palatino" w:cs="Palatino"/>
          <w:sz w:val="20"/>
          <w:szCs w:val="20"/>
        </w:rPr>
        <w:t xml:space="preserve">Light output falls considerably over lifetime. </w:t>
      </w:r>
    </w:p>
    <w:p w14:paraId="18AE3C2D" w14:textId="77777777" w:rsidR="00541A14" w:rsidRDefault="00A450E1">
      <w:pPr>
        <w:pStyle w:val="Default"/>
        <w:numPr>
          <w:ilvl w:val="0"/>
          <w:numId w:val="48"/>
        </w:numPr>
        <w:rPr>
          <w:rFonts w:ascii="Palatino" w:hAnsi="Palatino" w:cs="Palatino"/>
          <w:sz w:val="20"/>
          <w:szCs w:val="20"/>
        </w:rPr>
      </w:pPr>
      <w:r>
        <w:rPr>
          <w:rFonts w:ascii="Palatino" w:hAnsi="Palatino" w:cs="Palatino"/>
          <w:sz w:val="20"/>
          <w:szCs w:val="20"/>
        </w:rPr>
        <w:t xml:space="preserve">Requires control circuitry matching lamp and supply voltage. </w:t>
      </w:r>
    </w:p>
    <w:p w14:paraId="6F4754C0" w14:textId="77777777" w:rsidR="00541A14" w:rsidRDefault="00A450E1">
      <w:pPr>
        <w:pStyle w:val="Default"/>
        <w:numPr>
          <w:ilvl w:val="0"/>
          <w:numId w:val="48"/>
        </w:numPr>
        <w:rPr>
          <w:rFonts w:ascii="Palatino" w:hAnsi="Palatino" w:cs="Palatino"/>
          <w:sz w:val="20"/>
          <w:szCs w:val="20"/>
        </w:rPr>
      </w:pPr>
      <w:r>
        <w:rPr>
          <w:rFonts w:ascii="Palatino" w:hAnsi="Palatino" w:cs="Palatino"/>
          <w:sz w:val="20"/>
          <w:szCs w:val="20"/>
        </w:rPr>
        <w:t xml:space="preserve">Complex circuitry needed to flash. </w:t>
      </w:r>
    </w:p>
    <w:p w14:paraId="1E8B31C1" w14:textId="77777777" w:rsidR="00541A14" w:rsidRDefault="00A450E1">
      <w:pPr>
        <w:pStyle w:val="Default"/>
        <w:numPr>
          <w:ilvl w:val="0"/>
          <w:numId w:val="48"/>
        </w:numPr>
        <w:rPr>
          <w:rFonts w:ascii="Palatino" w:hAnsi="Palatino" w:cs="Palatino"/>
          <w:sz w:val="20"/>
          <w:szCs w:val="20"/>
        </w:rPr>
      </w:pPr>
      <w:r>
        <w:rPr>
          <w:rFonts w:ascii="Palatino" w:hAnsi="Palatino" w:cs="Palatino"/>
          <w:sz w:val="20"/>
          <w:szCs w:val="20"/>
        </w:rPr>
        <w:t xml:space="preserve">Possible Electromagnetic Compatibility (EMC) problems. </w:t>
      </w:r>
    </w:p>
    <w:p w14:paraId="5D007115" w14:textId="77777777" w:rsidR="00541A14" w:rsidRDefault="00541A14">
      <w:pPr>
        <w:pStyle w:val="Default"/>
        <w:rPr>
          <w:rFonts w:ascii="Palatino" w:hAnsi="Palatino" w:cs="Palatino"/>
          <w:sz w:val="20"/>
          <w:szCs w:val="20"/>
        </w:rPr>
      </w:pPr>
    </w:p>
    <w:p w14:paraId="74FF26C4" w14:textId="77777777" w:rsidR="00541A14" w:rsidRDefault="00A450E1">
      <w:pPr>
        <w:pStyle w:val="CM45"/>
        <w:rPr>
          <w:rFonts w:ascii="Palatino" w:hAnsi="Palatino" w:cs="Palatino"/>
          <w:color w:val="000000"/>
          <w:sz w:val="20"/>
          <w:szCs w:val="20"/>
        </w:rPr>
      </w:pPr>
      <w:r>
        <w:rPr>
          <w:rFonts w:ascii="Palatino" w:hAnsi="Palatino" w:cs="Palatino"/>
          <w:i/>
          <w:iCs/>
          <w:color w:val="000000"/>
          <w:sz w:val="20"/>
          <w:szCs w:val="20"/>
        </w:rPr>
        <w:t>Safety</w:t>
      </w:r>
      <w:r>
        <w:rPr>
          <w:rFonts w:ascii="Palatino" w:hAnsi="Palatino" w:cs="Palatino"/>
          <w:color w:val="000000"/>
          <w:sz w:val="20"/>
          <w:szCs w:val="20"/>
        </w:rPr>
        <w:t xml:space="preserve">: </w:t>
      </w:r>
    </w:p>
    <w:p w14:paraId="7B7F1BDE" w14:textId="77777777" w:rsidR="00541A14" w:rsidRDefault="00A450E1">
      <w:pPr>
        <w:pStyle w:val="Default"/>
        <w:numPr>
          <w:ilvl w:val="0"/>
          <w:numId w:val="49"/>
        </w:numPr>
        <w:rPr>
          <w:rFonts w:ascii="Palatino" w:hAnsi="Palatino" w:cs="Palatino"/>
          <w:sz w:val="20"/>
          <w:szCs w:val="20"/>
        </w:rPr>
      </w:pPr>
      <w:r>
        <w:rPr>
          <w:rFonts w:ascii="Palatino" w:hAnsi="Palatino" w:cs="Palatino"/>
          <w:sz w:val="20"/>
          <w:szCs w:val="20"/>
        </w:rPr>
        <w:t xml:space="preserve">Mains voltage. </w:t>
      </w:r>
    </w:p>
    <w:p w14:paraId="565D1ECA" w14:textId="77777777" w:rsidR="00541A14" w:rsidRDefault="00A450E1">
      <w:pPr>
        <w:pStyle w:val="Default"/>
        <w:numPr>
          <w:ilvl w:val="0"/>
          <w:numId w:val="49"/>
        </w:numPr>
        <w:rPr>
          <w:rFonts w:ascii="Palatino" w:hAnsi="Palatino" w:cs="Palatino"/>
          <w:sz w:val="20"/>
          <w:szCs w:val="20"/>
        </w:rPr>
      </w:pPr>
      <w:r>
        <w:rPr>
          <w:rFonts w:ascii="Palatino" w:hAnsi="Palatino" w:cs="Palatino"/>
          <w:sz w:val="20"/>
          <w:szCs w:val="20"/>
        </w:rPr>
        <w:t xml:space="preserve">General glass hazard. </w:t>
      </w:r>
    </w:p>
    <w:p w14:paraId="4D73110F" w14:textId="77777777" w:rsidR="00541A14" w:rsidRDefault="00A450E1">
      <w:pPr>
        <w:pStyle w:val="Default"/>
        <w:numPr>
          <w:ilvl w:val="0"/>
          <w:numId w:val="49"/>
        </w:numPr>
        <w:rPr>
          <w:rFonts w:ascii="Palatino" w:hAnsi="Palatino" w:cs="Palatino"/>
          <w:sz w:val="20"/>
          <w:szCs w:val="20"/>
        </w:rPr>
      </w:pPr>
      <w:r>
        <w:rPr>
          <w:rFonts w:ascii="Palatino" w:hAnsi="Palatino" w:cs="Palatino"/>
          <w:sz w:val="20"/>
          <w:szCs w:val="20"/>
        </w:rPr>
        <w:t xml:space="preserve">Internal tube coatings may be hazardous if exposed and they contain traces of gaseous mercury. </w:t>
      </w:r>
    </w:p>
    <w:p w14:paraId="526258F2" w14:textId="77777777" w:rsidR="00541A14" w:rsidRDefault="00A450E1">
      <w:pPr>
        <w:pStyle w:val="Default"/>
        <w:numPr>
          <w:ilvl w:val="0"/>
          <w:numId w:val="49"/>
        </w:numPr>
        <w:rPr>
          <w:rFonts w:ascii="Palatino" w:hAnsi="Palatino" w:cs="Palatino"/>
          <w:sz w:val="20"/>
          <w:szCs w:val="20"/>
        </w:rPr>
      </w:pPr>
      <w:r>
        <w:rPr>
          <w:rFonts w:ascii="Palatino" w:hAnsi="Palatino" w:cs="Palatino"/>
          <w:sz w:val="20"/>
          <w:szCs w:val="20"/>
        </w:rPr>
        <w:t xml:space="preserve">High voltage due to starting equipment. </w:t>
      </w:r>
    </w:p>
    <w:p w14:paraId="21FB165B" w14:textId="77777777" w:rsidR="00541A14" w:rsidRDefault="00541A14">
      <w:pPr>
        <w:pStyle w:val="Default"/>
        <w:rPr>
          <w:rFonts w:ascii="Palatino" w:hAnsi="Palatino" w:cs="Palatino"/>
          <w:sz w:val="20"/>
          <w:szCs w:val="20"/>
        </w:rPr>
      </w:pPr>
    </w:p>
    <w:p w14:paraId="38955DC0" w14:textId="77777777" w:rsidR="00541A14" w:rsidRDefault="00A450E1">
      <w:pPr>
        <w:pStyle w:val="CM175"/>
        <w:spacing w:after="267" w:line="291" w:lineRule="atLeast"/>
        <w:rPr>
          <w:rFonts w:ascii="Palatino" w:hAnsi="Palatino" w:cs="Palatino"/>
          <w:color w:val="000000"/>
          <w:sz w:val="20"/>
          <w:szCs w:val="20"/>
        </w:rPr>
      </w:pPr>
      <w:r>
        <w:rPr>
          <w:rFonts w:ascii="Palatino" w:hAnsi="Palatino" w:cs="Palatino"/>
          <w:i/>
          <w:iCs/>
          <w:color w:val="000000"/>
          <w:sz w:val="20"/>
          <w:szCs w:val="20"/>
        </w:rPr>
        <w:t>Disposal</w:t>
      </w:r>
      <w:r>
        <w:rPr>
          <w:rFonts w:ascii="Palatino" w:hAnsi="Palatino" w:cs="Palatino"/>
          <w:color w:val="000000"/>
          <w:sz w:val="20"/>
          <w:szCs w:val="20"/>
        </w:rPr>
        <w:t xml:space="preserve">: Tube coatings may be hazardous and contain traces of mercury. Consult local and national disposal regulations. </w:t>
      </w:r>
    </w:p>
    <w:p w14:paraId="553A6D89" w14:textId="77777777" w:rsidR="00541A14" w:rsidRDefault="00A450E1">
      <w:pPr>
        <w:pStyle w:val="CM4"/>
        <w:rPr>
          <w:rFonts w:ascii="Futura Book" w:hAnsi="Futura Book" w:cs="Futura Book"/>
          <w:color w:val="2C5062"/>
          <w:sz w:val="20"/>
          <w:szCs w:val="20"/>
        </w:rPr>
      </w:pPr>
      <w:r>
        <w:rPr>
          <w:rFonts w:ascii="Futura Book" w:hAnsi="Futura Book" w:cs="Futura Book"/>
          <w:b/>
          <w:bCs/>
          <w:color w:val="2C5062"/>
          <w:sz w:val="20"/>
          <w:szCs w:val="20"/>
        </w:rPr>
        <w:t xml:space="preserve">Low-pressure sodium vapour lamps </w:t>
      </w:r>
    </w:p>
    <w:p w14:paraId="3D88F1FE"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 xml:space="preserve">Description of operation: </w:t>
      </w:r>
    </w:p>
    <w:p w14:paraId="49B87337" w14:textId="77777777" w:rsidR="00541A14" w:rsidRDefault="00A450E1">
      <w:pPr>
        <w:pStyle w:val="Default"/>
        <w:numPr>
          <w:ilvl w:val="0"/>
          <w:numId w:val="50"/>
        </w:numPr>
        <w:rPr>
          <w:rFonts w:ascii="Palatino" w:hAnsi="Palatino" w:cs="Palatino"/>
          <w:sz w:val="20"/>
          <w:szCs w:val="20"/>
        </w:rPr>
      </w:pPr>
      <w:r>
        <w:rPr>
          <w:rFonts w:ascii="Palatino" w:hAnsi="Palatino" w:cs="Palatino"/>
          <w:sz w:val="20"/>
          <w:szCs w:val="20"/>
        </w:rPr>
        <w:t xml:space="preserve">110 and 240 V AC with associated control circuitry. </w:t>
      </w:r>
    </w:p>
    <w:p w14:paraId="4428EBEF" w14:textId="77777777" w:rsidR="00541A14" w:rsidRDefault="00A450E1">
      <w:pPr>
        <w:pStyle w:val="Default"/>
        <w:numPr>
          <w:ilvl w:val="0"/>
          <w:numId w:val="50"/>
        </w:numPr>
        <w:rPr>
          <w:rFonts w:ascii="Palatino" w:hAnsi="Palatino" w:cs="Palatino"/>
          <w:sz w:val="20"/>
          <w:szCs w:val="20"/>
        </w:rPr>
      </w:pPr>
      <w:r>
        <w:rPr>
          <w:rFonts w:ascii="Palatino" w:hAnsi="Palatino" w:cs="Palatino"/>
          <w:sz w:val="20"/>
          <w:szCs w:val="20"/>
        </w:rPr>
        <w:t xml:space="preserve">NOTE: Only available as yellow colour </w:t>
      </w:r>
    </w:p>
    <w:p w14:paraId="70EFF954" w14:textId="77777777" w:rsidR="00541A14" w:rsidRDefault="00541A14">
      <w:pPr>
        <w:pStyle w:val="Default"/>
        <w:rPr>
          <w:rFonts w:ascii="Palatino" w:hAnsi="Palatino" w:cs="Palatino"/>
          <w:sz w:val="20"/>
          <w:szCs w:val="20"/>
        </w:rPr>
      </w:pPr>
    </w:p>
    <w:p w14:paraId="413CEC9F"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 xml:space="preserve">Typical use: </w:t>
      </w:r>
    </w:p>
    <w:p w14:paraId="594E792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Flood lighting and external illumination of structures, towers, locks etc. </w:t>
      </w:r>
    </w:p>
    <w:p w14:paraId="328BEFB8"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 xml:space="preserve">Technical data: </w:t>
      </w:r>
    </w:p>
    <w:p w14:paraId="3D78320C" w14:textId="77777777" w:rsidR="00541A14" w:rsidRDefault="00A450E1">
      <w:pPr>
        <w:pStyle w:val="Default"/>
        <w:numPr>
          <w:ilvl w:val="0"/>
          <w:numId w:val="51"/>
        </w:numPr>
        <w:rPr>
          <w:rFonts w:ascii="Palatino" w:hAnsi="Palatino" w:cs="Palatino"/>
          <w:sz w:val="20"/>
          <w:szCs w:val="20"/>
        </w:rPr>
      </w:pPr>
      <w:r>
        <w:rPr>
          <w:rFonts w:ascii="Palatino" w:hAnsi="Palatino" w:cs="Palatino"/>
          <w:sz w:val="20"/>
          <w:szCs w:val="20"/>
        </w:rPr>
        <w:t xml:space="preserve">Power: 20 to 180 W </w:t>
      </w:r>
    </w:p>
    <w:p w14:paraId="4724C5C9" w14:textId="77777777" w:rsidR="00541A14" w:rsidRDefault="00A450E1">
      <w:pPr>
        <w:pStyle w:val="Default"/>
        <w:numPr>
          <w:ilvl w:val="0"/>
          <w:numId w:val="51"/>
        </w:numPr>
        <w:rPr>
          <w:rFonts w:ascii="Palatino" w:hAnsi="Palatino" w:cs="Palatino"/>
          <w:sz w:val="20"/>
          <w:szCs w:val="20"/>
        </w:rPr>
      </w:pPr>
      <w:r>
        <w:rPr>
          <w:rFonts w:ascii="Palatino" w:hAnsi="Palatino" w:cs="Palatino"/>
          <w:sz w:val="20"/>
          <w:szCs w:val="20"/>
        </w:rPr>
        <w:t xml:space="preserve">Efficiency: 180 lumen/W </w:t>
      </w:r>
    </w:p>
    <w:p w14:paraId="68C4782C" w14:textId="77777777" w:rsidR="00541A14" w:rsidRDefault="00A450E1">
      <w:pPr>
        <w:pStyle w:val="Default"/>
        <w:numPr>
          <w:ilvl w:val="0"/>
          <w:numId w:val="51"/>
        </w:numPr>
        <w:rPr>
          <w:rFonts w:ascii="Palatino" w:hAnsi="Palatino" w:cs="Palatino"/>
          <w:sz w:val="20"/>
          <w:szCs w:val="20"/>
        </w:rPr>
      </w:pPr>
      <w:r>
        <w:rPr>
          <w:rFonts w:ascii="Palatino" w:hAnsi="Palatino" w:cs="Palatino"/>
          <w:sz w:val="20"/>
          <w:szCs w:val="20"/>
        </w:rPr>
        <w:t xml:space="preserve">Operating life: 10 000 hour </w:t>
      </w:r>
    </w:p>
    <w:p w14:paraId="54432D1D" w14:textId="77777777" w:rsidR="00541A14" w:rsidRDefault="00541A14">
      <w:pPr>
        <w:pStyle w:val="Default"/>
        <w:rPr>
          <w:rFonts w:ascii="Palatino" w:hAnsi="Palatino" w:cs="Palatino"/>
          <w:sz w:val="20"/>
          <w:szCs w:val="20"/>
        </w:rPr>
      </w:pPr>
    </w:p>
    <w:p w14:paraId="3026986A"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18EF1028" wp14:editId="264B920B">
            <wp:extent cx="7553960" cy="420370"/>
            <wp:effectExtent l="0" t="0" r="0" b="1143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53B1DD0B" w14:textId="77777777" w:rsidR="00541A14" w:rsidRDefault="00DD420F">
      <w:pPr>
        <w:pStyle w:val="Default"/>
        <w:pageBreakBefore/>
        <w:framePr w:w="12857" w:wrap="auto" w:vAnchor="page" w:hAnchor="page" w:x="101" w:y="1"/>
        <w:spacing w:after="480"/>
        <w:rPr>
          <w:rFonts w:ascii="Palatino" w:hAnsi="Palatino" w:cs="Palatino"/>
          <w:sz w:val="20"/>
          <w:szCs w:val="20"/>
        </w:rPr>
      </w:pPr>
      <w:r>
        <w:rPr>
          <w:rFonts w:ascii="Palatino" w:hAnsi="Palatino" w:cs="Palatino"/>
          <w:noProof/>
          <w:sz w:val="20"/>
          <w:szCs w:val="20"/>
        </w:rPr>
        <w:drawing>
          <wp:inline distT="0" distB="0" distL="0" distR="0" wp14:anchorId="3C2E7CB9" wp14:editId="5E739F0B">
            <wp:extent cx="7553960" cy="11531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6979D439"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Advantages</w:t>
      </w:r>
      <w:r>
        <w:rPr>
          <w:rFonts w:ascii="Palatino" w:hAnsi="Palatino" w:cs="Palatino"/>
          <w:color w:val="000000"/>
          <w:sz w:val="20"/>
          <w:szCs w:val="20"/>
        </w:rPr>
        <w:t xml:space="preserve">: </w:t>
      </w:r>
    </w:p>
    <w:p w14:paraId="01CF77C3" w14:textId="77777777" w:rsidR="00541A14" w:rsidRDefault="00A450E1">
      <w:pPr>
        <w:pStyle w:val="Default"/>
        <w:numPr>
          <w:ilvl w:val="0"/>
          <w:numId w:val="52"/>
        </w:numPr>
        <w:rPr>
          <w:rFonts w:ascii="Palatino" w:hAnsi="Palatino" w:cs="Palatino"/>
          <w:sz w:val="20"/>
          <w:szCs w:val="20"/>
        </w:rPr>
      </w:pPr>
      <w:r>
        <w:rPr>
          <w:rFonts w:ascii="Palatino" w:hAnsi="Palatino" w:cs="Palatino"/>
          <w:sz w:val="20"/>
          <w:szCs w:val="20"/>
        </w:rPr>
        <w:t xml:space="preserve">Long life. </w:t>
      </w:r>
    </w:p>
    <w:p w14:paraId="0F321A48" w14:textId="77777777" w:rsidR="00541A14" w:rsidRDefault="00A450E1">
      <w:pPr>
        <w:pStyle w:val="Default"/>
        <w:numPr>
          <w:ilvl w:val="0"/>
          <w:numId w:val="52"/>
        </w:numPr>
        <w:rPr>
          <w:rFonts w:ascii="Palatino" w:hAnsi="Palatino" w:cs="Palatino"/>
          <w:sz w:val="20"/>
          <w:szCs w:val="20"/>
        </w:rPr>
      </w:pPr>
      <w:r>
        <w:rPr>
          <w:rFonts w:ascii="Palatino" w:hAnsi="Palatino" w:cs="Palatino"/>
          <w:sz w:val="20"/>
          <w:szCs w:val="20"/>
        </w:rPr>
        <w:t xml:space="preserve">High luminous efficiency. </w:t>
      </w:r>
    </w:p>
    <w:p w14:paraId="1026F69B" w14:textId="77777777" w:rsidR="00541A14" w:rsidRDefault="00A450E1">
      <w:pPr>
        <w:pStyle w:val="Default"/>
        <w:numPr>
          <w:ilvl w:val="0"/>
          <w:numId w:val="52"/>
        </w:numPr>
        <w:rPr>
          <w:rFonts w:ascii="Palatino" w:hAnsi="Palatino" w:cs="Palatino"/>
          <w:sz w:val="20"/>
          <w:szCs w:val="20"/>
        </w:rPr>
      </w:pPr>
      <w:r>
        <w:rPr>
          <w:rFonts w:ascii="Palatino" w:hAnsi="Palatino" w:cs="Palatino"/>
          <w:sz w:val="20"/>
          <w:szCs w:val="20"/>
        </w:rPr>
        <w:t xml:space="preserve">Mercury free. </w:t>
      </w:r>
    </w:p>
    <w:p w14:paraId="41CF5680" w14:textId="77777777" w:rsidR="00541A14" w:rsidRDefault="00A450E1">
      <w:pPr>
        <w:pStyle w:val="Default"/>
        <w:numPr>
          <w:ilvl w:val="0"/>
          <w:numId w:val="52"/>
        </w:numPr>
        <w:rPr>
          <w:rFonts w:ascii="Palatino" w:hAnsi="Palatino" w:cs="Palatino"/>
          <w:sz w:val="20"/>
          <w:szCs w:val="20"/>
        </w:rPr>
      </w:pPr>
      <w:r>
        <w:rPr>
          <w:rFonts w:ascii="Palatino" w:hAnsi="Palatino" w:cs="Palatino"/>
          <w:sz w:val="20"/>
          <w:szCs w:val="20"/>
        </w:rPr>
        <w:t xml:space="preserve">Low envelope surface temperature. </w:t>
      </w:r>
    </w:p>
    <w:p w14:paraId="4A363D33" w14:textId="77777777" w:rsidR="00541A14" w:rsidRDefault="00A450E1">
      <w:pPr>
        <w:pStyle w:val="Default"/>
        <w:numPr>
          <w:ilvl w:val="0"/>
          <w:numId w:val="52"/>
        </w:numPr>
        <w:rPr>
          <w:rFonts w:ascii="Palatino" w:hAnsi="Palatino" w:cs="Palatino"/>
          <w:sz w:val="20"/>
          <w:szCs w:val="20"/>
        </w:rPr>
      </w:pPr>
      <w:r>
        <w:rPr>
          <w:rFonts w:ascii="Palatino" w:hAnsi="Palatino" w:cs="Palatino"/>
          <w:sz w:val="20"/>
          <w:szCs w:val="20"/>
        </w:rPr>
        <w:t xml:space="preserve">Can be used to provide yellow signal colour. </w:t>
      </w:r>
    </w:p>
    <w:p w14:paraId="1DD6990F" w14:textId="77777777" w:rsidR="00541A14" w:rsidRDefault="00A450E1">
      <w:pPr>
        <w:pStyle w:val="Default"/>
        <w:numPr>
          <w:ilvl w:val="0"/>
          <w:numId w:val="52"/>
        </w:numPr>
        <w:rPr>
          <w:rFonts w:ascii="Palatino" w:hAnsi="Palatino" w:cs="Palatino"/>
          <w:sz w:val="20"/>
          <w:szCs w:val="20"/>
        </w:rPr>
      </w:pPr>
      <w:r>
        <w:rPr>
          <w:rFonts w:ascii="Palatino" w:hAnsi="Palatino" w:cs="Palatino"/>
          <w:sz w:val="20"/>
          <w:szCs w:val="20"/>
        </w:rPr>
        <w:t xml:space="preserve">Minimum attraction for insects. </w:t>
      </w:r>
    </w:p>
    <w:p w14:paraId="4CBA8B85" w14:textId="77777777" w:rsidR="00541A14" w:rsidRDefault="00541A14">
      <w:pPr>
        <w:pStyle w:val="Default"/>
        <w:rPr>
          <w:rFonts w:ascii="Palatino" w:hAnsi="Palatino" w:cs="Palatino"/>
          <w:sz w:val="20"/>
          <w:szCs w:val="20"/>
        </w:rPr>
      </w:pPr>
    </w:p>
    <w:p w14:paraId="2B875A90"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Disadvantages</w:t>
      </w:r>
      <w:r>
        <w:rPr>
          <w:rFonts w:ascii="Palatino" w:hAnsi="Palatino" w:cs="Palatino"/>
          <w:color w:val="000000"/>
          <w:sz w:val="20"/>
          <w:szCs w:val="20"/>
        </w:rPr>
        <w:t xml:space="preserve">: </w:t>
      </w:r>
    </w:p>
    <w:p w14:paraId="02AA19B6" w14:textId="77777777" w:rsidR="00541A14" w:rsidRDefault="00A450E1">
      <w:pPr>
        <w:pStyle w:val="Default"/>
        <w:numPr>
          <w:ilvl w:val="0"/>
          <w:numId w:val="53"/>
        </w:numPr>
        <w:rPr>
          <w:rFonts w:ascii="Palatino" w:hAnsi="Palatino" w:cs="Palatino"/>
          <w:sz w:val="20"/>
          <w:szCs w:val="20"/>
        </w:rPr>
      </w:pPr>
      <w:r>
        <w:rPr>
          <w:rFonts w:ascii="Palatino" w:hAnsi="Palatino" w:cs="Palatino"/>
          <w:sz w:val="20"/>
          <w:szCs w:val="20"/>
        </w:rPr>
        <w:t xml:space="preserve">Only produces yellow light. </w:t>
      </w:r>
    </w:p>
    <w:p w14:paraId="52A914F6" w14:textId="77777777" w:rsidR="00541A14" w:rsidRDefault="00A450E1">
      <w:pPr>
        <w:pStyle w:val="Default"/>
        <w:numPr>
          <w:ilvl w:val="0"/>
          <w:numId w:val="53"/>
        </w:numPr>
        <w:rPr>
          <w:rFonts w:ascii="Palatino" w:hAnsi="Palatino" w:cs="Palatino"/>
          <w:sz w:val="20"/>
          <w:szCs w:val="20"/>
        </w:rPr>
      </w:pPr>
      <w:r>
        <w:rPr>
          <w:rFonts w:ascii="Palatino" w:hAnsi="Palatino" w:cs="Palatino"/>
          <w:sz w:val="20"/>
          <w:szCs w:val="20"/>
        </w:rPr>
        <w:t xml:space="preserve">Low luminance. </w:t>
      </w:r>
    </w:p>
    <w:p w14:paraId="3B9603E7" w14:textId="77777777" w:rsidR="00541A14" w:rsidRDefault="00A450E1">
      <w:pPr>
        <w:pStyle w:val="Default"/>
        <w:numPr>
          <w:ilvl w:val="0"/>
          <w:numId w:val="53"/>
        </w:numPr>
        <w:rPr>
          <w:rFonts w:ascii="Palatino" w:hAnsi="Palatino" w:cs="Palatino"/>
          <w:sz w:val="20"/>
          <w:szCs w:val="20"/>
        </w:rPr>
      </w:pPr>
      <w:r>
        <w:rPr>
          <w:rFonts w:ascii="Palatino" w:hAnsi="Palatino" w:cs="Palatino"/>
          <w:sz w:val="20"/>
          <w:szCs w:val="20"/>
        </w:rPr>
        <w:t xml:space="preserve">Not practical to flash (code). </w:t>
      </w:r>
    </w:p>
    <w:p w14:paraId="052079EE" w14:textId="77777777" w:rsidR="00541A14" w:rsidRDefault="00A450E1">
      <w:pPr>
        <w:pStyle w:val="Default"/>
        <w:numPr>
          <w:ilvl w:val="0"/>
          <w:numId w:val="53"/>
        </w:numPr>
        <w:rPr>
          <w:rFonts w:ascii="Palatino" w:hAnsi="Palatino" w:cs="Palatino"/>
          <w:sz w:val="20"/>
          <w:szCs w:val="20"/>
        </w:rPr>
      </w:pPr>
      <w:r>
        <w:rPr>
          <w:rFonts w:ascii="Palatino" w:hAnsi="Palatino" w:cs="Palatino"/>
          <w:sz w:val="20"/>
          <w:szCs w:val="20"/>
        </w:rPr>
        <w:t xml:space="preserve">Limited operating positions. </w:t>
      </w:r>
    </w:p>
    <w:p w14:paraId="49F25E1A" w14:textId="77777777" w:rsidR="00541A14" w:rsidRDefault="00541A14">
      <w:pPr>
        <w:pStyle w:val="Default"/>
        <w:rPr>
          <w:rFonts w:ascii="Palatino" w:hAnsi="Palatino" w:cs="Palatino"/>
          <w:sz w:val="20"/>
          <w:szCs w:val="20"/>
        </w:rPr>
      </w:pPr>
    </w:p>
    <w:p w14:paraId="7210DF96"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Safety</w:t>
      </w:r>
      <w:r>
        <w:rPr>
          <w:rFonts w:ascii="Palatino" w:hAnsi="Palatino" w:cs="Palatino"/>
          <w:color w:val="000000"/>
          <w:sz w:val="20"/>
          <w:szCs w:val="20"/>
        </w:rPr>
        <w:t xml:space="preserve">: </w:t>
      </w:r>
    </w:p>
    <w:p w14:paraId="0C5E7D06" w14:textId="77777777" w:rsidR="00541A14" w:rsidRDefault="00A450E1">
      <w:pPr>
        <w:pStyle w:val="Default"/>
        <w:numPr>
          <w:ilvl w:val="0"/>
          <w:numId w:val="54"/>
        </w:numPr>
        <w:rPr>
          <w:rFonts w:ascii="Palatino" w:hAnsi="Palatino" w:cs="Palatino"/>
          <w:sz w:val="20"/>
          <w:szCs w:val="20"/>
        </w:rPr>
      </w:pPr>
      <w:r>
        <w:rPr>
          <w:rFonts w:ascii="Palatino" w:hAnsi="Palatino" w:cs="Palatino"/>
          <w:sz w:val="20"/>
          <w:szCs w:val="20"/>
        </w:rPr>
        <w:t xml:space="preserve">General glass hazards. </w:t>
      </w:r>
    </w:p>
    <w:p w14:paraId="1FEF08A7" w14:textId="77777777" w:rsidR="00541A14" w:rsidRDefault="00A450E1">
      <w:pPr>
        <w:pStyle w:val="Default"/>
        <w:numPr>
          <w:ilvl w:val="0"/>
          <w:numId w:val="54"/>
        </w:numPr>
        <w:rPr>
          <w:rFonts w:ascii="Palatino" w:hAnsi="Palatino" w:cs="Palatino"/>
          <w:sz w:val="20"/>
          <w:szCs w:val="20"/>
        </w:rPr>
      </w:pPr>
      <w:r>
        <w:rPr>
          <w:rFonts w:ascii="Palatino" w:hAnsi="Palatino" w:cs="Palatino"/>
          <w:sz w:val="20"/>
          <w:szCs w:val="20"/>
        </w:rPr>
        <w:t xml:space="preserve">High AC voltage. </w:t>
      </w:r>
    </w:p>
    <w:p w14:paraId="302BAE5C" w14:textId="77777777" w:rsidR="00541A14" w:rsidRDefault="00A450E1">
      <w:pPr>
        <w:pStyle w:val="Default"/>
        <w:numPr>
          <w:ilvl w:val="0"/>
          <w:numId w:val="54"/>
        </w:numPr>
        <w:rPr>
          <w:rFonts w:ascii="Palatino" w:hAnsi="Palatino" w:cs="Palatino"/>
          <w:sz w:val="20"/>
          <w:szCs w:val="20"/>
        </w:rPr>
      </w:pPr>
      <w:r>
        <w:rPr>
          <w:rFonts w:ascii="Palatino" w:hAnsi="Palatino" w:cs="Palatino"/>
          <w:sz w:val="20"/>
          <w:szCs w:val="20"/>
        </w:rPr>
        <w:t xml:space="preserve">Chemical hazard due to sodium content. </w:t>
      </w:r>
    </w:p>
    <w:p w14:paraId="16CCC209" w14:textId="77777777" w:rsidR="00541A14" w:rsidRDefault="00541A14">
      <w:pPr>
        <w:pStyle w:val="Default"/>
        <w:rPr>
          <w:rFonts w:ascii="Palatino" w:hAnsi="Palatino" w:cs="Palatino"/>
          <w:sz w:val="20"/>
          <w:szCs w:val="20"/>
        </w:rPr>
      </w:pPr>
    </w:p>
    <w:p w14:paraId="483C991A"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Disposal</w:t>
      </w:r>
      <w:r>
        <w:rPr>
          <w:rFonts w:ascii="Palatino" w:hAnsi="Palatino" w:cs="Palatino"/>
          <w:color w:val="000000"/>
          <w:sz w:val="20"/>
          <w:szCs w:val="20"/>
        </w:rPr>
        <w:t xml:space="preserve">: </w:t>
      </w:r>
    </w:p>
    <w:p w14:paraId="57CA5F5F" w14:textId="77777777" w:rsidR="00541A14" w:rsidRDefault="00A450E1">
      <w:pPr>
        <w:pStyle w:val="CM172"/>
        <w:spacing w:after="202"/>
        <w:jc w:val="both"/>
        <w:rPr>
          <w:rFonts w:ascii="Palatino" w:hAnsi="Palatino" w:cs="Palatino"/>
          <w:color w:val="000000"/>
          <w:sz w:val="20"/>
          <w:szCs w:val="20"/>
        </w:rPr>
      </w:pPr>
      <w:r>
        <w:rPr>
          <w:rFonts w:ascii="Palatino" w:hAnsi="Palatino" w:cs="Palatino"/>
          <w:color w:val="000000"/>
          <w:sz w:val="20"/>
          <w:szCs w:val="20"/>
        </w:rPr>
        <w:t xml:space="preserve">• Consult local and national regulations regarding sodium disposal. </w:t>
      </w:r>
    </w:p>
    <w:p w14:paraId="09B9B30E" w14:textId="77777777" w:rsidR="00541A14" w:rsidRDefault="00A450E1">
      <w:pPr>
        <w:pStyle w:val="CM165"/>
        <w:spacing w:after="85"/>
        <w:jc w:val="both"/>
        <w:rPr>
          <w:rFonts w:ascii="Futura Book" w:hAnsi="Futura Book" w:cs="Futura Book"/>
          <w:color w:val="2C5062"/>
          <w:sz w:val="20"/>
          <w:szCs w:val="20"/>
        </w:rPr>
      </w:pPr>
      <w:r>
        <w:rPr>
          <w:rFonts w:ascii="Futura Book" w:hAnsi="Futura Book" w:cs="Futura Book"/>
          <w:b/>
          <w:bCs/>
          <w:color w:val="2C5062"/>
          <w:sz w:val="20"/>
          <w:szCs w:val="20"/>
        </w:rPr>
        <w:t xml:space="preserve">High Pressure Sodium Vapour Lamps </w:t>
      </w:r>
    </w:p>
    <w:p w14:paraId="3416D702"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Description of operation</w:t>
      </w:r>
      <w:r>
        <w:rPr>
          <w:rFonts w:ascii="Palatino" w:hAnsi="Palatino" w:cs="Palatino"/>
          <w:color w:val="000000"/>
          <w:sz w:val="20"/>
          <w:szCs w:val="20"/>
        </w:rPr>
        <w:t xml:space="preserve">: </w:t>
      </w:r>
    </w:p>
    <w:p w14:paraId="6B434708"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sz w:val="20"/>
          <w:szCs w:val="20"/>
        </w:rPr>
        <w:t xml:space="preserve">• 110 or 240 V AC with associated control circuitry. </w:t>
      </w:r>
    </w:p>
    <w:p w14:paraId="0F08FFE9"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Typical Use: </w:t>
      </w:r>
    </w:p>
    <w:p w14:paraId="674E46D0"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sz w:val="20"/>
          <w:szCs w:val="20"/>
        </w:rPr>
        <w:t xml:space="preserve">• White lamps may be used as AtoN light source. </w:t>
      </w:r>
    </w:p>
    <w:p w14:paraId="40FF8A1B"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Technical Data: </w:t>
      </w:r>
    </w:p>
    <w:p w14:paraId="266200E8" w14:textId="77777777" w:rsidR="00541A14" w:rsidRDefault="00A450E1">
      <w:pPr>
        <w:pStyle w:val="Default"/>
        <w:numPr>
          <w:ilvl w:val="0"/>
          <w:numId w:val="55"/>
        </w:numPr>
        <w:rPr>
          <w:rFonts w:ascii="Palatino" w:hAnsi="Palatino" w:cs="Palatino"/>
          <w:sz w:val="20"/>
          <w:szCs w:val="20"/>
        </w:rPr>
      </w:pPr>
      <w:r>
        <w:rPr>
          <w:rFonts w:ascii="Palatino" w:hAnsi="Palatino" w:cs="Palatino"/>
          <w:sz w:val="20"/>
          <w:szCs w:val="20"/>
        </w:rPr>
        <w:t xml:space="preserve">Power: 50 to 400W </w:t>
      </w:r>
    </w:p>
    <w:p w14:paraId="18C9889E" w14:textId="77777777" w:rsidR="00541A14" w:rsidRDefault="00A450E1">
      <w:pPr>
        <w:pStyle w:val="Default"/>
        <w:numPr>
          <w:ilvl w:val="0"/>
          <w:numId w:val="55"/>
        </w:numPr>
        <w:rPr>
          <w:rFonts w:ascii="Palatino" w:hAnsi="Palatino" w:cs="Palatino"/>
          <w:sz w:val="20"/>
          <w:szCs w:val="20"/>
        </w:rPr>
      </w:pPr>
      <w:r>
        <w:rPr>
          <w:rFonts w:ascii="Palatino" w:hAnsi="Palatino" w:cs="Palatino"/>
          <w:sz w:val="20"/>
          <w:szCs w:val="20"/>
        </w:rPr>
        <w:t xml:space="preserve">Efficiency: 90 lumens/W </w:t>
      </w:r>
    </w:p>
    <w:p w14:paraId="068AE20E" w14:textId="77777777" w:rsidR="00541A14" w:rsidRDefault="00A450E1">
      <w:pPr>
        <w:pStyle w:val="Default"/>
        <w:numPr>
          <w:ilvl w:val="0"/>
          <w:numId w:val="55"/>
        </w:numPr>
        <w:rPr>
          <w:rFonts w:ascii="Palatino" w:hAnsi="Palatino" w:cs="Palatino"/>
          <w:sz w:val="20"/>
          <w:szCs w:val="20"/>
        </w:rPr>
      </w:pPr>
      <w:r>
        <w:rPr>
          <w:rFonts w:ascii="Palatino" w:hAnsi="Palatino" w:cs="Palatino"/>
          <w:sz w:val="20"/>
          <w:szCs w:val="20"/>
        </w:rPr>
        <w:t xml:space="preserve">Operating Life: 10000 hour </w:t>
      </w:r>
    </w:p>
    <w:p w14:paraId="190EDF99" w14:textId="77777777" w:rsidR="00541A14" w:rsidRDefault="00541A14">
      <w:pPr>
        <w:pStyle w:val="Default"/>
        <w:rPr>
          <w:rFonts w:ascii="Palatino" w:hAnsi="Palatino" w:cs="Palatino"/>
          <w:sz w:val="20"/>
          <w:szCs w:val="20"/>
        </w:rPr>
      </w:pPr>
    </w:p>
    <w:p w14:paraId="6AA4A002"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Advantages</w:t>
      </w:r>
      <w:r>
        <w:rPr>
          <w:rFonts w:ascii="Palatino" w:hAnsi="Palatino" w:cs="Palatino"/>
          <w:color w:val="000000"/>
          <w:sz w:val="20"/>
          <w:szCs w:val="20"/>
        </w:rPr>
        <w:t xml:space="preserve">: </w:t>
      </w:r>
    </w:p>
    <w:p w14:paraId="489B6C1B" w14:textId="77777777" w:rsidR="00541A14" w:rsidRDefault="00A450E1">
      <w:pPr>
        <w:pStyle w:val="Default"/>
        <w:numPr>
          <w:ilvl w:val="0"/>
          <w:numId w:val="56"/>
        </w:numPr>
        <w:rPr>
          <w:rFonts w:ascii="Palatino" w:hAnsi="Palatino" w:cs="Palatino"/>
          <w:sz w:val="20"/>
          <w:szCs w:val="20"/>
        </w:rPr>
      </w:pPr>
      <w:r>
        <w:rPr>
          <w:rFonts w:ascii="Palatino" w:hAnsi="Palatino" w:cs="Palatino"/>
          <w:sz w:val="20"/>
          <w:szCs w:val="20"/>
        </w:rPr>
        <w:t xml:space="preserve">Long life. </w:t>
      </w:r>
    </w:p>
    <w:p w14:paraId="0D8F198F" w14:textId="77777777" w:rsidR="00541A14" w:rsidRDefault="00A450E1">
      <w:pPr>
        <w:pStyle w:val="Default"/>
        <w:numPr>
          <w:ilvl w:val="0"/>
          <w:numId w:val="56"/>
        </w:numPr>
        <w:rPr>
          <w:rFonts w:ascii="Palatino" w:hAnsi="Palatino" w:cs="Palatino"/>
          <w:sz w:val="20"/>
          <w:szCs w:val="20"/>
        </w:rPr>
      </w:pPr>
      <w:r>
        <w:rPr>
          <w:rFonts w:ascii="Palatino" w:hAnsi="Palatino" w:cs="Palatino"/>
          <w:sz w:val="20"/>
          <w:szCs w:val="20"/>
        </w:rPr>
        <w:t xml:space="preserve">Mercury free. </w:t>
      </w:r>
    </w:p>
    <w:p w14:paraId="45D43CF2" w14:textId="77777777" w:rsidR="00541A14" w:rsidRDefault="00A450E1">
      <w:pPr>
        <w:pStyle w:val="Default"/>
        <w:numPr>
          <w:ilvl w:val="0"/>
          <w:numId w:val="56"/>
        </w:numPr>
        <w:rPr>
          <w:rFonts w:ascii="Palatino" w:hAnsi="Palatino" w:cs="Palatino"/>
          <w:sz w:val="20"/>
          <w:szCs w:val="20"/>
        </w:rPr>
      </w:pPr>
      <w:r>
        <w:rPr>
          <w:rFonts w:ascii="Palatino" w:hAnsi="Palatino" w:cs="Palatino"/>
          <w:sz w:val="20"/>
          <w:szCs w:val="20"/>
        </w:rPr>
        <w:t xml:space="preserve">High efficiency. </w:t>
      </w:r>
    </w:p>
    <w:p w14:paraId="7A32DA04" w14:textId="77777777" w:rsidR="00541A14" w:rsidRDefault="00A450E1">
      <w:pPr>
        <w:pStyle w:val="Default"/>
        <w:numPr>
          <w:ilvl w:val="0"/>
          <w:numId w:val="56"/>
        </w:numPr>
        <w:rPr>
          <w:rFonts w:ascii="Palatino" w:hAnsi="Palatino" w:cs="Palatino"/>
          <w:sz w:val="20"/>
          <w:szCs w:val="20"/>
        </w:rPr>
      </w:pPr>
      <w:r>
        <w:rPr>
          <w:rFonts w:ascii="Palatino" w:hAnsi="Palatino" w:cs="Palatino"/>
          <w:sz w:val="20"/>
          <w:szCs w:val="20"/>
        </w:rPr>
        <w:t xml:space="preserve">Available in white. </w:t>
      </w:r>
    </w:p>
    <w:p w14:paraId="0BE2BDF2" w14:textId="77777777" w:rsidR="00541A14" w:rsidRDefault="00541A14">
      <w:pPr>
        <w:pStyle w:val="Default"/>
        <w:rPr>
          <w:rFonts w:ascii="Palatino" w:hAnsi="Palatino" w:cs="Palatino"/>
          <w:sz w:val="20"/>
          <w:szCs w:val="20"/>
        </w:rPr>
      </w:pPr>
    </w:p>
    <w:p w14:paraId="149DB55F"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Disadvantages</w:t>
      </w:r>
      <w:r>
        <w:rPr>
          <w:rFonts w:ascii="Palatino" w:hAnsi="Palatino" w:cs="Palatino"/>
          <w:color w:val="000000"/>
          <w:sz w:val="20"/>
          <w:szCs w:val="20"/>
        </w:rPr>
        <w:t xml:space="preserve">: </w:t>
      </w:r>
    </w:p>
    <w:p w14:paraId="0143C9CB" w14:textId="77777777" w:rsidR="00541A14" w:rsidRDefault="00A450E1">
      <w:pPr>
        <w:pStyle w:val="Default"/>
        <w:numPr>
          <w:ilvl w:val="0"/>
          <w:numId w:val="57"/>
        </w:numPr>
        <w:rPr>
          <w:rFonts w:ascii="Palatino" w:hAnsi="Palatino" w:cs="Palatino"/>
          <w:sz w:val="20"/>
          <w:szCs w:val="20"/>
        </w:rPr>
      </w:pPr>
      <w:r>
        <w:rPr>
          <w:rFonts w:ascii="Palatino" w:hAnsi="Palatino" w:cs="Palatino"/>
          <w:sz w:val="20"/>
          <w:szCs w:val="20"/>
        </w:rPr>
        <w:t xml:space="preserve">Can not be coded (flashed). </w:t>
      </w:r>
    </w:p>
    <w:p w14:paraId="20A120C7" w14:textId="77777777" w:rsidR="00541A14" w:rsidRDefault="00A450E1">
      <w:pPr>
        <w:pStyle w:val="Default"/>
        <w:numPr>
          <w:ilvl w:val="0"/>
          <w:numId w:val="57"/>
        </w:numPr>
        <w:rPr>
          <w:rFonts w:ascii="Palatino" w:hAnsi="Palatino" w:cs="Palatino"/>
          <w:sz w:val="20"/>
          <w:szCs w:val="20"/>
        </w:rPr>
      </w:pPr>
      <w:r>
        <w:rPr>
          <w:rFonts w:ascii="Palatino" w:hAnsi="Palatino" w:cs="Palatino"/>
          <w:sz w:val="20"/>
          <w:szCs w:val="20"/>
        </w:rPr>
        <w:t xml:space="preserve">Only practical as white Low red content makes colour filtering impractical. </w:t>
      </w:r>
    </w:p>
    <w:p w14:paraId="60733654" w14:textId="77777777" w:rsidR="00541A14" w:rsidRDefault="00A450E1">
      <w:pPr>
        <w:pStyle w:val="Default"/>
        <w:numPr>
          <w:ilvl w:val="0"/>
          <w:numId w:val="57"/>
        </w:numPr>
        <w:rPr>
          <w:rFonts w:ascii="Palatino" w:hAnsi="Palatino" w:cs="Palatino"/>
          <w:sz w:val="20"/>
          <w:szCs w:val="20"/>
        </w:rPr>
      </w:pPr>
      <w:r>
        <w:rPr>
          <w:rFonts w:ascii="Palatino" w:hAnsi="Palatino" w:cs="Palatino"/>
          <w:sz w:val="20"/>
          <w:szCs w:val="20"/>
        </w:rPr>
        <w:t xml:space="preserve">High strike voltage to start. </w:t>
      </w:r>
    </w:p>
    <w:p w14:paraId="3EF81729" w14:textId="77777777" w:rsidR="00541A14" w:rsidRDefault="00A450E1">
      <w:pPr>
        <w:pStyle w:val="Default"/>
        <w:numPr>
          <w:ilvl w:val="0"/>
          <w:numId w:val="57"/>
        </w:numPr>
        <w:rPr>
          <w:rFonts w:ascii="Palatino" w:hAnsi="Palatino" w:cs="Palatino"/>
          <w:sz w:val="20"/>
          <w:szCs w:val="20"/>
        </w:rPr>
      </w:pPr>
      <w:r>
        <w:rPr>
          <w:rFonts w:ascii="Palatino" w:hAnsi="Palatino" w:cs="Palatino"/>
          <w:sz w:val="20"/>
          <w:szCs w:val="20"/>
        </w:rPr>
        <w:t xml:space="preserve">Complex lamp changer required due to long warm-up period and cool-down necessary before </w:t>
      </w:r>
    </w:p>
    <w:p w14:paraId="4E9D4B92" w14:textId="77777777" w:rsidR="00541A14" w:rsidRDefault="00541A14">
      <w:pPr>
        <w:pStyle w:val="Default"/>
        <w:rPr>
          <w:rFonts w:ascii="Palatino" w:hAnsi="Palatino" w:cs="Palatino"/>
          <w:sz w:val="20"/>
          <w:szCs w:val="20"/>
        </w:rPr>
      </w:pPr>
    </w:p>
    <w:p w14:paraId="03690B6A" w14:textId="77777777" w:rsidR="00541A14" w:rsidRDefault="00A450E1">
      <w:pPr>
        <w:pStyle w:val="CM68"/>
        <w:ind w:left="310"/>
        <w:jc w:val="both"/>
        <w:rPr>
          <w:rFonts w:ascii="Palatino" w:hAnsi="Palatino" w:cs="Palatino"/>
          <w:color w:val="000000"/>
          <w:sz w:val="20"/>
          <w:szCs w:val="20"/>
        </w:rPr>
      </w:pPr>
      <w:r>
        <w:rPr>
          <w:rFonts w:ascii="Palatino" w:hAnsi="Palatino" w:cs="Palatino"/>
          <w:color w:val="000000"/>
          <w:sz w:val="20"/>
          <w:szCs w:val="20"/>
        </w:rPr>
        <w:t xml:space="preserve">restart. </w:t>
      </w:r>
    </w:p>
    <w:p w14:paraId="6FE7A025" w14:textId="77777777" w:rsidR="00541A14" w:rsidRDefault="00A450E1">
      <w:pPr>
        <w:pStyle w:val="Default"/>
        <w:numPr>
          <w:ilvl w:val="0"/>
          <w:numId w:val="58"/>
        </w:numPr>
        <w:rPr>
          <w:rFonts w:ascii="Palatino" w:hAnsi="Palatino" w:cs="Palatino"/>
          <w:sz w:val="20"/>
          <w:szCs w:val="20"/>
        </w:rPr>
      </w:pPr>
      <w:r>
        <w:rPr>
          <w:rFonts w:ascii="Palatino" w:hAnsi="Palatino" w:cs="Palatino"/>
          <w:sz w:val="20"/>
          <w:szCs w:val="20"/>
        </w:rPr>
        <w:t xml:space="preserve">Arc tube geometry is poor for most optics. </w:t>
      </w:r>
    </w:p>
    <w:p w14:paraId="23F7A5F4" w14:textId="77777777" w:rsidR="00541A14" w:rsidRDefault="00A450E1">
      <w:pPr>
        <w:pStyle w:val="Default"/>
        <w:numPr>
          <w:ilvl w:val="0"/>
          <w:numId w:val="58"/>
        </w:numPr>
        <w:rPr>
          <w:rFonts w:ascii="Palatino" w:hAnsi="Palatino" w:cs="Palatino"/>
          <w:sz w:val="20"/>
          <w:szCs w:val="20"/>
        </w:rPr>
      </w:pPr>
      <w:r>
        <w:rPr>
          <w:rFonts w:ascii="Palatino" w:hAnsi="Palatino" w:cs="Palatino"/>
          <w:sz w:val="20"/>
          <w:szCs w:val="20"/>
        </w:rPr>
        <w:t xml:space="preserve">Light output falls over life and white colour degrades to yellow. </w:t>
      </w:r>
    </w:p>
    <w:p w14:paraId="6EA63484" w14:textId="77777777" w:rsidR="00541A14" w:rsidRDefault="00541A14">
      <w:pPr>
        <w:pStyle w:val="Default"/>
        <w:rPr>
          <w:rFonts w:ascii="Palatino" w:hAnsi="Palatino" w:cs="Palatino"/>
          <w:sz w:val="20"/>
          <w:szCs w:val="20"/>
        </w:rPr>
      </w:pPr>
    </w:p>
    <w:p w14:paraId="7939929A"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Safety</w:t>
      </w:r>
      <w:r>
        <w:rPr>
          <w:rFonts w:ascii="Palatino" w:hAnsi="Palatino" w:cs="Palatino"/>
          <w:color w:val="000000"/>
          <w:sz w:val="20"/>
          <w:szCs w:val="20"/>
        </w:rPr>
        <w:t xml:space="preserve">: </w:t>
      </w:r>
    </w:p>
    <w:p w14:paraId="30BA1874" w14:textId="77777777" w:rsidR="00541A14" w:rsidRDefault="00A450E1">
      <w:pPr>
        <w:pStyle w:val="Default"/>
        <w:numPr>
          <w:ilvl w:val="0"/>
          <w:numId w:val="59"/>
        </w:numPr>
        <w:rPr>
          <w:rFonts w:ascii="Palatino" w:hAnsi="Palatino" w:cs="Palatino"/>
          <w:sz w:val="20"/>
          <w:szCs w:val="20"/>
        </w:rPr>
      </w:pPr>
      <w:r>
        <w:rPr>
          <w:rFonts w:ascii="Palatino" w:hAnsi="Palatino" w:cs="Palatino"/>
          <w:sz w:val="20"/>
          <w:szCs w:val="20"/>
        </w:rPr>
        <w:t xml:space="preserve">General glass hazards. </w:t>
      </w:r>
    </w:p>
    <w:p w14:paraId="6E48F361" w14:textId="77777777" w:rsidR="00541A14" w:rsidRDefault="00A450E1">
      <w:pPr>
        <w:pStyle w:val="Default"/>
        <w:numPr>
          <w:ilvl w:val="0"/>
          <w:numId w:val="59"/>
        </w:numPr>
        <w:rPr>
          <w:rFonts w:ascii="Palatino" w:hAnsi="Palatino" w:cs="Palatino"/>
          <w:sz w:val="20"/>
          <w:szCs w:val="20"/>
        </w:rPr>
      </w:pPr>
      <w:r>
        <w:rPr>
          <w:rFonts w:ascii="Palatino" w:hAnsi="Palatino" w:cs="Palatino"/>
          <w:sz w:val="20"/>
          <w:szCs w:val="20"/>
        </w:rPr>
        <w:t xml:space="preserve">High voltages. </w:t>
      </w:r>
    </w:p>
    <w:p w14:paraId="7FADB6E3" w14:textId="77777777" w:rsidR="00541A14" w:rsidRDefault="00A450E1">
      <w:pPr>
        <w:pStyle w:val="Default"/>
        <w:numPr>
          <w:ilvl w:val="0"/>
          <w:numId w:val="59"/>
        </w:numPr>
        <w:rPr>
          <w:rFonts w:ascii="Palatino" w:hAnsi="Palatino" w:cs="Palatino"/>
          <w:sz w:val="20"/>
          <w:szCs w:val="20"/>
        </w:rPr>
      </w:pPr>
      <w:r>
        <w:rPr>
          <w:rFonts w:ascii="Palatino" w:hAnsi="Palatino" w:cs="Palatino"/>
          <w:sz w:val="20"/>
          <w:szCs w:val="20"/>
        </w:rPr>
        <w:t xml:space="preserve">Chemical hazards giving rise to disposal or health problems. </w:t>
      </w:r>
    </w:p>
    <w:p w14:paraId="464E1CF9" w14:textId="77777777" w:rsidR="00541A14" w:rsidRDefault="00541A14">
      <w:pPr>
        <w:pStyle w:val="Default"/>
        <w:rPr>
          <w:rFonts w:ascii="Palatino" w:hAnsi="Palatino" w:cs="Palatino"/>
          <w:sz w:val="20"/>
          <w:szCs w:val="20"/>
        </w:rPr>
      </w:pPr>
    </w:p>
    <w:p w14:paraId="3DBA55B2" w14:textId="77777777" w:rsidR="00541A14" w:rsidRDefault="00A450E1">
      <w:pPr>
        <w:pStyle w:val="CM165"/>
        <w:spacing w:after="85"/>
        <w:jc w:val="both"/>
        <w:rPr>
          <w:rFonts w:ascii="Palatino" w:hAnsi="Palatino" w:cs="Palatino"/>
          <w:color w:val="000000"/>
          <w:sz w:val="20"/>
          <w:szCs w:val="20"/>
        </w:rPr>
      </w:pPr>
      <w:r>
        <w:rPr>
          <w:rFonts w:ascii="Palatino" w:hAnsi="Palatino" w:cs="Palatino"/>
          <w:i/>
          <w:iCs/>
          <w:color w:val="000000"/>
          <w:sz w:val="20"/>
          <w:szCs w:val="20"/>
        </w:rPr>
        <w:t>Disposal</w:t>
      </w:r>
      <w:r>
        <w:rPr>
          <w:rFonts w:ascii="Palatino" w:hAnsi="Palatino" w:cs="Palatino"/>
          <w:color w:val="000000"/>
          <w:sz w:val="20"/>
          <w:szCs w:val="20"/>
        </w:rPr>
        <w:t xml:space="preserve">: </w:t>
      </w:r>
    </w:p>
    <w:p w14:paraId="30767451" w14:textId="77777777" w:rsidR="00541A14" w:rsidRDefault="00A450E1">
      <w:pPr>
        <w:pStyle w:val="CM180"/>
        <w:spacing w:after="732"/>
        <w:jc w:val="both"/>
        <w:rPr>
          <w:rFonts w:ascii="Palatino" w:hAnsi="Palatino" w:cs="Palatino"/>
          <w:color w:val="000000"/>
          <w:sz w:val="20"/>
          <w:szCs w:val="20"/>
        </w:rPr>
      </w:pPr>
      <w:r>
        <w:rPr>
          <w:rFonts w:ascii="Palatino" w:hAnsi="Palatino" w:cs="Palatino"/>
          <w:color w:val="000000"/>
          <w:sz w:val="20"/>
          <w:szCs w:val="20"/>
        </w:rPr>
        <w:t xml:space="preserve">• Consult national and local regulations regarding sodium disposal. </w:t>
      </w:r>
    </w:p>
    <w:p w14:paraId="4B591B6C"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14A96109" wp14:editId="40FC494C">
            <wp:extent cx="7542530" cy="420370"/>
            <wp:effectExtent l="0" t="0" r="1270" b="1143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347DC977" w14:textId="77777777" w:rsidR="00541A14" w:rsidRDefault="00DD420F">
      <w:pPr>
        <w:pStyle w:val="Default"/>
        <w:pageBreakBefore/>
        <w:framePr w:w="24763" w:wrap="auto" w:vAnchor="page" w:hAnchor="page" w:x="101" w:y="1"/>
        <w:spacing w:after="460"/>
        <w:rPr>
          <w:rFonts w:ascii="Palatino" w:hAnsi="Palatino" w:cs="Palatino"/>
          <w:sz w:val="20"/>
          <w:szCs w:val="20"/>
        </w:rPr>
      </w:pPr>
      <w:r>
        <w:rPr>
          <w:rFonts w:ascii="Palatino" w:hAnsi="Palatino" w:cs="Palatino"/>
          <w:noProof/>
          <w:sz w:val="20"/>
          <w:szCs w:val="20"/>
        </w:rPr>
        <w:drawing>
          <wp:inline distT="0" distB="0" distL="0" distR="0" wp14:anchorId="2994B6D6" wp14:editId="4936FB7F">
            <wp:extent cx="7553960" cy="115316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58A69BCB" w14:textId="77777777" w:rsidR="00541A14" w:rsidRDefault="00A450E1">
      <w:pPr>
        <w:pStyle w:val="CM165"/>
        <w:spacing w:after="85"/>
        <w:jc w:val="both"/>
        <w:rPr>
          <w:rFonts w:ascii="Futura Book" w:hAnsi="Futura Book" w:cs="Futura Book"/>
          <w:color w:val="2C5062"/>
          <w:sz w:val="20"/>
          <w:szCs w:val="20"/>
        </w:rPr>
      </w:pPr>
      <w:r>
        <w:rPr>
          <w:rFonts w:ascii="Futura Book" w:hAnsi="Futura Book" w:cs="Futura Book"/>
          <w:b/>
          <w:bCs/>
          <w:color w:val="2C5062"/>
          <w:sz w:val="20"/>
          <w:szCs w:val="20"/>
        </w:rPr>
        <w:t xml:space="preserve">Metal halide </w:t>
      </w:r>
    </w:p>
    <w:p w14:paraId="0AB3921E" w14:textId="77777777" w:rsidR="00541A14" w:rsidRDefault="00A450E1">
      <w:pPr>
        <w:pStyle w:val="CM165"/>
        <w:spacing w:after="85"/>
        <w:jc w:val="both"/>
        <w:rPr>
          <w:rFonts w:ascii="Palatino" w:hAnsi="Palatino" w:cs="Palatino"/>
          <w:color w:val="000000"/>
          <w:sz w:val="20"/>
          <w:szCs w:val="20"/>
        </w:rPr>
      </w:pPr>
      <w:r>
        <w:rPr>
          <w:rFonts w:ascii="Palatino" w:hAnsi="Palatino" w:cs="Palatino"/>
          <w:i/>
          <w:iCs/>
          <w:color w:val="000000"/>
          <w:sz w:val="20"/>
          <w:szCs w:val="20"/>
        </w:rPr>
        <w:t xml:space="preserve">Description of operation: </w:t>
      </w:r>
    </w:p>
    <w:p w14:paraId="25F9346F"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The metal halide lamp is one of a family of HID [High Intensity Discharge] lamps, and its arc tube is made of silica glass. The principle of emission is as follows: 1) High voltage from the ballast initiates </w:t>
      </w:r>
    </w:p>
    <w:p w14:paraId="645D4E41"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current flow between the electrodes; 2) As the lamp temperature rises, metals in the lamp evaporate, </w:t>
      </w:r>
    </w:p>
    <w:p w14:paraId="6A8FFBD6"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and light emission occurs. </w:t>
      </w:r>
    </w:p>
    <w:p w14:paraId="30BD33FC"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Working with control circuitry allows input voltages of 12V to 240V for 110 and 240 V power </w:t>
      </w:r>
    </w:p>
    <w:p w14:paraId="65800BF5"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sources. </w:t>
      </w:r>
    </w:p>
    <w:p w14:paraId="7C57A5CB"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i/>
          <w:iCs/>
          <w:color w:val="000000"/>
          <w:sz w:val="20"/>
          <w:szCs w:val="20"/>
        </w:rPr>
        <w:t xml:space="preserve">Typical use: </w:t>
      </w:r>
    </w:p>
    <w:p w14:paraId="49805D3F" w14:textId="77777777" w:rsidR="00541A14" w:rsidRDefault="00A450E1">
      <w:pPr>
        <w:pStyle w:val="CM165"/>
        <w:spacing w:after="85" w:line="291" w:lineRule="atLeast"/>
        <w:ind w:left="300" w:right="437" w:hanging="300"/>
        <w:jc w:val="both"/>
        <w:rPr>
          <w:rFonts w:ascii="Palatino" w:hAnsi="Palatino" w:cs="Palatino"/>
          <w:color w:val="000000"/>
          <w:sz w:val="20"/>
          <w:szCs w:val="20"/>
        </w:rPr>
      </w:pPr>
      <w:r>
        <w:rPr>
          <w:rFonts w:ascii="Palatino" w:hAnsi="Palatino" w:cs="Palatino"/>
          <w:color w:val="000000"/>
          <w:sz w:val="20"/>
          <w:szCs w:val="20"/>
        </w:rPr>
        <w:t xml:space="preserve">• Used as a fixed light source in rotating optics, fixed lenses with rotating screens and general floodlighting. </w:t>
      </w:r>
    </w:p>
    <w:p w14:paraId="5C862781" w14:textId="77777777" w:rsidR="00541A14" w:rsidRDefault="00A450E1">
      <w:pPr>
        <w:pStyle w:val="CM11"/>
        <w:jc w:val="both"/>
        <w:rPr>
          <w:rFonts w:ascii="Palatino" w:hAnsi="Palatino" w:cs="Palatino"/>
          <w:color w:val="000000"/>
          <w:sz w:val="20"/>
          <w:szCs w:val="20"/>
        </w:rPr>
      </w:pPr>
      <w:r>
        <w:rPr>
          <w:rFonts w:ascii="Palatino" w:hAnsi="Palatino" w:cs="Palatino"/>
          <w:i/>
          <w:iCs/>
          <w:color w:val="000000"/>
          <w:sz w:val="20"/>
          <w:szCs w:val="20"/>
        </w:rPr>
        <w:t xml:space="preserve">Technical data: </w:t>
      </w:r>
    </w:p>
    <w:p w14:paraId="21A6761A" w14:textId="77777777" w:rsidR="00541A14" w:rsidRDefault="00A450E1">
      <w:pPr>
        <w:pStyle w:val="Default"/>
        <w:numPr>
          <w:ilvl w:val="0"/>
          <w:numId w:val="60"/>
        </w:numPr>
        <w:rPr>
          <w:rFonts w:ascii="Palatino" w:hAnsi="Palatino" w:cs="Palatino"/>
          <w:sz w:val="20"/>
          <w:szCs w:val="20"/>
        </w:rPr>
      </w:pPr>
      <w:r>
        <w:rPr>
          <w:rFonts w:ascii="Palatino" w:hAnsi="Palatino" w:cs="Palatino"/>
          <w:sz w:val="20"/>
          <w:szCs w:val="20"/>
        </w:rPr>
        <w:t xml:space="preserve">Power: 10 to 2000 W </w:t>
      </w:r>
    </w:p>
    <w:p w14:paraId="0A0D8F0D" w14:textId="77777777" w:rsidR="00541A14" w:rsidRDefault="00A450E1">
      <w:pPr>
        <w:pStyle w:val="Default"/>
        <w:numPr>
          <w:ilvl w:val="0"/>
          <w:numId w:val="60"/>
        </w:numPr>
        <w:rPr>
          <w:rFonts w:ascii="Palatino" w:hAnsi="Palatino" w:cs="Palatino"/>
          <w:sz w:val="20"/>
          <w:szCs w:val="20"/>
        </w:rPr>
      </w:pPr>
      <w:r>
        <w:rPr>
          <w:rFonts w:ascii="Palatino" w:hAnsi="Palatino" w:cs="Palatino"/>
          <w:sz w:val="20"/>
          <w:szCs w:val="20"/>
        </w:rPr>
        <w:t xml:space="preserve">Efficiency: 80 to110 lumen/W </w:t>
      </w:r>
    </w:p>
    <w:p w14:paraId="4535A3C3" w14:textId="77777777" w:rsidR="00541A14" w:rsidRDefault="00A450E1">
      <w:pPr>
        <w:pStyle w:val="Default"/>
        <w:numPr>
          <w:ilvl w:val="0"/>
          <w:numId w:val="60"/>
        </w:numPr>
        <w:rPr>
          <w:rFonts w:ascii="Palatino" w:hAnsi="Palatino" w:cs="Palatino"/>
          <w:sz w:val="20"/>
          <w:szCs w:val="20"/>
        </w:rPr>
      </w:pPr>
      <w:r>
        <w:rPr>
          <w:rFonts w:ascii="Palatino" w:hAnsi="Palatino" w:cs="Palatino"/>
          <w:sz w:val="20"/>
          <w:szCs w:val="20"/>
        </w:rPr>
        <w:t xml:space="preserve">Operating life: 6 000 to 20 000 h </w:t>
      </w:r>
    </w:p>
    <w:p w14:paraId="35D858F7" w14:textId="77777777" w:rsidR="00541A14" w:rsidRDefault="00541A14">
      <w:pPr>
        <w:pStyle w:val="Default"/>
        <w:rPr>
          <w:rFonts w:ascii="Palatino" w:hAnsi="Palatino" w:cs="Palatino"/>
          <w:sz w:val="20"/>
          <w:szCs w:val="20"/>
        </w:rPr>
      </w:pPr>
    </w:p>
    <w:p w14:paraId="47D9CF80" w14:textId="77777777" w:rsidR="00541A14" w:rsidRDefault="00A450E1">
      <w:pPr>
        <w:pStyle w:val="CM172"/>
        <w:spacing w:after="202" w:line="296" w:lineRule="atLeast"/>
        <w:ind w:left="305"/>
        <w:jc w:val="both"/>
        <w:rPr>
          <w:rFonts w:ascii="Palatino" w:hAnsi="Palatino" w:cs="Palatino"/>
          <w:color w:val="000000"/>
          <w:sz w:val="20"/>
          <w:szCs w:val="20"/>
        </w:rPr>
      </w:pPr>
      <w:r>
        <w:rPr>
          <w:rFonts w:ascii="Palatino" w:hAnsi="Palatino" w:cs="Palatino"/>
          <w:b/>
          <w:bCs/>
          <w:color w:val="000000"/>
          <w:sz w:val="20"/>
          <w:szCs w:val="20"/>
        </w:rPr>
        <w:t>Note</w:t>
      </w:r>
      <w:r>
        <w:rPr>
          <w:rFonts w:ascii="Palatino" w:hAnsi="Palatino" w:cs="Palatino"/>
          <w:color w:val="000000"/>
          <w:sz w:val="20"/>
          <w:szCs w:val="20"/>
        </w:rPr>
        <w:t xml:space="preserve">: Operating life is very dependant on the number of times that lamp is switched on </w:t>
      </w:r>
    </w:p>
    <w:p w14:paraId="09FA3E31" w14:textId="77777777" w:rsidR="00541A14" w:rsidRDefault="00A450E1">
      <w:pPr>
        <w:pStyle w:val="CM11"/>
        <w:jc w:val="both"/>
        <w:rPr>
          <w:rFonts w:ascii="Palatino" w:hAnsi="Palatino" w:cs="Palatino"/>
          <w:color w:val="000000"/>
          <w:sz w:val="20"/>
          <w:szCs w:val="20"/>
        </w:rPr>
      </w:pPr>
      <w:r>
        <w:rPr>
          <w:rFonts w:ascii="Palatino" w:hAnsi="Palatino" w:cs="Palatino"/>
          <w:i/>
          <w:iCs/>
          <w:color w:val="000000"/>
          <w:sz w:val="20"/>
          <w:szCs w:val="20"/>
        </w:rPr>
        <w:t>Advantages</w:t>
      </w:r>
      <w:r>
        <w:rPr>
          <w:rFonts w:ascii="Palatino" w:hAnsi="Palatino" w:cs="Palatino"/>
          <w:color w:val="000000"/>
          <w:sz w:val="20"/>
          <w:szCs w:val="20"/>
        </w:rPr>
        <w:t xml:space="preserve">: </w:t>
      </w:r>
    </w:p>
    <w:p w14:paraId="6030855C" w14:textId="77777777" w:rsidR="00541A14" w:rsidRDefault="00A450E1">
      <w:pPr>
        <w:pStyle w:val="Default"/>
        <w:numPr>
          <w:ilvl w:val="0"/>
          <w:numId w:val="61"/>
        </w:numPr>
        <w:rPr>
          <w:rFonts w:ascii="Palatino" w:hAnsi="Palatino" w:cs="Palatino"/>
          <w:sz w:val="20"/>
          <w:szCs w:val="20"/>
        </w:rPr>
      </w:pPr>
      <w:r>
        <w:rPr>
          <w:rFonts w:ascii="Palatino" w:hAnsi="Palatino" w:cs="Palatino"/>
          <w:sz w:val="20"/>
          <w:szCs w:val="20"/>
        </w:rPr>
        <w:t xml:space="preserve">High luminous efficiency. </w:t>
      </w:r>
    </w:p>
    <w:p w14:paraId="40791707" w14:textId="77777777" w:rsidR="00541A14" w:rsidRDefault="00A450E1">
      <w:pPr>
        <w:pStyle w:val="Default"/>
        <w:numPr>
          <w:ilvl w:val="0"/>
          <w:numId w:val="61"/>
        </w:numPr>
        <w:rPr>
          <w:rFonts w:ascii="Palatino" w:hAnsi="Palatino" w:cs="Palatino"/>
          <w:sz w:val="20"/>
          <w:szCs w:val="20"/>
        </w:rPr>
      </w:pPr>
      <w:r>
        <w:rPr>
          <w:rFonts w:ascii="Palatino" w:hAnsi="Palatino" w:cs="Palatino"/>
          <w:sz w:val="20"/>
          <w:szCs w:val="20"/>
        </w:rPr>
        <w:t xml:space="preserve">Clear envelope types have high illuminance. </w:t>
      </w:r>
    </w:p>
    <w:p w14:paraId="00754402" w14:textId="77777777" w:rsidR="00541A14" w:rsidRDefault="00A450E1">
      <w:pPr>
        <w:pStyle w:val="Default"/>
        <w:numPr>
          <w:ilvl w:val="0"/>
          <w:numId w:val="61"/>
        </w:numPr>
        <w:rPr>
          <w:rFonts w:ascii="Palatino" w:hAnsi="Palatino" w:cs="Palatino"/>
          <w:sz w:val="20"/>
          <w:szCs w:val="20"/>
        </w:rPr>
      </w:pPr>
      <w:r>
        <w:rPr>
          <w:rFonts w:ascii="Palatino" w:hAnsi="Palatino" w:cs="Palatino"/>
          <w:sz w:val="20"/>
          <w:szCs w:val="20"/>
        </w:rPr>
        <w:t xml:space="preserve">Coated envelope types have good geometry for traditional lenses. </w:t>
      </w:r>
    </w:p>
    <w:p w14:paraId="2DBEB9C0" w14:textId="77777777" w:rsidR="00541A14" w:rsidRDefault="00A450E1">
      <w:pPr>
        <w:pStyle w:val="Default"/>
        <w:numPr>
          <w:ilvl w:val="0"/>
          <w:numId w:val="61"/>
        </w:numPr>
        <w:rPr>
          <w:rFonts w:ascii="Palatino" w:hAnsi="Palatino" w:cs="Palatino"/>
          <w:sz w:val="20"/>
          <w:szCs w:val="20"/>
        </w:rPr>
      </w:pPr>
      <w:r>
        <w:rPr>
          <w:rFonts w:ascii="Palatino" w:hAnsi="Palatino" w:cs="Palatino"/>
          <w:sz w:val="20"/>
          <w:szCs w:val="20"/>
        </w:rPr>
        <w:t xml:space="preserve">Long life. </w:t>
      </w:r>
    </w:p>
    <w:p w14:paraId="08E8B6FF" w14:textId="77777777" w:rsidR="00541A14" w:rsidRDefault="00A450E1">
      <w:pPr>
        <w:pStyle w:val="Default"/>
        <w:numPr>
          <w:ilvl w:val="0"/>
          <w:numId w:val="61"/>
        </w:numPr>
        <w:rPr>
          <w:rFonts w:ascii="Palatino" w:hAnsi="Palatino" w:cs="Palatino"/>
          <w:sz w:val="20"/>
          <w:szCs w:val="20"/>
        </w:rPr>
      </w:pPr>
      <w:r>
        <w:rPr>
          <w:rFonts w:ascii="Palatino" w:hAnsi="Palatino" w:cs="Palatino"/>
          <w:sz w:val="20"/>
          <w:szCs w:val="20"/>
        </w:rPr>
        <w:t xml:space="preserve">Many commercial lamp types available. </w:t>
      </w:r>
    </w:p>
    <w:p w14:paraId="62C1151C" w14:textId="77777777" w:rsidR="00541A14" w:rsidRDefault="00A450E1">
      <w:pPr>
        <w:pStyle w:val="Default"/>
        <w:numPr>
          <w:ilvl w:val="0"/>
          <w:numId w:val="61"/>
        </w:numPr>
        <w:rPr>
          <w:rFonts w:ascii="Palatino" w:hAnsi="Palatino" w:cs="Palatino"/>
          <w:sz w:val="20"/>
          <w:szCs w:val="20"/>
        </w:rPr>
      </w:pPr>
      <w:r>
        <w:rPr>
          <w:rFonts w:ascii="Palatino" w:hAnsi="Palatino" w:cs="Palatino"/>
          <w:sz w:val="20"/>
          <w:szCs w:val="20"/>
        </w:rPr>
        <w:t xml:space="preserve">Colour rendering is good, within IALA white preferred region. </w:t>
      </w:r>
    </w:p>
    <w:p w14:paraId="2453CBC5" w14:textId="77777777" w:rsidR="00541A14" w:rsidRDefault="00A450E1">
      <w:pPr>
        <w:pStyle w:val="Default"/>
        <w:numPr>
          <w:ilvl w:val="0"/>
          <w:numId w:val="61"/>
        </w:numPr>
        <w:rPr>
          <w:rFonts w:ascii="Palatino" w:hAnsi="Palatino" w:cs="Palatino"/>
          <w:sz w:val="20"/>
          <w:szCs w:val="20"/>
        </w:rPr>
      </w:pPr>
      <w:r>
        <w:rPr>
          <w:rFonts w:ascii="Palatino" w:hAnsi="Palatino" w:cs="Palatino"/>
          <w:sz w:val="20"/>
          <w:szCs w:val="20"/>
        </w:rPr>
        <w:t xml:space="preserve">Absence of a filament means good resistance to vibration and shock. </w:t>
      </w:r>
    </w:p>
    <w:p w14:paraId="3DBD18A3" w14:textId="77777777" w:rsidR="00541A14" w:rsidRDefault="00541A14">
      <w:pPr>
        <w:pStyle w:val="Default"/>
        <w:rPr>
          <w:rFonts w:ascii="Palatino" w:hAnsi="Palatino" w:cs="Palatino"/>
          <w:sz w:val="20"/>
          <w:szCs w:val="20"/>
        </w:rPr>
      </w:pPr>
    </w:p>
    <w:p w14:paraId="1A66F76A" w14:textId="77777777" w:rsidR="00541A14" w:rsidRDefault="00A450E1">
      <w:pPr>
        <w:pStyle w:val="CM11"/>
        <w:jc w:val="both"/>
        <w:rPr>
          <w:rFonts w:ascii="Palatino" w:hAnsi="Palatino" w:cs="Palatino"/>
          <w:color w:val="000000"/>
          <w:sz w:val="20"/>
          <w:szCs w:val="20"/>
        </w:rPr>
      </w:pPr>
      <w:r>
        <w:rPr>
          <w:rFonts w:ascii="Palatino" w:hAnsi="Palatino" w:cs="Palatino"/>
          <w:i/>
          <w:iCs/>
          <w:color w:val="000000"/>
          <w:sz w:val="20"/>
          <w:szCs w:val="20"/>
        </w:rPr>
        <w:t xml:space="preserve">Disadvantages: </w:t>
      </w:r>
    </w:p>
    <w:p w14:paraId="7B2E5AF2" w14:textId="77777777" w:rsidR="00541A14" w:rsidRDefault="00A450E1">
      <w:pPr>
        <w:pStyle w:val="Default"/>
        <w:numPr>
          <w:ilvl w:val="0"/>
          <w:numId w:val="62"/>
        </w:numPr>
        <w:rPr>
          <w:rFonts w:ascii="Palatino" w:hAnsi="Palatino" w:cs="Palatino"/>
          <w:sz w:val="20"/>
          <w:szCs w:val="20"/>
        </w:rPr>
      </w:pPr>
      <w:r>
        <w:rPr>
          <w:rFonts w:ascii="Palatino" w:hAnsi="Palatino" w:cs="Palatino"/>
          <w:sz w:val="20"/>
          <w:szCs w:val="20"/>
        </w:rPr>
        <w:t xml:space="preserve">Not practical to code (flash). </w:t>
      </w:r>
    </w:p>
    <w:p w14:paraId="3C63F405" w14:textId="77777777" w:rsidR="00541A14" w:rsidRDefault="00A450E1">
      <w:pPr>
        <w:pStyle w:val="Default"/>
        <w:numPr>
          <w:ilvl w:val="0"/>
          <w:numId w:val="62"/>
        </w:numPr>
        <w:rPr>
          <w:rFonts w:ascii="Palatino" w:hAnsi="Palatino" w:cs="Palatino"/>
          <w:sz w:val="20"/>
          <w:szCs w:val="20"/>
        </w:rPr>
      </w:pPr>
      <w:r>
        <w:rPr>
          <w:rFonts w:ascii="Palatino" w:hAnsi="Palatino" w:cs="Palatino"/>
          <w:sz w:val="20"/>
          <w:szCs w:val="20"/>
        </w:rPr>
        <w:t xml:space="preserve">Initial warm-up is slow. </w:t>
      </w:r>
    </w:p>
    <w:p w14:paraId="61953244" w14:textId="77777777" w:rsidR="00541A14" w:rsidRDefault="00A450E1">
      <w:pPr>
        <w:pStyle w:val="Default"/>
        <w:numPr>
          <w:ilvl w:val="0"/>
          <w:numId w:val="62"/>
        </w:numPr>
        <w:rPr>
          <w:rFonts w:ascii="Palatino" w:hAnsi="Palatino" w:cs="Palatino"/>
          <w:sz w:val="20"/>
          <w:szCs w:val="20"/>
        </w:rPr>
      </w:pPr>
      <w:r>
        <w:rPr>
          <w:rFonts w:ascii="Palatino" w:hAnsi="Palatino" w:cs="Palatino"/>
          <w:sz w:val="20"/>
          <w:szCs w:val="20"/>
        </w:rPr>
        <w:t xml:space="preserve">Cooling time needed before re-strike hence complex lamp changer design. </w:t>
      </w:r>
    </w:p>
    <w:p w14:paraId="33B63B5D" w14:textId="77777777" w:rsidR="00541A14" w:rsidRDefault="00A450E1">
      <w:pPr>
        <w:pStyle w:val="Default"/>
        <w:numPr>
          <w:ilvl w:val="0"/>
          <w:numId w:val="62"/>
        </w:numPr>
        <w:rPr>
          <w:rFonts w:ascii="Palatino" w:hAnsi="Palatino" w:cs="Palatino"/>
          <w:sz w:val="20"/>
          <w:szCs w:val="20"/>
        </w:rPr>
      </w:pPr>
      <w:r>
        <w:rPr>
          <w:rFonts w:ascii="Palatino" w:hAnsi="Palatino" w:cs="Palatino"/>
          <w:sz w:val="20"/>
          <w:szCs w:val="20"/>
        </w:rPr>
        <w:t xml:space="preserve">Difficult to remote monitor by simple current sensing. </w:t>
      </w:r>
    </w:p>
    <w:p w14:paraId="71101E66" w14:textId="77777777" w:rsidR="00541A14" w:rsidRDefault="00A450E1">
      <w:pPr>
        <w:pStyle w:val="Default"/>
        <w:numPr>
          <w:ilvl w:val="0"/>
          <w:numId w:val="62"/>
        </w:numPr>
        <w:rPr>
          <w:rFonts w:ascii="Palatino" w:hAnsi="Palatino" w:cs="Palatino"/>
          <w:sz w:val="20"/>
          <w:szCs w:val="20"/>
        </w:rPr>
      </w:pPr>
      <w:r>
        <w:rPr>
          <w:rFonts w:ascii="Palatino" w:hAnsi="Palatino" w:cs="Palatino"/>
          <w:sz w:val="20"/>
          <w:szCs w:val="20"/>
        </w:rPr>
        <w:t xml:space="preserve">Light output falls with life. </w:t>
      </w:r>
    </w:p>
    <w:p w14:paraId="126B1110" w14:textId="77777777" w:rsidR="00541A14" w:rsidRDefault="00A450E1">
      <w:pPr>
        <w:pStyle w:val="Default"/>
        <w:numPr>
          <w:ilvl w:val="0"/>
          <w:numId w:val="62"/>
        </w:numPr>
        <w:rPr>
          <w:rFonts w:ascii="Palatino" w:hAnsi="Palatino" w:cs="Palatino"/>
          <w:sz w:val="20"/>
          <w:szCs w:val="20"/>
        </w:rPr>
      </w:pPr>
      <w:r>
        <w:rPr>
          <w:rFonts w:ascii="Palatino" w:hAnsi="Palatino" w:cs="Palatino"/>
          <w:sz w:val="20"/>
          <w:szCs w:val="20"/>
        </w:rPr>
        <w:t xml:space="preserve">Red spectrum is limited so red filtering is possible but poor, green is good. </w:t>
      </w:r>
    </w:p>
    <w:p w14:paraId="307A5CC5" w14:textId="77777777" w:rsidR="00541A14" w:rsidRDefault="00541A14">
      <w:pPr>
        <w:pStyle w:val="Default"/>
        <w:rPr>
          <w:rFonts w:ascii="Palatino" w:hAnsi="Palatino" w:cs="Palatino"/>
          <w:sz w:val="20"/>
          <w:szCs w:val="20"/>
        </w:rPr>
      </w:pPr>
    </w:p>
    <w:p w14:paraId="6145AFC1" w14:textId="77777777" w:rsidR="00541A14" w:rsidRDefault="00A450E1">
      <w:pPr>
        <w:pStyle w:val="CM11"/>
        <w:jc w:val="both"/>
        <w:rPr>
          <w:rFonts w:ascii="Palatino" w:hAnsi="Palatino" w:cs="Palatino"/>
          <w:color w:val="000000"/>
          <w:sz w:val="20"/>
          <w:szCs w:val="20"/>
        </w:rPr>
      </w:pPr>
      <w:r>
        <w:rPr>
          <w:rFonts w:ascii="Palatino" w:hAnsi="Palatino" w:cs="Palatino"/>
          <w:i/>
          <w:iCs/>
          <w:color w:val="000000"/>
          <w:sz w:val="20"/>
          <w:szCs w:val="20"/>
        </w:rPr>
        <w:t xml:space="preserve">Safety: </w:t>
      </w:r>
    </w:p>
    <w:p w14:paraId="4974762D" w14:textId="77777777" w:rsidR="00541A14" w:rsidRDefault="00A450E1">
      <w:pPr>
        <w:pStyle w:val="Default"/>
        <w:numPr>
          <w:ilvl w:val="0"/>
          <w:numId w:val="63"/>
        </w:numPr>
        <w:rPr>
          <w:rFonts w:ascii="Palatino" w:hAnsi="Palatino" w:cs="Palatino"/>
          <w:sz w:val="20"/>
          <w:szCs w:val="20"/>
        </w:rPr>
      </w:pPr>
      <w:r>
        <w:rPr>
          <w:rFonts w:ascii="Palatino" w:hAnsi="Palatino" w:cs="Palatino"/>
          <w:sz w:val="20"/>
          <w:szCs w:val="20"/>
        </w:rPr>
        <w:t xml:space="preserve">High voltage hazards. </w:t>
      </w:r>
    </w:p>
    <w:p w14:paraId="13E667E1" w14:textId="77777777" w:rsidR="00541A14" w:rsidRDefault="00A450E1">
      <w:pPr>
        <w:pStyle w:val="Default"/>
        <w:numPr>
          <w:ilvl w:val="0"/>
          <w:numId w:val="63"/>
        </w:numPr>
        <w:rPr>
          <w:rFonts w:ascii="Palatino" w:hAnsi="Palatino" w:cs="Palatino"/>
          <w:sz w:val="20"/>
          <w:szCs w:val="20"/>
        </w:rPr>
      </w:pPr>
      <w:r>
        <w:rPr>
          <w:rFonts w:ascii="Palatino" w:hAnsi="Palatino" w:cs="Palatino"/>
          <w:sz w:val="20"/>
          <w:szCs w:val="20"/>
        </w:rPr>
        <w:t xml:space="preserve">High UV radiation. </w:t>
      </w:r>
    </w:p>
    <w:p w14:paraId="092BD9D0" w14:textId="77777777" w:rsidR="00541A14" w:rsidRDefault="00A450E1">
      <w:pPr>
        <w:pStyle w:val="Default"/>
        <w:numPr>
          <w:ilvl w:val="0"/>
          <w:numId w:val="63"/>
        </w:numPr>
        <w:rPr>
          <w:rFonts w:ascii="Palatino" w:hAnsi="Palatino" w:cs="Palatino"/>
          <w:sz w:val="20"/>
          <w:szCs w:val="20"/>
        </w:rPr>
      </w:pPr>
      <w:r>
        <w:rPr>
          <w:rFonts w:ascii="Palatino" w:hAnsi="Palatino" w:cs="Palatino"/>
          <w:sz w:val="20"/>
          <w:szCs w:val="20"/>
        </w:rPr>
        <w:t xml:space="preserve">Possible EMC problems. </w:t>
      </w:r>
    </w:p>
    <w:p w14:paraId="724FC771" w14:textId="77777777" w:rsidR="00541A14" w:rsidRDefault="00A450E1">
      <w:pPr>
        <w:pStyle w:val="Default"/>
        <w:numPr>
          <w:ilvl w:val="0"/>
          <w:numId w:val="63"/>
        </w:numPr>
        <w:rPr>
          <w:rFonts w:ascii="Palatino" w:hAnsi="Palatino" w:cs="Palatino"/>
          <w:sz w:val="20"/>
          <w:szCs w:val="20"/>
        </w:rPr>
      </w:pPr>
      <w:r>
        <w:rPr>
          <w:rFonts w:ascii="Palatino" w:hAnsi="Palatino" w:cs="Palatino"/>
          <w:sz w:val="20"/>
          <w:szCs w:val="20"/>
        </w:rPr>
        <w:t xml:space="preserve">Possible explosion hazard. </w:t>
      </w:r>
    </w:p>
    <w:p w14:paraId="79A333CE" w14:textId="77777777" w:rsidR="00541A14" w:rsidRDefault="00A450E1">
      <w:pPr>
        <w:pStyle w:val="Default"/>
        <w:numPr>
          <w:ilvl w:val="0"/>
          <w:numId w:val="63"/>
        </w:numPr>
        <w:rPr>
          <w:rFonts w:ascii="Palatino" w:hAnsi="Palatino" w:cs="Palatino"/>
          <w:sz w:val="20"/>
          <w:szCs w:val="20"/>
        </w:rPr>
      </w:pPr>
      <w:r>
        <w:rPr>
          <w:rFonts w:ascii="Palatino" w:hAnsi="Palatino" w:cs="Palatino"/>
          <w:sz w:val="20"/>
          <w:szCs w:val="20"/>
        </w:rPr>
        <w:t xml:space="preserve">General glass hazard. </w:t>
      </w:r>
    </w:p>
    <w:p w14:paraId="05076C7C" w14:textId="77777777" w:rsidR="00541A14" w:rsidRDefault="00A450E1">
      <w:pPr>
        <w:pStyle w:val="Default"/>
        <w:numPr>
          <w:ilvl w:val="0"/>
          <w:numId w:val="63"/>
        </w:numPr>
        <w:rPr>
          <w:rFonts w:ascii="Palatino" w:hAnsi="Palatino" w:cs="Palatino"/>
          <w:sz w:val="20"/>
          <w:szCs w:val="20"/>
        </w:rPr>
      </w:pPr>
      <w:r>
        <w:rPr>
          <w:rFonts w:ascii="Palatino" w:hAnsi="Palatino" w:cs="Palatino"/>
          <w:sz w:val="20"/>
          <w:szCs w:val="20"/>
        </w:rPr>
        <w:t xml:space="preserve">May contain hazardous metal. </w:t>
      </w:r>
    </w:p>
    <w:p w14:paraId="08D99443" w14:textId="77777777" w:rsidR="00541A14" w:rsidRDefault="00541A14">
      <w:pPr>
        <w:pStyle w:val="Default"/>
        <w:rPr>
          <w:rFonts w:ascii="Palatino" w:hAnsi="Palatino" w:cs="Palatino"/>
          <w:sz w:val="20"/>
          <w:szCs w:val="20"/>
        </w:rPr>
      </w:pPr>
    </w:p>
    <w:p w14:paraId="1E197F32"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i/>
          <w:iCs/>
          <w:color w:val="000000"/>
          <w:sz w:val="20"/>
          <w:szCs w:val="20"/>
        </w:rPr>
        <w:t>Disposal</w:t>
      </w:r>
      <w:r>
        <w:rPr>
          <w:rFonts w:ascii="Palatino" w:hAnsi="Palatino" w:cs="Palatino"/>
          <w:color w:val="000000"/>
          <w:sz w:val="20"/>
          <w:szCs w:val="20"/>
        </w:rPr>
        <w:t xml:space="preserve">: </w:t>
      </w:r>
    </w:p>
    <w:p w14:paraId="53316520" w14:textId="77777777" w:rsidR="00541A14" w:rsidRDefault="00A450E1">
      <w:pPr>
        <w:pStyle w:val="CM164"/>
        <w:spacing w:after="1215" w:line="291" w:lineRule="atLeast"/>
        <w:ind w:left="300" w:hanging="300"/>
        <w:jc w:val="both"/>
        <w:rPr>
          <w:rFonts w:ascii="Palatino" w:hAnsi="Palatino" w:cs="Palatino"/>
          <w:color w:val="000000"/>
          <w:sz w:val="20"/>
          <w:szCs w:val="20"/>
        </w:rPr>
      </w:pPr>
      <w:r>
        <w:rPr>
          <w:rFonts w:ascii="Palatino" w:hAnsi="Palatino" w:cs="Palatino"/>
          <w:color w:val="000000"/>
          <w:sz w:val="20"/>
          <w:szCs w:val="20"/>
        </w:rPr>
        <w:t xml:space="preserve">• Consult local and national regulations for these lamps, as there is some mercury content. </w:t>
      </w:r>
    </w:p>
    <w:p w14:paraId="29014CCD" w14:textId="77777777" w:rsidR="00541A14" w:rsidRDefault="00DD420F">
      <w:pPr>
        <w:pStyle w:val="Default"/>
        <w:framePr w:w="10730" w:wrap="auto" w:vAnchor="page" w:hAnchor="page" w:x="608" w:y="16277"/>
        <w:rPr>
          <w:rFonts w:ascii="Palatino" w:hAnsi="Palatino" w:cs="Palatino"/>
          <w:sz w:val="20"/>
          <w:szCs w:val="20"/>
        </w:rPr>
      </w:pPr>
      <w:r>
        <w:rPr>
          <w:rFonts w:ascii="Palatino" w:hAnsi="Palatino" w:cs="Palatino"/>
          <w:noProof/>
          <w:sz w:val="20"/>
          <w:szCs w:val="20"/>
        </w:rPr>
        <w:drawing>
          <wp:inline distT="0" distB="0" distL="0" distR="0" wp14:anchorId="5D5B031D" wp14:editId="0793506C">
            <wp:extent cx="7553960" cy="420370"/>
            <wp:effectExtent l="0" t="0" r="0" b="1143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31EC1596" w14:textId="77777777" w:rsidR="00541A14" w:rsidRDefault="00DD420F">
      <w:pPr>
        <w:pStyle w:val="Default"/>
        <w:pageBreakBefore/>
        <w:framePr w:w="12857" w:wrap="auto" w:vAnchor="page" w:hAnchor="page" w:x="101" w:y="1"/>
        <w:spacing w:after="440"/>
        <w:rPr>
          <w:rFonts w:ascii="Palatino" w:hAnsi="Palatino" w:cs="Palatino"/>
          <w:sz w:val="20"/>
          <w:szCs w:val="20"/>
        </w:rPr>
      </w:pPr>
      <w:r>
        <w:rPr>
          <w:rFonts w:ascii="Palatino" w:hAnsi="Palatino" w:cs="Palatino"/>
          <w:noProof/>
          <w:sz w:val="20"/>
          <w:szCs w:val="20"/>
        </w:rPr>
        <w:drawing>
          <wp:inline distT="0" distB="0" distL="0" distR="0" wp14:anchorId="3980ED64" wp14:editId="221FEAF9">
            <wp:extent cx="7553960" cy="115316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4904EF69" w14:textId="77777777" w:rsidR="00541A14" w:rsidRDefault="00A450E1">
      <w:pPr>
        <w:pStyle w:val="CM165"/>
        <w:spacing w:after="85"/>
        <w:jc w:val="both"/>
        <w:rPr>
          <w:rFonts w:ascii="Futura Book" w:hAnsi="Futura Book" w:cs="Futura Book"/>
          <w:color w:val="2C5062"/>
          <w:sz w:val="20"/>
          <w:szCs w:val="20"/>
        </w:rPr>
      </w:pPr>
      <w:r>
        <w:rPr>
          <w:rFonts w:ascii="Futura Book" w:hAnsi="Futura Book" w:cs="Futura Book"/>
          <w:b/>
          <w:bCs/>
          <w:color w:val="2C5062"/>
          <w:sz w:val="20"/>
          <w:szCs w:val="20"/>
        </w:rPr>
        <w:t xml:space="preserve">Xenon Lamps </w:t>
      </w:r>
    </w:p>
    <w:p w14:paraId="5D6179C4" w14:textId="77777777" w:rsidR="00541A14" w:rsidRDefault="00A450E1">
      <w:pPr>
        <w:pStyle w:val="CM165"/>
        <w:spacing w:after="85"/>
        <w:jc w:val="both"/>
        <w:rPr>
          <w:rFonts w:ascii="Palatino" w:hAnsi="Palatino" w:cs="Palatino"/>
          <w:color w:val="000000"/>
          <w:sz w:val="20"/>
          <w:szCs w:val="20"/>
        </w:rPr>
      </w:pPr>
      <w:r>
        <w:rPr>
          <w:rFonts w:ascii="Palatino" w:hAnsi="Palatino" w:cs="Palatino"/>
          <w:i/>
          <w:iCs/>
          <w:color w:val="000000"/>
          <w:sz w:val="20"/>
          <w:szCs w:val="20"/>
        </w:rPr>
        <w:t xml:space="preserve">Description of operation: </w:t>
      </w:r>
    </w:p>
    <w:p w14:paraId="7F89403F"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Xenon lamps are discharge lamps, with the xenon gas enclosed in a silica tube at high pressure. An electrical discharge through the xenon gas generates a high intensity white light. (Xenon discharge </w:t>
      </w:r>
    </w:p>
    <w:p w14:paraId="4F72AE3E"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is commonly used in camera flash guns.) </w:t>
      </w:r>
    </w:p>
    <w:p w14:paraId="7D935603" w14:textId="77777777" w:rsidR="00541A14" w:rsidRDefault="00A450E1">
      <w:pPr>
        <w:pStyle w:val="Default"/>
        <w:numPr>
          <w:ilvl w:val="0"/>
          <w:numId w:val="64"/>
        </w:numPr>
        <w:rPr>
          <w:rFonts w:ascii="Palatino" w:hAnsi="Palatino" w:cs="Palatino"/>
          <w:sz w:val="20"/>
          <w:szCs w:val="20"/>
        </w:rPr>
      </w:pPr>
      <w:r>
        <w:rPr>
          <w:rFonts w:ascii="Palatino" w:hAnsi="Palatino" w:cs="Palatino"/>
          <w:sz w:val="20"/>
          <w:szCs w:val="20"/>
        </w:rPr>
        <w:t xml:space="preserve">110 and 240V typically. </w:t>
      </w:r>
    </w:p>
    <w:p w14:paraId="1857BAF6" w14:textId="77777777" w:rsidR="00541A14" w:rsidRDefault="00A450E1">
      <w:pPr>
        <w:pStyle w:val="Default"/>
        <w:numPr>
          <w:ilvl w:val="0"/>
          <w:numId w:val="64"/>
        </w:numPr>
        <w:rPr>
          <w:rFonts w:ascii="Palatino" w:hAnsi="Palatino" w:cs="Palatino"/>
          <w:sz w:val="20"/>
          <w:szCs w:val="20"/>
        </w:rPr>
      </w:pPr>
      <w:r>
        <w:rPr>
          <w:rFonts w:ascii="Palatino" w:hAnsi="Palatino" w:cs="Palatino"/>
          <w:sz w:val="20"/>
          <w:szCs w:val="20"/>
        </w:rPr>
        <w:t xml:space="preserve">Charging DC supply requires complex control circuitry. </w:t>
      </w:r>
    </w:p>
    <w:p w14:paraId="78AC2B3B" w14:textId="77777777" w:rsidR="00541A14" w:rsidRDefault="00A450E1">
      <w:pPr>
        <w:pStyle w:val="Default"/>
        <w:numPr>
          <w:ilvl w:val="0"/>
          <w:numId w:val="64"/>
        </w:numPr>
        <w:rPr>
          <w:rFonts w:ascii="Palatino" w:hAnsi="Palatino" w:cs="Palatino"/>
          <w:sz w:val="20"/>
          <w:szCs w:val="20"/>
        </w:rPr>
      </w:pPr>
      <w:r>
        <w:rPr>
          <w:rFonts w:ascii="Palatino" w:hAnsi="Palatino" w:cs="Palatino"/>
          <w:sz w:val="20"/>
          <w:szCs w:val="20"/>
        </w:rPr>
        <w:t xml:space="preserve">Available as pulsed or continuous discharge types. </w:t>
      </w:r>
    </w:p>
    <w:p w14:paraId="00037BA9" w14:textId="77777777" w:rsidR="00541A14" w:rsidRDefault="00541A14">
      <w:pPr>
        <w:pStyle w:val="Default"/>
        <w:rPr>
          <w:rFonts w:ascii="Palatino" w:hAnsi="Palatino" w:cs="Palatino"/>
          <w:sz w:val="20"/>
          <w:szCs w:val="20"/>
        </w:rPr>
      </w:pPr>
    </w:p>
    <w:p w14:paraId="20ABB460"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i/>
          <w:iCs/>
          <w:color w:val="000000"/>
          <w:sz w:val="20"/>
          <w:szCs w:val="20"/>
        </w:rPr>
        <w:t xml:space="preserve">Typical use:  </w:t>
      </w:r>
    </w:p>
    <w:p w14:paraId="76338045" w14:textId="77777777" w:rsidR="00541A14" w:rsidRDefault="00A450E1">
      <w:pPr>
        <w:pStyle w:val="CM165"/>
        <w:spacing w:after="85" w:line="300" w:lineRule="atLeast"/>
        <w:ind w:left="300" w:right="135" w:hanging="300"/>
        <w:jc w:val="both"/>
        <w:rPr>
          <w:rFonts w:ascii="Palatino" w:hAnsi="Palatino" w:cs="Palatino"/>
          <w:color w:val="000000"/>
          <w:sz w:val="20"/>
          <w:szCs w:val="20"/>
        </w:rPr>
      </w:pPr>
      <w:r>
        <w:rPr>
          <w:rFonts w:ascii="Palatino" w:hAnsi="Palatino" w:cs="Palatino"/>
          <w:color w:val="000000"/>
          <w:sz w:val="20"/>
          <w:szCs w:val="20"/>
        </w:rPr>
        <w:t xml:space="preserve">• A specialised light source used where high intensity is of paramount importance. Can be used in fixed or rotating optics. </w:t>
      </w:r>
    </w:p>
    <w:p w14:paraId="30CCC3FA"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i/>
          <w:iCs/>
          <w:color w:val="000000"/>
          <w:sz w:val="20"/>
          <w:szCs w:val="20"/>
        </w:rPr>
        <w:t xml:space="preserve">Technical data: </w:t>
      </w:r>
    </w:p>
    <w:p w14:paraId="3A871514" w14:textId="77777777" w:rsidR="00541A14" w:rsidRDefault="00A450E1">
      <w:pPr>
        <w:pStyle w:val="Default"/>
        <w:numPr>
          <w:ilvl w:val="0"/>
          <w:numId w:val="65"/>
        </w:numPr>
        <w:rPr>
          <w:rFonts w:ascii="Palatino" w:hAnsi="Palatino" w:cs="Palatino"/>
          <w:sz w:val="20"/>
          <w:szCs w:val="20"/>
        </w:rPr>
      </w:pPr>
      <w:r>
        <w:rPr>
          <w:rFonts w:ascii="Palatino" w:hAnsi="Palatino" w:cs="Palatino"/>
          <w:sz w:val="20"/>
          <w:szCs w:val="20"/>
        </w:rPr>
        <w:t xml:space="preserve">Power: 150 to 2000 W </w:t>
      </w:r>
    </w:p>
    <w:p w14:paraId="6B407023" w14:textId="77777777" w:rsidR="00541A14" w:rsidRDefault="00A450E1">
      <w:pPr>
        <w:pStyle w:val="Default"/>
        <w:numPr>
          <w:ilvl w:val="0"/>
          <w:numId w:val="65"/>
        </w:numPr>
        <w:rPr>
          <w:rFonts w:ascii="Palatino" w:hAnsi="Palatino" w:cs="Palatino"/>
          <w:sz w:val="20"/>
          <w:szCs w:val="20"/>
        </w:rPr>
      </w:pPr>
      <w:r>
        <w:rPr>
          <w:rFonts w:ascii="Palatino" w:hAnsi="Palatino" w:cs="Palatino"/>
          <w:sz w:val="20"/>
          <w:szCs w:val="20"/>
        </w:rPr>
        <w:t xml:space="preserve">Efficiency: 35 lumens/W </w:t>
      </w:r>
    </w:p>
    <w:p w14:paraId="221AE0AF" w14:textId="77777777" w:rsidR="00541A14" w:rsidRDefault="00A450E1">
      <w:pPr>
        <w:pStyle w:val="Default"/>
        <w:numPr>
          <w:ilvl w:val="0"/>
          <w:numId w:val="65"/>
        </w:numPr>
        <w:rPr>
          <w:rFonts w:ascii="Palatino" w:hAnsi="Palatino" w:cs="Palatino"/>
          <w:sz w:val="20"/>
          <w:szCs w:val="20"/>
        </w:rPr>
      </w:pPr>
      <w:r>
        <w:rPr>
          <w:rFonts w:ascii="Palatino" w:hAnsi="Palatino" w:cs="Palatino"/>
          <w:sz w:val="20"/>
          <w:szCs w:val="20"/>
        </w:rPr>
        <w:t xml:space="preserve">Operating life: 2000 h </w:t>
      </w:r>
    </w:p>
    <w:p w14:paraId="7C2A57B0" w14:textId="77777777" w:rsidR="00541A14" w:rsidRDefault="00541A14">
      <w:pPr>
        <w:pStyle w:val="Default"/>
        <w:rPr>
          <w:rFonts w:ascii="Palatino" w:hAnsi="Palatino" w:cs="Palatino"/>
          <w:sz w:val="20"/>
          <w:szCs w:val="20"/>
        </w:rPr>
      </w:pPr>
    </w:p>
    <w:p w14:paraId="7F72EB07"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i/>
          <w:iCs/>
          <w:color w:val="000000"/>
          <w:sz w:val="20"/>
          <w:szCs w:val="20"/>
        </w:rPr>
        <w:t>Advantages</w:t>
      </w:r>
      <w:r>
        <w:rPr>
          <w:rFonts w:ascii="Palatino" w:hAnsi="Palatino" w:cs="Palatino"/>
          <w:color w:val="000000"/>
          <w:sz w:val="20"/>
          <w:szCs w:val="20"/>
        </w:rPr>
        <w:t xml:space="preserve">: </w:t>
      </w:r>
    </w:p>
    <w:p w14:paraId="76AF618D" w14:textId="77777777" w:rsidR="00541A14" w:rsidRDefault="00A450E1">
      <w:pPr>
        <w:pStyle w:val="Default"/>
        <w:numPr>
          <w:ilvl w:val="0"/>
          <w:numId w:val="66"/>
        </w:numPr>
        <w:rPr>
          <w:rFonts w:ascii="Palatino" w:hAnsi="Palatino" w:cs="Palatino"/>
          <w:sz w:val="20"/>
          <w:szCs w:val="20"/>
        </w:rPr>
      </w:pPr>
      <w:r>
        <w:rPr>
          <w:rFonts w:ascii="Palatino" w:hAnsi="Palatino" w:cs="Palatino"/>
          <w:sz w:val="20"/>
          <w:szCs w:val="20"/>
        </w:rPr>
        <w:t xml:space="preserve">High luminance enabling high intensities to be achieved with suitable optics. </w:t>
      </w:r>
    </w:p>
    <w:p w14:paraId="413E61B9" w14:textId="77777777" w:rsidR="00541A14" w:rsidRDefault="00A450E1">
      <w:pPr>
        <w:pStyle w:val="Default"/>
        <w:numPr>
          <w:ilvl w:val="0"/>
          <w:numId w:val="66"/>
        </w:numPr>
        <w:rPr>
          <w:rFonts w:ascii="Palatino" w:hAnsi="Palatino" w:cs="Palatino"/>
          <w:sz w:val="20"/>
          <w:szCs w:val="20"/>
        </w:rPr>
      </w:pPr>
      <w:r>
        <w:rPr>
          <w:rFonts w:ascii="Palatino" w:hAnsi="Palatino" w:cs="Palatino"/>
          <w:sz w:val="20"/>
          <w:szCs w:val="20"/>
        </w:rPr>
        <w:t xml:space="preserve">Broad white colour spectrum allowing good colour filtering. </w:t>
      </w:r>
    </w:p>
    <w:p w14:paraId="1137C7A8" w14:textId="77777777" w:rsidR="00541A14" w:rsidRDefault="00541A14">
      <w:pPr>
        <w:pStyle w:val="Default"/>
        <w:rPr>
          <w:rFonts w:ascii="Palatino" w:hAnsi="Palatino" w:cs="Palatino"/>
          <w:sz w:val="20"/>
          <w:szCs w:val="20"/>
        </w:rPr>
      </w:pPr>
    </w:p>
    <w:p w14:paraId="23F33C85"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i/>
          <w:iCs/>
          <w:color w:val="000000"/>
          <w:sz w:val="20"/>
          <w:szCs w:val="20"/>
        </w:rPr>
        <w:t>Disadvantages</w:t>
      </w:r>
      <w:r>
        <w:rPr>
          <w:rFonts w:ascii="Palatino" w:hAnsi="Palatino" w:cs="Palatino"/>
          <w:color w:val="000000"/>
          <w:sz w:val="20"/>
          <w:szCs w:val="20"/>
        </w:rPr>
        <w:t xml:space="preserve">: </w:t>
      </w:r>
    </w:p>
    <w:p w14:paraId="45656E8B" w14:textId="77777777" w:rsidR="00541A14" w:rsidRDefault="00A450E1">
      <w:pPr>
        <w:pStyle w:val="Default"/>
        <w:numPr>
          <w:ilvl w:val="0"/>
          <w:numId w:val="67"/>
        </w:numPr>
        <w:rPr>
          <w:rFonts w:ascii="Palatino" w:hAnsi="Palatino" w:cs="Palatino"/>
          <w:sz w:val="20"/>
          <w:szCs w:val="20"/>
        </w:rPr>
      </w:pPr>
      <w:r>
        <w:rPr>
          <w:rFonts w:ascii="Palatino" w:hAnsi="Palatino" w:cs="Palatino"/>
          <w:sz w:val="20"/>
          <w:szCs w:val="20"/>
        </w:rPr>
        <w:t xml:space="preserve">Electrical control system is complicated. </w:t>
      </w:r>
    </w:p>
    <w:p w14:paraId="5F4E9520" w14:textId="77777777" w:rsidR="00541A14" w:rsidRDefault="00A450E1">
      <w:pPr>
        <w:pStyle w:val="Default"/>
        <w:numPr>
          <w:ilvl w:val="0"/>
          <w:numId w:val="67"/>
        </w:numPr>
        <w:rPr>
          <w:rFonts w:ascii="Palatino" w:hAnsi="Palatino" w:cs="Palatino"/>
          <w:sz w:val="20"/>
          <w:szCs w:val="20"/>
        </w:rPr>
      </w:pPr>
      <w:r>
        <w:rPr>
          <w:rFonts w:ascii="Palatino" w:hAnsi="Palatino" w:cs="Palatino"/>
          <w:sz w:val="20"/>
          <w:szCs w:val="20"/>
        </w:rPr>
        <w:t xml:space="preserve">Lamp changer design is very complex. </w:t>
      </w:r>
    </w:p>
    <w:p w14:paraId="64BBC32A" w14:textId="77777777" w:rsidR="00541A14" w:rsidRDefault="00A450E1">
      <w:pPr>
        <w:pStyle w:val="Default"/>
        <w:numPr>
          <w:ilvl w:val="0"/>
          <w:numId w:val="67"/>
        </w:numPr>
        <w:rPr>
          <w:rFonts w:ascii="Palatino" w:hAnsi="Palatino" w:cs="Palatino"/>
          <w:sz w:val="20"/>
          <w:szCs w:val="20"/>
        </w:rPr>
      </w:pPr>
      <w:r>
        <w:rPr>
          <w:rFonts w:ascii="Palatino" w:hAnsi="Palatino" w:cs="Palatino"/>
          <w:sz w:val="20"/>
          <w:szCs w:val="20"/>
        </w:rPr>
        <w:t xml:space="preserve">Short lamp life. </w:t>
      </w:r>
    </w:p>
    <w:p w14:paraId="123B1A99" w14:textId="77777777" w:rsidR="00541A14" w:rsidRDefault="00A450E1">
      <w:pPr>
        <w:pStyle w:val="Default"/>
        <w:numPr>
          <w:ilvl w:val="0"/>
          <w:numId w:val="67"/>
        </w:numPr>
        <w:rPr>
          <w:rFonts w:ascii="Palatino" w:hAnsi="Palatino" w:cs="Palatino"/>
          <w:sz w:val="20"/>
          <w:szCs w:val="20"/>
        </w:rPr>
      </w:pPr>
      <w:r>
        <w:rPr>
          <w:rFonts w:ascii="Palatino" w:hAnsi="Palatino" w:cs="Palatino"/>
          <w:sz w:val="20"/>
          <w:szCs w:val="20"/>
        </w:rPr>
        <w:t xml:space="preserve">Electronic control components have short life. </w:t>
      </w:r>
    </w:p>
    <w:p w14:paraId="0078081F" w14:textId="77777777" w:rsidR="00541A14" w:rsidRDefault="00A450E1">
      <w:pPr>
        <w:pStyle w:val="Default"/>
        <w:numPr>
          <w:ilvl w:val="0"/>
          <w:numId w:val="67"/>
        </w:numPr>
        <w:rPr>
          <w:rFonts w:ascii="Palatino" w:hAnsi="Palatino" w:cs="Palatino"/>
          <w:sz w:val="20"/>
          <w:szCs w:val="20"/>
        </w:rPr>
      </w:pPr>
      <w:r>
        <w:rPr>
          <w:rFonts w:ascii="Palatino" w:hAnsi="Palatino" w:cs="Palatino"/>
          <w:sz w:val="20"/>
          <w:szCs w:val="20"/>
        </w:rPr>
        <w:t xml:space="preserve">Relatively expensive. </w:t>
      </w:r>
    </w:p>
    <w:p w14:paraId="17DC4B01" w14:textId="77777777" w:rsidR="00541A14" w:rsidRDefault="00A450E1">
      <w:pPr>
        <w:pStyle w:val="Default"/>
        <w:numPr>
          <w:ilvl w:val="0"/>
          <w:numId w:val="67"/>
        </w:numPr>
        <w:rPr>
          <w:rFonts w:ascii="Palatino" w:hAnsi="Palatino" w:cs="Palatino"/>
          <w:sz w:val="20"/>
          <w:szCs w:val="20"/>
        </w:rPr>
      </w:pPr>
      <w:r>
        <w:rPr>
          <w:rFonts w:ascii="Palatino" w:hAnsi="Palatino" w:cs="Palatino"/>
          <w:sz w:val="20"/>
          <w:szCs w:val="20"/>
        </w:rPr>
        <w:t xml:space="preserve">Power consumption is variable due to the charging/discharging cycle of the system, resulting </w:t>
      </w:r>
    </w:p>
    <w:p w14:paraId="7936329D" w14:textId="77777777" w:rsidR="00541A14" w:rsidRDefault="00541A14">
      <w:pPr>
        <w:pStyle w:val="Default"/>
        <w:rPr>
          <w:rFonts w:ascii="Palatino" w:hAnsi="Palatino" w:cs="Palatino"/>
          <w:sz w:val="20"/>
          <w:szCs w:val="20"/>
        </w:rPr>
      </w:pPr>
    </w:p>
    <w:p w14:paraId="2F40A0CB" w14:textId="77777777" w:rsidR="00541A14" w:rsidRDefault="00A450E1">
      <w:pPr>
        <w:pStyle w:val="Default"/>
        <w:spacing w:line="356" w:lineRule="atLeast"/>
        <w:ind w:right="4372" w:firstLine="300"/>
        <w:jc w:val="both"/>
        <w:rPr>
          <w:rFonts w:ascii="Palatino" w:hAnsi="Palatino" w:cs="Palatino"/>
          <w:sz w:val="20"/>
          <w:szCs w:val="20"/>
        </w:rPr>
      </w:pPr>
      <w:r>
        <w:rPr>
          <w:rFonts w:ascii="Palatino" w:hAnsi="Palatino" w:cs="Palatino"/>
          <w:sz w:val="20"/>
          <w:szCs w:val="20"/>
        </w:rPr>
        <w:t xml:space="preserve">in varying loads on the power supply system. </w:t>
      </w:r>
      <w:r>
        <w:rPr>
          <w:rFonts w:ascii="Palatino" w:hAnsi="Palatino" w:cs="Palatino"/>
          <w:i/>
          <w:iCs/>
          <w:sz w:val="20"/>
          <w:szCs w:val="20"/>
        </w:rPr>
        <w:t>Safety</w:t>
      </w:r>
      <w:r>
        <w:rPr>
          <w:rFonts w:ascii="Palatino" w:hAnsi="Palatino" w:cs="Palatino"/>
          <w:sz w:val="20"/>
          <w:szCs w:val="20"/>
        </w:rPr>
        <w:t xml:space="preserve">: </w:t>
      </w:r>
    </w:p>
    <w:p w14:paraId="5D654F41" w14:textId="77777777" w:rsidR="00541A14" w:rsidRDefault="00A450E1">
      <w:pPr>
        <w:pStyle w:val="Default"/>
        <w:numPr>
          <w:ilvl w:val="0"/>
          <w:numId w:val="68"/>
        </w:numPr>
        <w:rPr>
          <w:rFonts w:ascii="Palatino" w:hAnsi="Palatino" w:cs="Palatino"/>
          <w:sz w:val="20"/>
          <w:szCs w:val="20"/>
        </w:rPr>
      </w:pPr>
      <w:r>
        <w:rPr>
          <w:rFonts w:ascii="Palatino" w:hAnsi="Palatino" w:cs="Palatino"/>
          <w:sz w:val="20"/>
          <w:szCs w:val="20"/>
        </w:rPr>
        <w:t xml:space="preserve">High voltages. </w:t>
      </w:r>
    </w:p>
    <w:p w14:paraId="129E63B5" w14:textId="77777777" w:rsidR="00541A14" w:rsidRDefault="00A450E1">
      <w:pPr>
        <w:pStyle w:val="Default"/>
        <w:numPr>
          <w:ilvl w:val="0"/>
          <w:numId w:val="68"/>
        </w:numPr>
        <w:rPr>
          <w:rFonts w:ascii="Palatino" w:hAnsi="Palatino" w:cs="Palatino"/>
          <w:sz w:val="20"/>
          <w:szCs w:val="20"/>
        </w:rPr>
      </w:pPr>
      <w:r>
        <w:rPr>
          <w:rFonts w:ascii="Palatino" w:hAnsi="Palatino" w:cs="Palatino"/>
          <w:sz w:val="20"/>
          <w:szCs w:val="20"/>
        </w:rPr>
        <w:t xml:space="preserve">Possible danger of explosion as the pressure in the lamp is high. </w:t>
      </w:r>
    </w:p>
    <w:p w14:paraId="6163CA3A" w14:textId="77777777" w:rsidR="00541A14" w:rsidRDefault="00A450E1">
      <w:pPr>
        <w:pStyle w:val="Default"/>
        <w:numPr>
          <w:ilvl w:val="0"/>
          <w:numId w:val="68"/>
        </w:numPr>
        <w:rPr>
          <w:rFonts w:ascii="Palatino" w:hAnsi="Palatino" w:cs="Palatino"/>
          <w:sz w:val="20"/>
          <w:szCs w:val="20"/>
        </w:rPr>
      </w:pPr>
      <w:r>
        <w:rPr>
          <w:rFonts w:ascii="Palatino" w:hAnsi="Palatino" w:cs="Palatino"/>
          <w:sz w:val="20"/>
          <w:szCs w:val="20"/>
        </w:rPr>
        <w:t xml:space="preserve">High UV radiation </w:t>
      </w:r>
    </w:p>
    <w:p w14:paraId="4C520B1B" w14:textId="77777777" w:rsidR="00541A14" w:rsidRDefault="00A450E1">
      <w:pPr>
        <w:pStyle w:val="Default"/>
        <w:numPr>
          <w:ilvl w:val="0"/>
          <w:numId w:val="68"/>
        </w:numPr>
        <w:rPr>
          <w:rFonts w:ascii="Palatino" w:hAnsi="Palatino" w:cs="Palatino"/>
          <w:sz w:val="20"/>
          <w:szCs w:val="20"/>
        </w:rPr>
      </w:pPr>
      <w:r>
        <w:rPr>
          <w:rFonts w:ascii="Palatino" w:hAnsi="Palatino" w:cs="Palatino"/>
          <w:sz w:val="20"/>
          <w:szCs w:val="20"/>
        </w:rPr>
        <w:t xml:space="preserve">High surface temperature </w:t>
      </w:r>
    </w:p>
    <w:p w14:paraId="0280E434" w14:textId="77777777" w:rsidR="00541A14" w:rsidRDefault="00A450E1">
      <w:pPr>
        <w:pStyle w:val="Default"/>
        <w:numPr>
          <w:ilvl w:val="0"/>
          <w:numId w:val="68"/>
        </w:numPr>
        <w:rPr>
          <w:rFonts w:ascii="Palatino" w:hAnsi="Palatino" w:cs="Palatino"/>
          <w:sz w:val="20"/>
          <w:szCs w:val="20"/>
        </w:rPr>
      </w:pPr>
      <w:r>
        <w:rPr>
          <w:rFonts w:ascii="Palatino" w:hAnsi="Palatino" w:cs="Palatino"/>
          <w:sz w:val="20"/>
          <w:szCs w:val="20"/>
        </w:rPr>
        <w:t xml:space="preserve">General glass hazards </w:t>
      </w:r>
    </w:p>
    <w:p w14:paraId="25BF46C1" w14:textId="77777777" w:rsidR="00541A14" w:rsidRDefault="00541A14">
      <w:pPr>
        <w:pStyle w:val="Default"/>
        <w:rPr>
          <w:rFonts w:ascii="Palatino" w:hAnsi="Palatino" w:cs="Palatino"/>
          <w:sz w:val="20"/>
          <w:szCs w:val="20"/>
        </w:rPr>
      </w:pPr>
    </w:p>
    <w:p w14:paraId="360A25DE" w14:textId="77777777" w:rsidR="00541A14" w:rsidRDefault="00A450E1">
      <w:pPr>
        <w:pStyle w:val="CM13"/>
        <w:jc w:val="both"/>
        <w:rPr>
          <w:rFonts w:ascii="Palatino" w:hAnsi="Palatino" w:cs="Palatino"/>
          <w:color w:val="000000"/>
          <w:sz w:val="20"/>
          <w:szCs w:val="20"/>
        </w:rPr>
      </w:pPr>
      <w:r>
        <w:rPr>
          <w:rFonts w:ascii="Palatino" w:hAnsi="Palatino" w:cs="Palatino"/>
          <w:i/>
          <w:iCs/>
          <w:color w:val="000000"/>
          <w:sz w:val="20"/>
          <w:szCs w:val="20"/>
        </w:rPr>
        <w:t>Disposal</w:t>
      </w:r>
      <w:r>
        <w:rPr>
          <w:rFonts w:ascii="Palatino" w:hAnsi="Palatino" w:cs="Palatino"/>
          <w:color w:val="000000"/>
          <w:sz w:val="20"/>
          <w:szCs w:val="20"/>
        </w:rPr>
        <w:t xml:space="preserve">: </w:t>
      </w:r>
    </w:p>
    <w:p w14:paraId="3E5B98A1" w14:textId="77777777" w:rsidR="00541A14" w:rsidRDefault="00A450E1">
      <w:pPr>
        <w:pStyle w:val="CM196"/>
        <w:spacing w:after="2165" w:line="353" w:lineRule="atLeast"/>
        <w:ind w:left="300" w:hanging="300"/>
        <w:jc w:val="both"/>
        <w:rPr>
          <w:rFonts w:ascii="Palatino" w:hAnsi="Palatino" w:cs="Palatino"/>
          <w:color w:val="000000"/>
          <w:sz w:val="20"/>
          <w:szCs w:val="20"/>
        </w:rPr>
      </w:pPr>
      <w:r>
        <w:rPr>
          <w:rFonts w:ascii="Palatino" w:hAnsi="Palatino" w:cs="Palatino"/>
          <w:color w:val="000000"/>
          <w:sz w:val="20"/>
          <w:szCs w:val="20"/>
        </w:rPr>
        <w:t xml:space="preserve">• Check local and national regulations for the lamp type. There may be some mercury content. </w:t>
      </w:r>
    </w:p>
    <w:p w14:paraId="5AFB304E" w14:textId="77777777" w:rsidR="00541A14" w:rsidRDefault="00DD420F">
      <w:pPr>
        <w:pStyle w:val="Default"/>
        <w:framePr w:w="10739" w:wrap="auto" w:vAnchor="page" w:hAnchor="page" w:x="1434" w:y="16277"/>
        <w:rPr>
          <w:rFonts w:ascii="Palatino" w:hAnsi="Palatino" w:cs="Palatino"/>
          <w:sz w:val="20"/>
          <w:szCs w:val="20"/>
        </w:rPr>
      </w:pPr>
      <w:r>
        <w:rPr>
          <w:rFonts w:ascii="Palatino" w:hAnsi="Palatino" w:cs="Palatino"/>
          <w:noProof/>
          <w:sz w:val="20"/>
          <w:szCs w:val="20"/>
        </w:rPr>
        <w:drawing>
          <wp:inline distT="0" distB="0" distL="0" distR="0" wp14:anchorId="3D861D89" wp14:editId="5D27EAC2">
            <wp:extent cx="7542530" cy="420370"/>
            <wp:effectExtent l="0" t="0" r="1270" b="1143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7178F5AD" w14:textId="77777777" w:rsidR="00541A14" w:rsidRDefault="00A450E1">
      <w:pPr>
        <w:pStyle w:val="CM165"/>
        <w:pageBreakBefore/>
        <w:spacing w:after="85"/>
        <w:rPr>
          <w:rFonts w:ascii="Futura Book" w:hAnsi="Futura Book" w:cs="Futura Book"/>
          <w:color w:val="2C5062"/>
          <w:sz w:val="20"/>
          <w:szCs w:val="20"/>
        </w:rPr>
      </w:pPr>
      <w:r>
        <w:rPr>
          <w:rFonts w:ascii="Futura Book" w:hAnsi="Futura Book" w:cs="Futura Book"/>
          <w:b/>
          <w:bCs/>
          <w:color w:val="2C5062"/>
          <w:sz w:val="20"/>
          <w:szCs w:val="20"/>
        </w:rPr>
        <w:t xml:space="preserve">Light Emitting Diode (LED) </w:t>
      </w:r>
    </w:p>
    <w:p w14:paraId="4875E9C7" w14:textId="77777777" w:rsidR="00541A14" w:rsidRDefault="00A450E1">
      <w:pPr>
        <w:pStyle w:val="CM165"/>
        <w:spacing w:after="85"/>
        <w:rPr>
          <w:rFonts w:ascii="Palatino" w:hAnsi="Palatino" w:cs="Palatino"/>
          <w:color w:val="000000"/>
          <w:sz w:val="20"/>
          <w:szCs w:val="20"/>
        </w:rPr>
      </w:pPr>
      <w:r>
        <w:rPr>
          <w:rFonts w:ascii="Palatino" w:hAnsi="Palatino" w:cs="Palatino"/>
          <w:i/>
          <w:iCs/>
          <w:color w:val="000000"/>
          <w:sz w:val="20"/>
          <w:szCs w:val="20"/>
        </w:rPr>
        <w:t xml:space="preserve">Description of operation: </w:t>
      </w:r>
    </w:p>
    <w:p w14:paraId="6E9661EA" w14:textId="77777777" w:rsidR="00541A14" w:rsidRDefault="00A450E1">
      <w:pPr>
        <w:pStyle w:val="CM165"/>
        <w:spacing w:after="85"/>
        <w:rPr>
          <w:rFonts w:ascii="Palatino" w:hAnsi="Palatino" w:cs="Palatino"/>
          <w:color w:val="000000"/>
          <w:sz w:val="20"/>
          <w:szCs w:val="20"/>
        </w:rPr>
      </w:pPr>
      <w:r>
        <w:rPr>
          <w:rFonts w:ascii="Palatino" w:hAnsi="Palatino" w:cs="Palatino"/>
          <w:b/>
          <w:bCs/>
          <w:i/>
          <w:iCs/>
          <w:color w:val="000000"/>
          <w:sz w:val="20"/>
          <w:szCs w:val="20"/>
        </w:rPr>
        <w:t xml:space="preserve">Coloured LEDs </w:t>
      </w:r>
    </w:p>
    <w:p w14:paraId="1A373A0F" w14:textId="77777777" w:rsidR="00541A14" w:rsidRDefault="00A450E1">
      <w:pPr>
        <w:pStyle w:val="CM165"/>
        <w:spacing w:after="85" w:line="271" w:lineRule="atLeast"/>
        <w:ind w:hanging="300"/>
        <w:rPr>
          <w:rFonts w:ascii="Palatino" w:hAnsi="Palatino" w:cs="Palatino"/>
          <w:color w:val="000000"/>
          <w:sz w:val="20"/>
          <w:szCs w:val="20"/>
        </w:rPr>
      </w:pPr>
      <w:r>
        <w:rPr>
          <w:rFonts w:ascii="Palatino" w:hAnsi="Palatino" w:cs="Palatino"/>
          <w:color w:val="000000"/>
          <w:sz w:val="20"/>
          <w:szCs w:val="20"/>
        </w:rPr>
        <w:t xml:space="preserve">• LEDs are electronic semiconductor devices that produce near </w:t>
      </w:r>
    </w:p>
    <w:p w14:paraId="53BB023A" w14:textId="77777777" w:rsidR="00541A14" w:rsidRDefault="00DD420F">
      <w:pPr>
        <w:pStyle w:val="Default"/>
        <w:framePr w:w="24763" w:wrap="auto" w:vAnchor="page" w:hAnchor="page" w:x="101" w:y="2911"/>
        <w:rPr>
          <w:rFonts w:ascii="Palatino" w:hAnsi="Palatino" w:cs="Palatino"/>
          <w:sz w:val="20"/>
          <w:szCs w:val="20"/>
        </w:rPr>
      </w:pPr>
      <w:r>
        <w:rPr>
          <w:rFonts w:ascii="Palatino" w:hAnsi="Palatino" w:cs="Palatino"/>
          <w:noProof/>
          <w:sz w:val="20"/>
          <w:szCs w:val="20"/>
        </w:rPr>
        <w:drawing>
          <wp:inline distT="0" distB="0" distL="0" distR="0" wp14:anchorId="5F65F415" wp14:editId="6551C123">
            <wp:extent cx="7553960" cy="3123565"/>
            <wp:effectExtent l="0" t="0" r="0" b="63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7553960" cy="3123565"/>
                    </a:xfrm>
                    <a:prstGeom prst="rect">
                      <a:avLst/>
                    </a:prstGeom>
                    <a:noFill/>
                    <a:ln>
                      <a:noFill/>
                    </a:ln>
                  </pic:spPr>
                </pic:pic>
              </a:graphicData>
            </a:graphic>
          </wp:inline>
        </w:drawing>
      </w:r>
      <w:r w:rsidR="00A450E1">
        <w:rPr>
          <w:rFonts w:ascii="Palatino" w:hAnsi="Palatino" w:cs="Palatino"/>
          <w:sz w:val="20"/>
          <w:szCs w:val="20"/>
        </w:rPr>
        <w:t xml:space="preserve">monochrbe grouped together in a cluster or an array to provide a light source of the required size and intensity with lamp redundancy. New highpower LEDs allow short range lanterns using a single LED. </w:t>
      </w:r>
    </w:p>
    <w:p w14:paraId="48514E6D" w14:textId="77777777" w:rsidR="00541A14" w:rsidRDefault="00A450E1">
      <w:pPr>
        <w:pStyle w:val="CM169"/>
        <w:spacing w:after="65" w:line="268" w:lineRule="atLeast"/>
        <w:ind w:left="302" w:hanging="303"/>
        <w:rPr>
          <w:rFonts w:ascii="Palatino" w:hAnsi="Palatino" w:cs="Palatino"/>
          <w:color w:val="000000"/>
          <w:sz w:val="20"/>
          <w:szCs w:val="20"/>
        </w:rPr>
      </w:pPr>
      <w:r>
        <w:rPr>
          <w:rFonts w:ascii="Palatino" w:hAnsi="Palatino" w:cs="Palatino"/>
          <w:color w:val="000000"/>
          <w:sz w:val="20"/>
          <w:szCs w:val="20"/>
        </w:rPr>
        <w:t xml:space="preserve">• LEDs operate from a low voltage DC supply. Correct operation </w:t>
      </w:r>
    </w:p>
    <w:p w14:paraId="723A7FE4" w14:textId="77777777" w:rsidR="00541A14" w:rsidRDefault="00A450E1">
      <w:pPr>
        <w:pStyle w:val="CM165"/>
        <w:spacing w:after="85" w:line="166" w:lineRule="atLeast"/>
        <w:ind w:left="300" w:firstLine="6442"/>
        <w:rPr>
          <w:rFonts w:ascii="Palatino" w:hAnsi="Palatino" w:cs="Palatino"/>
          <w:color w:val="000000"/>
          <w:sz w:val="18"/>
          <w:szCs w:val="18"/>
        </w:rPr>
      </w:pPr>
      <w:r>
        <w:rPr>
          <w:rFonts w:ascii="Palatino" w:hAnsi="Palatino" w:cs="Palatino"/>
          <w:i/>
          <w:iCs/>
          <w:color w:val="000000"/>
          <w:sz w:val="18"/>
          <w:szCs w:val="18"/>
        </w:rPr>
        <w:t>VLB-44 medium range LED</w:t>
      </w:r>
      <w:r>
        <w:rPr>
          <w:rFonts w:ascii="Palatino" w:hAnsi="Palatino" w:cs="Palatino"/>
          <w:color w:val="000000"/>
          <w:sz w:val="20"/>
          <w:szCs w:val="20"/>
        </w:rPr>
        <w:t xml:space="preserve">depends on accurate control of the supply current. </w:t>
      </w:r>
      <w:r>
        <w:rPr>
          <w:rFonts w:ascii="Palatino" w:hAnsi="Palatino" w:cs="Palatino"/>
          <w:i/>
          <w:iCs/>
          <w:color w:val="000000"/>
          <w:position w:val="-5"/>
          <w:sz w:val="18"/>
          <w:szCs w:val="18"/>
          <w:vertAlign w:val="subscript"/>
        </w:rPr>
        <w:t xml:space="preserve">– photo courtesy of Vega Industries </w:t>
      </w:r>
    </w:p>
    <w:p w14:paraId="494934E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i/>
          <w:iCs/>
          <w:color w:val="000000"/>
          <w:sz w:val="20"/>
          <w:szCs w:val="20"/>
        </w:rPr>
        <w:t xml:space="preserve">White LEDs </w:t>
      </w:r>
    </w:p>
    <w:p w14:paraId="188065E8" w14:textId="77777777" w:rsidR="00541A14" w:rsidRDefault="00A450E1">
      <w:pPr>
        <w:pStyle w:val="CM165"/>
        <w:spacing w:after="85" w:line="271" w:lineRule="atLeast"/>
        <w:ind w:left="300" w:right="2577" w:hanging="300"/>
        <w:rPr>
          <w:rFonts w:ascii="Palatino" w:hAnsi="Palatino" w:cs="Palatino"/>
          <w:color w:val="000000"/>
          <w:sz w:val="19"/>
          <w:szCs w:val="19"/>
        </w:rPr>
      </w:pPr>
      <w:r>
        <w:rPr>
          <w:rFonts w:ascii="Palatino" w:hAnsi="Palatino" w:cs="Palatino"/>
          <w:color w:val="000000"/>
          <w:sz w:val="19"/>
          <w:szCs w:val="19"/>
        </w:rPr>
        <w:t xml:space="preserve">• A semiconductor junction emitting blue/violet light is encapsulatedwith an integral phosphor such that both blue and broad band yellowlight are emitted together to form a near white light. Research is in progress on combining red and green LED lights to produce a white light within the IALA chromaticity specification. </w:t>
      </w:r>
    </w:p>
    <w:p w14:paraId="10D227C9" w14:textId="77777777" w:rsidR="00541A14" w:rsidRDefault="00A450E1">
      <w:pPr>
        <w:pStyle w:val="CM165"/>
        <w:spacing w:after="85" w:line="271" w:lineRule="atLeast"/>
        <w:ind w:left="300" w:right="2492" w:hanging="300"/>
        <w:rPr>
          <w:rFonts w:ascii="Palatino" w:hAnsi="Palatino" w:cs="Palatino"/>
          <w:color w:val="000000"/>
          <w:sz w:val="20"/>
          <w:szCs w:val="20"/>
        </w:rPr>
      </w:pPr>
      <w:r>
        <w:rPr>
          <w:rFonts w:ascii="Palatino" w:hAnsi="Palatino" w:cs="Palatino"/>
          <w:color w:val="000000"/>
          <w:sz w:val="20"/>
          <w:szCs w:val="20"/>
        </w:rPr>
        <w:t xml:space="preserve">• LED marine lanterns are sometimes reported as having intense coloursand ranges longer than the current IALA calculation method would suggest. Current work by IALA is investigating this. </w:t>
      </w:r>
    </w:p>
    <w:p w14:paraId="694D0DD4"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i/>
          <w:iCs/>
          <w:color w:val="000000"/>
          <w:sz w:val="20"/>
          <w:szCs w:val="20"/>
        </w:rPr>
        <w:t xml:space="preserve">Typical use: </w:t>
      </w:r>
    </w:p>
    <w:p w14:paraId="4C18669D" w14:textId="77777777" w:rsidR="00541A14" w:rsidRDefault="00A450E1">
      <w:pPr>
        <w:pStyle w:val="CM71"/>
        <w:ind w:left="302" w:hanging="303"/>
        <w:rPr>
          <w:rFonts w:ascii="Palatino" w:hAnsi="Palatino" w:cs="Palatino"/>
          <w:color w:val="000000"/>
          <w:sz w:val="20"/>
          <w:szCs w:val="20"/>
        </w:rPr>
      </w:pPr>
      <w:r>
        <w:rPr>
          <w:rFonts w:ascii="Palatino" w:hAnsi="Palatino" w:cs="Palatino"/>
          <w:color w:val="000000"/>
          <w:sz w:val="20"/>
          <w:szCs w:val="20"/>
        </w:rPr>
        <w:t>• Lighted beacons on buoys and other short range AtoN, but longer</w:t>
      </w:r>
    </w:p>
    <w:p w14:paraId="5F2584C0" w14:textId="77777777" w:rsidR="00541A14" w:rsidRDefault="00A450E1">
      <w:pPr>
        <w:pStyle w:val="CM165"/>
        <w:spacing w:after="85" w:line="260" w:lineRule="atLeast"/>
        <w:ind w:left="295"/>
        <w:rPr>
          <w:rFonts w:ascii="Palatino" w:hAnsi="Palatino" w:cs="Palatino"/>
          <w:color w:val="000000"/>
          <w:sz w:val="20"/>
          <w:szCs w:val="20"/>
        </w:rPr>
      </w:pPr>
      <w:r>
        <w:rPr>
          <w:rFonts w:ascii="Palatino" w:hAnsi="Palatino" w:cs="Palatino"/>
          <w:color w:val="000000"/>
          <w:sz w:val="20"/>
          <w:szCs w:val="20"/>
        </w:rPr>
        <w:t xml:space="preserve">range LED lanterns are increasingly available in the market. </w:t>
      </w:r>
    </w:p>
    <w:p w14:paraId="3D62B349" w14:textId="77777777" w:rsidR="00541A14" w:rsidRDefault="00A450E1">
      <w:pPr>
        <w:pStyle w:val="Default"/>
        <w:numPr>
          <w:ilvl w:val="0"/>
          <w:numId w:val="69"/>
        </w:numPr>
        <w:rPr>
          <w:rFonts w:ascii="Palatino" w:hAnsi="Palatino" w:cs="Palatino"/>
          <w:sz w:val="20"/>
          <w:szCs w:val="20"/>
        </w:rPr>
      </w:pPr>
      <w:r>
        <w:rPr>
          <w:rFonts w:ascii="Palatino" w:hAnsi="Palatino" w:cs="Palatino"/>
          <w:sz w:val="20"/>
          <w:szCs w:val="20"/>
        </w:rPr>
        <w:t xml:space="preserve">Range lights consisting of flat arrays of LEDs or single high power LEDs. </w:t>
      </w:r>
    </w:p>
    <w:p w14:paraId="0E84C2D3" w14:textId="77777777" w:rsidR="00541A14" w:rsidRDefault="00A450E1">
      <w:pPr>
        <w:pStyle w:val="Default"/>
        <w:numPr>
          <w:ilvl w:val="0"/>
          <w:numId w:val="69"/>
        </w:numPr>
        <w:rPr>
          <w:rFonts w:ascii="Palatino" w:hAnsi="Palatino" w:cs="Palatino"/>
          <w:sz w:val="20"/>
          <w:szCs w:val="20"/>
        </w:rPr>
      </w:pPr>
      <w:r>
        <w:rPr>
          <w:rFonts w:ascii="Palatino" w:hAnsi="Palatino" w:cs="Palatino"/>
          <w:sz w:val="20"/>
          <w:szCs w:val="20"/>
        </w:rPr>
        <w:t xml:space="preserve">Signs and signals formed by arrays of LEDs in the shape of letters, numerals, signs etc. </w:t>
      </w:r>
    </w:p>
    <w:p w14:paraId="1632E130" w14:textId="77777777" w:rsidR="00541A14" w:rsidRDefault="00541A14">
      <w:pPr>
        <w:pStyle w:val="Default"/>
        <w:rPr>
          <w:rFonts w:ascii="Palatino" w:hAnsi="Palatino" w:cs="Palatino"/>
          <w:sz w:val="20"/>
          <w:szCs w:val="20"/>
        </w:rPr>
      </w:pPr>
    </w:p>
    <w:p w14:paraId="38F59B5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i/>
          <w:iCs/>
          <w:color w:val="000000"/>
          <w:sz w:val="20"/>
          <w:szCs w:val="20"/>
        </w:rPr>
        <w:t xml:space="preserve">Technical data: </w:t>
      </w:r>
    </w:p>
    <w:p w14:paraId="41546B10" w14:textId="77777777" w:rsidR="00541A14" w:rsidRDefault="00A450E1">
      <w:pPr>
        <w:pStyle w:val="CM165"/>
        <w:spacing w:after="85" w:line="268" w:lineRule="atLeast"/>
        <w:ind w:left="302" w:hanging="303"/>
        <w:rPr>
          <w:rFonts w:ascii="Palatino" w:hAnsi="Palatino" w:cs="Palatino"/>
          <w:color w:val="000000"/>
          <w:sz w:val="20"/>
          <w:szCs w:val="20"/>
        </w:rPr>
      </w:pPr>
      <w:r>
        <w:rPr>
          <w:rFonts w:ascii="Palatino" w:hAnsi="Palatino" w:cs="Palatino"/>
          <w:color w:val="000000"/>
          <w:sz w:val="20"/>
          <w:szCs w:val="20"/>
        </w:rPr>
        <w:t xml:space="preserve">• Power: Single LED 1mW to 5W </w:t>
      </w:r>
    </w:p>
    <w:p w14:paraId="5E9C0938" w14:textId="77777777" w:rsidR="00541A14" w:rsidRDefault="00A450E1">
      <w:pPr>
        <w:pStyle w:val="CM165"/>
        <w:spacing w:after="85" w:line="278" w:lineRule="atLeast"/>
        <w:ind w:left="1052"/>
        <w:rPr>
          <w:rFonts w:ascii="Palatino" w:hAnsi="Palatino" w:cs="Palatino"/>
          <w:color w:val="000000"/>
          <w:sz w:val="20"/>
          <w:szCs w:val="20"/>
        </w:rPr>
      </w:pPr>
      <w:r>
        <w:rPr>
          <w:rFonts w:ascii="Palatino" w:hAnsi="Palatino" w:cs="Palatino"/>
          <w:color w:val="000000"/>
          <w:sz w:val="20"/>
          <w:szCs w:val="20"/>
        </w:rPr>
        <w:t xml:space="preserve">LED cluster in lantern 1W to 60W or even higher. </w:t>
      </w:r>
    </w:p>
    <w:p w14:paraId="231AA354" w14:textId="77777777" w:rsidR="00541A14" w:rsidRDefault="00A450E1">
      <w:pPr>
        <w:pStyle w:val="CM165"/>
        <w:spacing w:after="85" w:line="271" w:lineRule="atLeast"/>
        <w:ind w:left="3600" w:hanging="3600"/>
        <w:rPr>
          <w:rFonts w:ascii="Palatino" w:hAnsi="Palatino" w:cs="Palatino"/>
          <w:color w:val="000000"/>
          <w:sz w:val="19"/>
          <w:szCs w:val="19"/>
        </w:rPr>
      </w:pPr>
      <w:r>
        <w:rPr>
          <w:rFonts w:ascii="Palatino" w:hAnsi="Palatino" w:cs="Palatino"/>
          <w:color w:val="000000"/>
          <w:sz w:val="19"/>
          <w:szCs w:val="19"/>
        </w:rPr>
        <w:t xml:space="preserve">• Efficiency: This depends on colour: Red and green – 25 to 30 lumen/WYellow – 20 to 30 lumen/WWhite – 20 to 30 lumen/WBlue – 10 lumen/W </w:t>
      </w:r>
    </w:p>
    <w:p w14:paraId="4FF89C44" w14:textId="77777777" w:rsidR="00541A14" w:rsidRDefault="00A450E1">
      <w:pPr>
        <w:pStyle w:val="CM165"/>
        <w:spacing w:after="85" w:line="268" w:lineRule="atLeast"/>
        <w:ind w:left="302" w:hanging="303"/>
        <w:rPr>
          <w:rFonts w:ascii="Palatino" w:hAnsi="Palatino" w:cs="Palatino"/>
          <w:color w:val="000000"/>
          <w:sz w:val="20"/>
          <w:szCs w:val="20"/>
        </w:rPr>
      </w:pPr>
      <w:r>
        <w:rPr>
          <w:rFonts w:ascii="Palatino" w:hAnsi="Palatino" w:cs="Palatino"/>
          <w:color w:val="000000"/>
          <w:sz w:val="20"/>
          <w:szCs w:val="20"/>
        </w:rPr>
        <w:t xml:space="preserve">• Operating life: Depends on the LED junction operating temperature and operating environment </w:t>
      </w:r>
    </w:p>
    <w:p w14:paraId="0F8FB2E0" w14:textId="77777777" w:rsidR="00541A14" w:rsidRDefault="00A450E1">
      <w:pPr>
        <w:pStyle w:val="CM165"/>
        <w:spacing w:after="85" w:line="271" w:lineRule="atLeast"/>
        <w:jc w:val="center"/>
        <w:rPr>
          <w:rFonts w:ascii="Palatino" w:hAnsi="Palatino" w:cs="Palatino"/>
          <w:color w:val="000000"/>
          <w:sz w:val="20"/>
          <w:szCs w:val="20"/>
        </w:rPr>
      </w:pPr>
      <w:r>
        <w:rPr>
          <w:rFonts w:ascii="Palatino" w:hAnsi="Palatino" w:cs="Palatino"/>
          <w:color w:val="000000"/>
          <w:sz w:val="20"/>
          <w:szCs w:val="20"/>
        </w:rPr>
        <w:t xml:space="preserve">Possible values in excess of 100,000 hours for a single diode </w:t>
      </w:r>
    </w:p>
    <w:p w14:paraId="16CDEA82"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Advantages</w:t>
      </w:r>
      <w:r>
        <w:rPr>
          <w:rFonts w:ascii="Palatino" w:hAnsi="Palatino" w:cs="Palatino"/>
          <w:color w:val="000000"/>
          <w:sz w:val="20"/>
          <w:szCs w:val="20"/>
        </w:rPr>
        <w:t xml:space="preserve">: </w:t>
      </w:r>
    </w:p>
    <w:p w14:paraId="74AA3A5D" w14:textId="77777777" w:rsidR="00541A14" w:rsidRDefault="00A450E1">
      <w:pPr>
        <w:pStyle w:val="CM71"/>
        <w:ind w:left="302" w:hanging="303"/>
        <w:rPr>
          <w:rFonts w:ascii="Palatino" w:hAnsi="Palatino" w:cs="Palatino"/>
          <w:color w:val="000000"/>
          <w:sz w:val="20"/>
          <w:szCs w:val="20"/>
        </w:rPr>
      </w:pPr>
      <w:r>
        <w:rPr>
          <w:rFonts w:ascii="Palatino" w:hAnsi="Palatino" w:cs="Palatino"/>
          <w:color w:val="000000"/>
          <w:sz w:val="20"/>
          <w:szCs w:val="20"/>
        </w:rPr>
        <w:t>• Very long life (so long as input power and temperature is carefully controlled) and hence low</w:t>
      </w:r>
    </w:p>
    <w:p w14:paraId="418E0A61" w14:textId="77777777" w:rsidR="00541A14" w:rsidRDefault="00A450E1">
      <w:pPr>
        <w:pStyle w:val="CM72"/>
        <w:ind w:left="295"/>
        <w:rPr>
          <w:rFonts w:ascii="Palatino" w:hAnsi="Palatino" w:cs="Palatino"/>
          <w:color w:val="000000"/>
          <w:sz w:val="20"/>
          <w:szCs w:val="20"/>
        </w:rPr>
      </w:pPr>
      <w:r>
        <w:rPr>
          <w:rFonts w:ascii="Palatino" w:hAnsi="Palatino" w:cs="Palatino"/>
          <w:color w:val="000000"/>
          <w:sz w:val="20"/>
          <w:szCs w:val="20"/>
        </w:rPr>
        <w:t xml:space="preserve">whole life costs. </w:t>
      </w:r>
    </w:p>
    <w:p w14:paraId="01310A2D" w14:textId="77777777" w:rsidR="00541A14" w:rsidRDefault="00A450E1">
      <w:pPr>
        <w:pStyle w:val="Default"/>
        <w:numPr>
          <w:ilvl w:val="0"/>
          <w:numId w:val="70"/>
        </w:numPr>
        <w:rPr>
          <w:rFonts w:ascii="Palatino" w:hAnsi="Palatino" w:cs="Palatino"/>
          <w:sz w:val="20"/>
          <w:szCs w:val="20"/>
        </w:rPr>
      </w:pPr>
      <w:r>
        <w:rPr>
          <w:rFonts w:ascii="Palatino" w:hAnsi="Palatino" w:cs="Palatino"/>
          <w:sz w:val="20"/>
          <w:szCs w:val="20"/>
        </w:rPr>
        <w:t xml:space="preserve">Life is so long that lampchangers are not considered necessary. </w:t>
      </w:r>
    </w:p>
    <w:p w14:paraId="51601924" w14:textId="77777777" w:rsidR="00541A14" w:rsidRDefault="00A450E1">
      <w:pPr>
        <w:pStyle w:val="Default"/>
        <w:numPr>
          <w:ilvl w:val="0"/>
          <w:numId w:val="70"/>
        </w:numPr>
        <w:rPr>
          <w:rFonts w:ascii="Palatino" w:hAnsi="Palatino" w:cs="Palatino"/>
          <w:sz w:val="20"/>
          <w:szCs w:val="20"/>
        </w:rPr>
      </w:pPr>
      <w:r>
        <w:rPr>
          <w:rFonts w:ascii="Palatino" w:hAnsi="Palatino" w:cs="Palatino"/>
          <w:sz w:val="20"/>
          <w:szCs w:val="20"/>
        </w:rPr>
        <w:t xml:space="preserve">High luminous efficiency in red and green. </w:t>
      </w:r>
    </w:p>
    <w:p w14:paraId="6EB16E24" w14:textId="77777777" w:rsidR="00541A14" w:rsidRDefault="00A450E1">
      <w:pPr>
        <w:pStyle w:val="Default"/>
        <w:numPr>
          <w:ilvl w:val="0"/>
          <w:numId w:val="70"/>
        </w:numPr>
        <w:rPr>
          <w:rFonts w:ascii="Palatino" w:hAnsi="Palatino" w:cs="Palatino"/>
          <w:sz w:val="20"/>
          <w:szCs w:val="20"/>
        </w:rPr>
      </w:pPr>
      <w:r>
        <w:rPr>
          <w:rFonts w:ascii="Palatino" w:hAnsi="Palatino" w:cs="Palatino"/>
          <w:sz w:val="20"/>
          <w:szCs w:val="20"/>
        </w:rPr>
        <w:t xml:space="preserve">Light produced in saturated signal colours therefore coloured filters not needed. </w:t>
      </w:r>
    </w:p>
    <w:p w14:paraId="27DB4E3F" w14:textId="77777777" w:rsidR="00541A14" w:rsidRDefault="00A450E1">
      <w:pPr>
        <w:pStyle w:val="Default"/>
        <w:numPr>
          <w:ilvl w:val="0"/>
          <w:numId w:val="70"/>
        </w:numPr>
        <w:rPr>
          <w:rFonts w:ascii="Palatino" w:hAnsi="Palatino" w:cs="Palatino"/>
          <w:sz w:val="20"/>
          <w:szCs w:val="20"/>
        </w:rPr>
      </w:pPr>
      <w:r>
        <w:rPr>
          <w:rFonts w:ascii="Palatino" w:hAnsi="Palatino" w:cs="Palatino"/>
          <w:sz w:val="20"/>
          <w:szCs w:val="20"/>
        </w:rPr>
        <w:t xml:space="preserve">Mechanically robust when compared with conventional lamps. </w:t>
      </w:r>
    </w:p>
    <w:p w14:paraId="23558168" w14:textId="77777777" w:rsidR="00541A14" w:rsidRDefault="00A450E1">
      <w:pPr>
        <w:pStyle w:val="Default"/>
        <w:numPr>
          <w:ilvl w:val="0"/>
          <w:numId w:val="70"/>
        </w:numPr>
        <w:rPr>
          <w:rFonts w:ascii="Palatino" w:hAnsi="Palatino" w:cs="Palatino"/>
          <w:sz w:val="20"/>
          <w:szCs w:val="20"/>
        </w:rPr>
      </w:pPr>
      <w:r>
        <w:rPr>
          <w:rFonts w:ascii="Palatino" w:hAnsi="Palatino" w:cs="Palatino"/>
          <w:sz w:val="20"/>
          <w:szCs w:val="20"/>
        </w:rPr>
        <w:t xml:space="preserve">Rise and fall times are very fast. </w:t>
      </w:r>
    </w:p>
    <w:p w14:paraId="2252474D" w14:textId="77777777" w:rsidR="00541A14" w:rsidRDefault="00A450E1">
      <w:pPr>
        <w:pStyle w:val="Default"/>
        <w:numPr>
          <w:ilvl w:val="0"/>
          <w:numId w:val="70"/>
        </w:numPr>
        <w:rPr>
          <w:rFonts w:ascii="Palatino" w:hAnsi="Palatino" w:cs="Palatino"/>
          <w:sz w:val="20"/>
          <w:szCs w:val="20"/>
        </w:rPr>
      </w:pPr>
      <w:r>
        <w:rPr>
          <w:rFonts w:ascii="Palatino" w:hAnsi="Palatino" w:cs="Palatino"/>
          <w:sz w:val="20"/>
          <w:szCs w:val="20"/>
        </w:rPr>
        <w:t xml:space="preserve">Relatively cool operation. </w:t>
      </w:r>
    </w:p>
    <w:p w14:paraId="49862A9E" w14:textId="77777777" w:rsidR="00541A14" w:rsidRDefault="00A450E1">
      <w:pPr>
        <w:pStyle w:val="Default"/>
        <w:numPr>
          <w:ilvl w:val="0"/>
          <w:numId w:val="70"/>
        </w:numPr>
        <w:rPr>
          <w:rFonts w:ascii="Palatino" w:hAnsi="Palatino" w:cs="Palatino"/>
          <w:sz w:val="20"/>
          <w:szCs w:val="20"/>
        </w:rPr>
      </w:pPr>
      <w:r>
        <w:rPr>
          <w:rFonts w:ascii="Palatino" w:hAnsi="Palatino" w:cs="Palatino"/>
          <w:sz w:val="20"/>
          <w:szCs w:val="20"/>
        </w:rPr>
        <w:t xml:space="preserve">Ease of ability to cluster LEDs </w:t>
      </w:r>
    </w:p>
    <w:p w14:paraId="3B1DBA7A" w14:textId="77777777" w:rsidR="00541A14" w:rsidRDefault="00541A14">
      <w:pPr>
        <w:pStyle w:val="Default"/>
        <w:rPr>
          <w:rFonts w:ascii="Palatino" w:hAnsi="Palatino" w:cs="Palatino"/>
          <w:sz w:val="20"/>
          <w:szCs w:val="20"/>
        </w:rPr>
      </w:pPr>
    </w:p>
    <w:p w14:paraId="7E87B44E" w14:textId="77777777" w:rsidR="00541A14" w:rsidRDefault="00A450E1">
      <w:pPr>
        <w:pStyle w:val="Default"/>
        <w:jc w:val="center"/>
        <w:rPr>
          <w:sz w:val="20"/>
          <w:szCs w:val="20"/>
        </w:rPr>
      </w:pPr>
      <w:r>
        <w:rPr>
          <w:sz w:val="20"/>
          <w:szCs w:val="20"/>
        </w:rPr>
        <w:t xml:space="preserve">LED 350 </w:t>
      </w:r>
    </w:p>
    <w:p w14:paraId="371D1A4F" w14:textId="77777777" w:rsidR="00541A14" w:rsidRDefault="00A450E1">
      <w:pPr>
        <w:pStyle w:val="Default"/>
        <w:jc w:val="center"/>
        <w:rPr>
          <w:sz w:val="20"/>
          <w:szCs w:val="20"/>
        </w:rPr>
      </w:pPr>
      <w:r>
        <w:rPr>
          <w:sz w:val="20"/>
          <w:szCs w:val="20"/>
        </w:rPr>
        <w:t>– photo courtesy of</w:t>
      </w:r>
    </w:p>
    <w:p w14:paraId="728719D8" w14:textId="77777777" w:rsidR="00541A14" w:rsidRDefault="00A450E1">
      <w:pPr>
        <w:pStyle w:val="Default"/>
        <w:spacing w:after="7260"/>
        <w:jc w:val="center"/>
        <w:rPr>
          <w:sz w:val="20"/>
          <w:szCs w:val="20"/>
        </w:rPr>
      </w:pPr>
      <w:r>
        <w:rPr>
          <w:sz w:val="20"/>
          <w:szCs w:val="20"/>
        </w:rPr>
        <w:t xml:space="preserve">Sabik Oy </w:t>
      </w:r>
    </w:p>
    <w:p w14:paraId="43F768CE" w14:textId="77777777" w:rsidR="00541A14" w:rsidRDefault="00DD420F">
      <w:pPr>
        <w:pStyle w:val="Default"/>
        <w:framePr w:w="3586" w:wrap="auto" w:vAnchor="page" w:hAnchor="page" w:x="7938" w:y="5800"/>
        <w:spacing w:after="7260"/>
        <w:rPr>
          <w:sz w:val="20"/>
          <w:szCs w:val="20"/>
        </w:rPr>
      </w:pPr>
      <w:r>
        <w:rPr>
          <w:noProof/>
          <w:sz w:val="20"/>
          <w:szCs w:val="20"/>
        </w:rPr>
        <w:drawing>
          <wp:inline distT="0" distB="0" distL="0" distR="0" wp14:anchorId="0C6B510E" wp14:editId="0C114ACC">
            <wp:extent cx="1766570" cy="2056130"/>
            <wp:effectExtent l="0" t="0" r="11430" b="127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766570" cy="2056130"/>
                    </a:xfrm>
                    <a:prstGeom prst="rect">
                      <a:avLst/>
                    </a:prstGeom>
                    <a:noFill/>
                    <a:ln>
                      <a:noFill/>
                    </a:ln>
                  </pic:spPr>
                </pic:pic>
              </a:graphicData>
            </a:graphic>
          </wp:inline>
        </w:drawing>
      </w:r>
    </w:p>
    <w:p w14:paraId="057C9210" w14:textId="77777777" w:rsidR="00541A14" w:rsidRDefault="00DD420F">
      <w:pPr>
        <w:pStyle w:val="Default"/>
        <w:framePr w:w="10730" w:wrap="auto" w:vAnchor="page" w:hAnchor="page" w:x="608" w:y="16278"/>
        <w:rPr>
          <w:sz w:val="20"/>
          <w:szCs w:val="20"/>
        </w:rPr>
      </w:pPr>
      <w:r>
        <w:rPr>
          <w:noProof/>
          <w:sz w:val="20"/>
          <w:szCs w:val="20"/>
        </w:rPr>
        <w:drawing>
          <wp:inline distT="0" distB="0" distL="0" distR="0" wp14:anchorId="0E6F3D3E" wp14:editId="5C8D31CA">
            <wp:extent cx="7553960" cy="420370"/>
            <wp:effectExtent l="0" t="0" r="0" b="1143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16FC2085" w14:textId="77777777" w:rsidR="00541A14" w:rsidRDefault="00DD420F">
      <w:pPr>
        <w:pStyle w:val="Default"/>
        <w:pageBreakBefore/>
        <w:framePr w:w="12857" w:wrap="auto" w:vAnchor="page" w:hAnchor="page" w:x="101" w:y="1"/>
        <w:spacing w:after="380"/>
        <w:rPr>
          <w:sz w:val="20"/>
          <w:szCs w:val="20"/>
        </w:rPr>
      </w:pPr>
      <w:r>
        <w:rPr>
          <w:noProof/>
          <w:sz w:val="20"/>
          <w:szCs w:val="20"/>
        </w:rPr>
        <w:drawing>
          <wp:inline distT="0" distB="0" distL="0" distR="0" wp14:anchorId="2FBBEA0D" wp14:editId="570EBC21">
            <wp:extent cx="7553960" cy="115316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61784457" w14:textId="77777777" w:rsidR="00541A14" w:rsidRDefault="00A450E1">
      <w:pPr>
        <w:pStyle w:val="CM165"/>
        <w:spacing w:after="85"/>
        <w:rPr>
          <w:rFonts w:ascii="Palatino" w:hAnsi="Palatino" w:cs="Palatino"/>
          <w:color w:val="000000"/>
          <w:sz w:val="20"/>
          <w:szCs w:val="20"/>
        </w:rPr>
      </w:pPr>
      <w:r>
        <w:rPr>
          <w:rFonts w:ascii="Palatino" w:hAnsi="Palatino" w:cs="Palatino"/>
          <w:i/>
          <w:iCs/>
          <w:color w:val="000000"/>
          <w:sz w:val="20"/>
          <w:szCs w:val="20"/>
        </w:rPr>
        <w:t>Disadvantages</w:t>
      </w:r>
      <w:r>
        <w:rPr>
          <w:rFonts w:ascii="Palatino" w:hAnsi="Palatino" w:cs="Palatino"/>
          <w:color w:val="000000"/>
          <w:sz w:val="20"/>
          <w:szCs w:val="20"/>
        </w:rPr>
        <w:t xml:space="preserve">: </w:t>
      </w:r>
    </w:p>
    <w:p w14:paraId="5DE29605" w14:textId="77777777" w:rsidR="00541A14" w:rsidRDefault="00A450E1">
      <w:pPr>
        <w:pStyle w:val="Default"/>
        <w:numPr>
          <w:ilvl w:val="0"/>
          <w:numId w:val="71"/>
        </w:numPr>
        <w:rPr>
          <w:rFonts w:ascii="Palatino" w:hAnsi="Palatino" w:cs="Palatino"/>
          <w:sz w:val="20"/>
          <w:szCs w:val="20"/>
        </w:rPr>
      </w:pPr>
      <w:r>
        <w:rPr>
          <w:rFonts w:ascii="Palatino" w:hAnsi="Palatino" w:cs="Palatino"/>
          <w:sz w:val="20"/>
          <w:szCs w:val="20"/>
        </w:rPr>
        <w:t xml:space="preserve">Complex electronic control needed to achieve long life and high performance. </w:t>
      </w:r>
    </w:p>
    <w:p w14:paraId="58A2248B" w14:textId="77777777" w:rsidR="00541A14" w:rsidRDefault="00A450E1">
      <w:pPr>
        <w:pStyle w:val="Default"/>
        <w:numPr>
          <w:ilvl w:val="0"/>
          <w:numId w:val="71"/>
        </w:numPr>
        <w:rPr>
          <w:rFonts w:ascii="Palatino" w:hAnsi="Palatino" w:cs="Palatino"/>
          <w:sz w:val="20"/>
          <w:szCs w:val="20"/>
        </w:rPr>
      </w:pPr>
      <w:r>
        <w:rPr>
          <w:rFonts w:ascii="Palatino" w:hAnsi="Palatino" w:cs="Palatino"/>
          <w:sz w:val="20"/>
          <w:szCs w:val="20"/>
        </w:rPr>
        <w:t xml:space="preserve">Generally difficult to match to existing optics. </w:t>
      </w:r>
    </w:p>
    <w:p w14:paraId="5F60C375" w14:textId="77777777" w:rsidR="00541A14" w:rsidRDefault="00A450E1">
      <w:pPr>
        <w:pStyle w:val="Default"/>
        <w:numPr>
          <w:ilvl w:val="0"/>
          <w:numId w:val="71"/>
        </w:numPr>
        <w:rPr>
          <w:rFonts w:ascii="Palatino" w:hAnsi="Palatino" w:cs="Palatino"/>
          <w:sz w:val="20"/>
          <w:szCs w:val="20"/>
        </w:rPr>
      </w:pPr>
      <w:r>
        <w:rPr>
          <w:rFonts w:ascii="Palatino" w:hAnsi="Palatino" w:cs="Palatino"/>
          <w:sz w:val="20"/>
          <w:szCs w:val="20"/>
        </w:rPr>
        <w:t xml:space="preserve">Luminous efficiency decreases slowly with life. </w:t>
      </w:r>
    </w:p>
    <w:p w14:paraId="1E374CFA" w14:textId="77777777" w:rsidR="00541A14" w:rsidRDefault="00A450E1">
      <w:pPr>
        <w:pStyle w:val="Default"/>
        <w:numPr>
          <w:ilvl w:val="0"/>
          <w:numId w:val="71"/>
        </w:numPr>
        <w:rPr>
          <w:rFonts w:ascii="Palatino" w:hAnsi="Palatino" w:cs="Palatino"/>
          <w:sz w:val="20"/>
          <w:szCs w:val="20"/>
        </w:rPr>
      </w:pPr>
      <w:r>
        <w:rPr>
          <w:rFonts w:ascii="Palatino" w:hAnsi="Palatino" w:cs="Palatino"/>
          <w:sz w:val="20"/>
          <w:szCs w:val="20"/>
        </w:rPr>
        <w:t xml:space="preserve">White LEDs will be outside the new CIE (2001) white colour region. </w:t>
      </w:r>
    </w:p>
    <w:p w14:paraId="4A90D4C2" w14:textId="77777777" w:rsidR="00541A14" w:rsidRDefault="00A450E1">
      <w:pPr>
        <w:pStyle w:val="Default"/>
        <w:numPr>
          <w:ilvl w:val="0"/>
          <w:numId w:val="71"/>
        </w:numPr>
        <w:rPr>
          <w:rFonts w:ascii="Palatino" w:hAnsi="Palatino" w:cs="Palatino"/>
          <w:sz w:val="20"/>
          <w:szCs w:val="20"/>
        </w:rPr>
      </w:pPr>
      <w:r>
        <w:rPr>
          <w:rFonts w:ascii="Palatino" w:hAnsi="Palatino" w:cs="Palatino"/>
          <w:sz w:val="20"/>
          <w:szCs w:val="20"/>
        </w:rPr>
        <w:t xml:space="preserve">White LEDs will be very inefficient with red and green filters. </w:t>
      </w:r>
    </w:p>
    <w:p w14:paraId="313EEA53" w14:textId="77777777" w:rsidR="00541A14" w:rsidRDefault="00A450E1">
      <w:pPr>
        <w:pStyle w:val="Default"/>
        <w:numPr>
          <w:ilvl w:val="0"/>
          <w:numId w:val="71"/>
        </w:numPr>
        <w:rPr>
          <w:rFonts w:ascii="Palatino" w:hAnsi="Palatino" w:cs="Palatino"/>
          <w:sz w:val="20"/>
          <w:szCs w:val="20"/>
        </w:rPr>
      </w:pPr>
      <w:r>
        <w:rPr>
          <w:rFonts w:ascii="Palatino" w:hAnsi="Palatino" w:cs="Palatino"/>
          <w:sz w:val="20"/>
          <w:szCs w:val="20"/>
        </w:rPr>
        <w:t xml:space="preserve">Lamp life can be severely reduced if input power and temperature are not carefully controlled. </w:t>
      </w:r>
    </w:p>
    <w:p w14:paraId="55B02F71" w14:textId="77777777" w:rsidR="00541A14" w:rsidRDefault="00A450E1">
      <w:pPr>
        <w:pStyle w:val="Default"/>
        <w:numPr>
          <w:ilvl w:val="0"/>
          <w:numId w:val="71"/>
        </w:numPr>
        <w:rPr>
          <w:rFonts w:ascii="Palatino" w:hAnsi="Palatino" w:cs="Palatino"/>
          <w:sz w:val="20"/>
          <w:szCs w:val="20"/>
        </w:rPr>
      </w:pPr>
      <w:r>
        <w:rPr>
          <w:rFonts w:ascii="Palatino" w:hAnsi="Palatino" w:cs="Palatino"/>
          <w:sz w:val="20"/>
          <w:szCs w:val="20"/>
        </w:rPr>
        <w:t xml:space="preserve">LED technology is not yet suitable for long range lights. </w:t>
      </w:r>
    </w:p>
    <w:p w14:paraId="6318F237" w14:textId="77777777" w:rsidR="00541A14" w:rsidRDefault="00541A14">
      <w:pPr>
        <w:pStyle w:val="Default"/>
        <w:rPr>
          <w:rFonts w:ascii="Palatino" w:hAnsi="Palatino" w:cs="Palatino"/>
          <w:sz w:val="20"/>
          <w:szCs w:val="20"/>
        </w:rPr>
      </w:pPr>
    </w:p>
    <w:p w14:paraId="4F1124F6" w14:textId="77777777" w:rsidR="00541A14" w:rsidRDefault="00A450E1">
      <w:pPr>
        <w:pStyle w:val="CM165"/>
        <w:spacing w:after="85"/>
        <w:rPr>
          <w:rFonts w:ascii="Palatino" w:hAnsi="Palatino" w:cs="Palatino"/>
          <w:color w:val="000000"/>
          <w:sz w:val="20"/>
          <w:szCs w:val="20"/>
        </w:rPr>
      </w:pPr>
      <w:r>
        <w:rPr>
          <w:rFonts w:ascii="Palatino" w:hAnsi="Palatino" w:cs="Palatino"/>
          <w:i/>
          <w:iCs/>
          <w:color w:val="000000"/>
          <w:sz w:val="20"/>
          <w:szCs w:val="20"/>
        </w:rPr>
        <w:t>Safety</w:t>
      </w:r>
      <w:r>
        <w:rPr>
          <w:rFonts w:ascii="Palatino" w:hAnsi="Palatino" w:cs="Palatino"/>
          <w:color w:val="000000"/>
          <w:sz w:val="20"/>
          <w:szCs w:val="20"/>
        </w:rPr>
        <w:t xml:space="preserve">: </w:t>
      </w:r>
    </w:p>
    <w:p w14:paraId="5FC3CA4E" w14:textId="77777777" w:rsidR="00541A14" w:rsidRDefault="00A450E1">
      <w:pPr>
        <w:pStyle w:val="CM165"/>
        <w:spacing w:after="85"/>
        <w:ind w:left="300" w:hanging="300"/>
        <w:rPr>
          <w:rFonts w:ascii="Palatino" w:hAnsi="Palatino" w:cs="Palatino"/>
          <w:color w:val="000000"/>
          <w:sz w:val="20"/>
          <w:szCs w:val="20"/>
        </w:rPr>
      </w:pPr>
      <w:r>
        <w:rPr>
          <w:rFonts w:ascii="Palatino" w:hAnsi="Palatino" w:cs="Palatino"/>
          <w:color w:val="000000"/>
          <w:sz w:val="20"/>
          <w:szCs w:val="20"/>
        </w:rPr>
        <w:t xml:space="preserve">• No special hazard. </w:t>
      </w:r>
    </w:p>
    <w:p w14:paraId="7535037A" w14:textId="77777777" w:rsidR="00541A14" w:rsidRDefault="00A450E1">
      <w:pPr>
        <w:pStyle w:val="CM165"/>
        <w:spacing w:after="85"/>
        <w:rPr>
          <w:rFonts w:ascii="Palatino" w:hAnsi="Palatino" w:cs="Palatino"/>
          <w:color w:val="000000"/>
          <w:sz w:val="20"/>
          <w:szCs w:val="20"/>
        </w:rPr>
      </w:pPr>
      <w:r>
        <w:rPr>
          <w:rFonts w:ascii="Palatino" w:hAnsi="Palatino" w:cs="Palatino"/>
          <w:i/>
          <w:iCs/>
          <w:color w:val="000000"/>
          <w:sz w:val="20"/>
          <w:szCs w:val="20"/>
        </w:rPr>
        <w:t>Disposal</w:t>
      </w:r>
      <w:r>
        <w:rPr>
          <w:rFonts w:ascii="Palatino" w:hAnsi="Palatino" w:cs="Palatino"/>
          <w:color w:val="000000"/>
          <w:sz w:val="20"/>
          <w:szCs w:val="20"/>
        </w:rPr>
        <w:t xml:space="preserve">: </w:t>
      </w:r>
    </w:p>
    <w:p w14:paraId="0DD343CD" w14:textId="77777777" w:rsidR="00541A14" w:rsidRDefault="00A450E1">
      <w:pPr>
        <w:pStyle w:val="CM172"/>
        <w:spacing w:after="202"/>
        <w:ind w:left="300" w:hanging="300"/>
        <w:rPr>
          <w:rFonts w:ascii="Palatino" w:hAnsi="Palatino" w:cs="Palatino"/>
          <w:color w:val="000000"/>
          <w:sz w:val="20"/>
          <w:szCs w:val="20"/>
        </w:rPr>
      </w:pPr>
      <w:r>
        <w:rPr>
          <w:rFonts w:ascii="Palatino" w:hAnsi="Palatino" w:cs="Palatino"/>
          <w:color w:val="000000"/>
          <w:sz w:val="20"/>
          <w:szCs w:val="20"/>
        </w:rPr>
        <w:t xml:space="preserve">• Consult National and local regulations regarding disposal of semiconductors. </w:t>
      </w:r>
    </w:p>
    <w:p w14:paraId="7CDCD946" w14:textId="77777777" w:rsidR="00541A14" w:rsidRDefault="00A450E1">
      <w:pPr>
        <w:pStyle w:val="CM173"/>
        <w:spacing w:after="340"/>
        <w:ind w:left="302"/>
        <w:rPr>
          <w:rFonts w:ascii="Palatino" w:hAnsi="Palatino" w:cs="Palatino"/>
          <w:color w:val="000000"/>
          <w:sz w:val="20"/>
          <w:szCs w:val="20"/>
        </w:rPr>
      </w:pPr>
      <w:r>
        <w:rPr>
          <w:rFonts w:ascii="Palatino" w:hAnsi="Palatino" w:cs="Palatino"/>
          <w:b/>
          <w:bCs/>
          <w:color w:val="000000"/>
          <w:sz w:val="20"/>
          <w:szCs w:val="20"/>
        </w:rPr>
        <w:t>Note</w:t>
      </w:r>
      <w:r>
        <w:rPr>
          <w:rFonts w:ascii="Palatino" w:hAnsi="Palatino" w:cs="Palatino"/>
          <w:color w:val="000000"/>
          <w:sz w:val="20"/>
          <w:szCs w:val="20"/>
        </w:rPr>
        <w:t xml:space="preserve">: Extensive research in LED technology is continually providing more LED efficient products </w:t>
      </w:r>
    </w:p>
    <w:p w14:paraId="3F884F69"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Lasers </w:t>
      </w:r>
    </w:p>
    <w:p w14:paraId="6B5B4815"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A laser is a device that produces a coherent collimated beam of monochromatic light. </w:t>
      </w:r>
    </w:p>
    <w:p w14:paraId="27E93EC6"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Their use has not been established in AtoN light systems, despite the work over some decades. However, research continues into the use of lasers to improve the visibility and sector distinction of fairway lighting including two areas of development: </w:t>
      </w:r>
    </w:p>
    <w:p w14:paraId="3A19F032" w14:textId="77777777" w:rsidR="00541A14" w:rsidRDefault="00A450E1">
      <w:pPr>
        <w:pStyle w:val="Default"/>
        <w:numPr>
          <w:ilvl w:val="0"/>
          <w:numId w:val="72"/>
        </w:numPr>
        <w:rPr>
          <w:rFonts w:ascii="Palatino" w:hAnsi="Palatino" w:cs="Palatino"/>
          <w:sz w:val="20"/>
          <w:szCs w:val="20"/>
        </w:rPr>
      </w:pPr>
      <w:r>
        <w:rPr>
          <w:rFonts w:ascii="Palatino" w:hAnsi="Palatino" w:cs="Palatino"/>
          <w:b/>
          <w:bCs/>
          <w:sz w:val="20"/>
          <w:szCs w:val="20"/>
        </w:rPr>
        <w:t>High power lasers</w:t>
      </w:r>
      <w:r>
        <w:rPr>
          <w:rFonts w:ascii="Palatino" w:hAnsi="Palatino" w:cs="Palatino"/>
          <w:sz w:val="20"/>
          <w:szCs w:val="20"/>
        </w:rPr>
        <w:t xml:space="preserve"> can be used to provide a line of light in the sky where particles of dust, water etc. are illuminated by the laser beam to provide a leading line. These devices require considerable electrical power (several kW). Detailed safety procedures are required for safe operation and servicing. </w:t>
      </w:r>
    </w:p>
    <w:p w14:paraId="102085D5" w14:textId="77777777" w:rsidR="00541A14" w:rsidRDefault="00A450E1">
      <w:pPr>
        <w:pStyle w:val="Default"/>
        <w:numPr>
          <w:ilvl w:val="0"/>
          <w:numId w:val="72"/>
        </w:numPr>
        <w:rPr>
          <w:rFonts w:ascii="Palatino" w:hAnsi="Palatino" w:cs="Palatino"/>
          <w:sz w:val="20"/>
          <w:szCs w:val="20"/>
        </w:rPr>
      </w:pPr>
      <w:r>
        <w:rPr>
          <w:rFonts w:ascii="Palatino" w:hAnsi="Palatino" w:cs="Palatino"/>
          <w:b/>
          <w:bCs/>
          <w:sz w:val="20"/>
          <w:szCs w:val="20"/>
        </w:rPr>
        <w:t>low power lasers</w:t>
      </w:r>
      <w:r>
        <w:rPr>
          <w:rFonts w:ascii="Palatino" w:hAnsi="Palatino" w:cs="Palatino"/>
          <w:sz w:val="20"/>
          <w:szCs w:val="20"/>
        </w:rPr>
        <w:t xml:space="preserve">, where the laser is aimed directly at the mariner. Different coloured lasers are used to identify areas of navigational importance. The laser light is visible at useful range in daylight. </w:t>
      </w:r>
    </w:p>
    <w:p w14:paraId="4ABB03C9" w14:textId="77777777" w:rsidR="00541A14" w:rsidRDefault="00541A14">
      <w:pPr>
        <w:pStyle w:val="Default"/>
        <w:rPr>
          <w:rFonts w:ascii="Palatino" w:hAnsi="Palatino" w:cs="Palatino"/>
          <w:sz w:val="20"/>
          <w:szCs w:val="20"/>
        </w:rPr>
      </w:pPr>
    </w:p>
    <w:p w14:paraId="038D13D5"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Power requirements are low (tens of Watts). The laser projectors are expensive and require complex control systems. Detailed procedures are required for safe servicing. </w:t>
      </w:r>
    </w:p>
    <w:p w14:paraId="563E95B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Laser trials are also taking place in Russia and Japan. </w:t>
      </w:r>
    </w:p>
    <w:p w14:paraId="3A0358D0"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Advantages</w:t>
      </w:r>
      <w:r>
        <w:rPr>
          <w:rFonts w:ascii="Palatino" w:hAnsi="Palatino" w:cs="Palatino"/>
          <w:color w:val="000000"/>
          <w:sz w:val="20"/>
          <w:szCs w:val="20"/>
        </w:rPr>
        <w:t xml:space="preserve">: </w:t>
      </w:r>
    </w:p>
    <w:p w14:paraId="2D7305A5" w14:textId="77777777" w:rsidR="00541A14" w:rsidRDefault="00A450E1">
      <w:pPr>
        <w:pStyle w:val="Default"/>
        <w:numPr>
          <w:ilvl w:val="0"/>
          <w:numId w:val="73"/>
        </w:numPr>
        <w:rPr>
          <w:rFonts w:ascii="Palatino" w:hAnsi="Palatino" w:cs="Palatino"/>
          <w:sz w:val="20"/>
          <w:szCs w:val="20"/>
        </w:rPr>
      </w:pPr>
      <w:r>
        <w:rPr>
          <w:rFonts w:ascii="Palatino" w:hAnsi="Palatino" w:cs="Palatino"/>
          <w:sz w:val="20"/>
          <w:szCs w:val="20"/>
        </w:rPr>
        <w:t xml:space="preserve">Single wavelength. </w:t>
      </w:r>
    </w:p>
    <w:p w14:paraId="30AC5BDD" w14:textId="77777777" w:rsidR="00541A14" w:rsidRDefault="00A450E1">
      <w:pPr>
        <w:pStyle w:val="Default"/>
        <w:numPr>
          <w:ilvl w:val="0"/>
          <w:numId w:val="73"/>
        </w:numPr>
        <w:rPr>
          <w:rFonts w:ascii="Palatino" w:hAnsi="Palatino" w:cs="Palatino"/>
          <w:sz w:val="20"/>
          <w:szCs w:val="20"/>
        </w:rPr>
      </w:pPr>
      <w:r>
        <w:rPr>
          <w:rFonts w:ascii="Palatino" w:hAnsi="Palatino" w:cs="Palatino"/>
          <w:sz w:val="20"/>
          <w:szCs w:val="20"/>
        </w:rPr>
        <w:t xml:space="preserve">Strong directivity. </w:t>
      </w:r>
    </w:p>
    <w:p w14:paraId="5F4D0DB7" w14:textId="77777777" w:rsidR="00541A14" w:rsidRDefault="00A450E1">
      <w:pPr>
        <w:pStyle w:val="Default"/>
        <w:numPr>
          <w:ilvl w:val="0"/>
          <w:numId w:val="73"/>
        </w:numPr>
        <w:rPr>
          <w:rFonts w:ascii="Palatino" w:hAnsi="Palatino" w:cs="Palatino"/>
          <w:sz w:val="20"/>
          <w:szCs w:val="20"/>
        </w:rPr>
      </w:pPr>
      <w:r>
        <w:rPr>
          <w:rFonts w:ascii="Palatino" w:hAnsi="Palatino" w:cs="Palatino"/>
          <w:sz w:val="20"/>
          <w:szCs w:val="20"/>
        </w:rPr>
        <w:t xml:space="preserve">Simple optic design. </w:t>
      </w:r>
    </w:p>
    <w:p w14:paraId="2A141CEB" w14:textId="77777777" w:rsidR="00541A14" w:rsidRDefault="00541A14">
      <w:pPr>
        <w:pStyle w:val="Default"/>
        <w:rPr>
          <w:rFonts w:ascii="Palatino" w:hAnsi="Palatino" w:cs="Palatino"/>
          <w:sz w:val="20"/>
          <w:szCs w:val="20"/>
        </w:rPr>
      </w:pPr>
    </w:p>
    <w:p w14:paraId="60A62B60" w14:textId="77777777" w:rsidR="00541A14" w:rsidRDefault="00A450E1">
      <w:pPr>
        <w:pStyle w:val="CM4"/>
        <w:rPr>
          <w:rFonts w:ascii="Palatino" w:hAnsi="Palatino" w:cs="Palatino"/>
          <w:color w:val="000000"/>
          <w:sz w:val="20"/>
          <w:szCs w:val="20"/>
        </w:rPr>
      </w:pPr>
      <w:r>
        <w:rPr>
          <w:rFonts w:ascii="Palatino" w:hAnsi="Palatino" w:cs="Palatino"/>
          <w:i/>
          <w:iCs/>
          <w:color w:val="000000"/>
          <w:sz w:val="20"/>
          <w:szCs w:val="20"/>
        </w:rPr>
        <w:t>Disadvantages</w:t>
      </w:r>
      <w:r>
        <w:rPr>
          <w:rFonts w:ascii="Palatino" w:hAnsi="Palatino" w:cs="Palatino"/>
          <w:color w:val="000000"/>
          <w:sz w:val="20"/>
          <w:szCs w:val="20"/>
        </w:rPr>
        <w:t xml:space="preserve">: </w:t>
      </w:r>
    </w:p>
    <w:p w14:paraId="61DAF111" w14:textId="77777777" w:rsidR="00541A14" w:rsidRDefault="00A450E1">
      <w:pPr>
        <w:pStyle w:val="Default"/>
        <w:numPr>
          <w:ilvl w:val="0"/>
          <w:numId w:val="74"/>
        </w:numPr>
        <w:rPr>
          <w:rFonts w:ascii="Palatino" w:hAnsi="Palatino" w:cs="Palatino"/>
          <w:sz w:val="20"/>
          <w:szCs w:val="20"/>
        </w:rPr>
      </w:pPr>
      <w:r>
        <w:rPr>
          <w:rFonts w:ascii="Palatino" w:hAnsi="Palatino" w:cs="Palatino"/>
          <w:sz w:val="20"/>
          <w:szCs w:val="20"/>
        </w:rPr>
        <w:t xml:space="preserve">High power requirements for high power lasers. </w:t>
      </w:r>
    </w:p>
    <w:p w14:paraId="275F084C" w14:textId="77777777" w:rsidR="00541A14" w:rsidRDefault="00A450E1">
      <w:pPr>
        <w:pStyle w:val="Default"/>
        <w:numPr>
          <w:ilvl w:val="0"/>
          <w:numId w:val="74"/>
        </w:numPr>
        <w:rPr>
          <w:rFonts w:ascii="Palatino" w:hAnsi="Palatino" w:cs="Palatino"/>
          <w:sz w:val="20"/>
          <w:szCs w:val="20"/>
        </w:rPr>
      </w:pPr>
      <w:r>
        <w:rPr>
          <w:rFonts w:ascii="Palatino" w:hAnsi="Palatino" w:cs="Palatino"/>
          <w:sz w:val="20"/>
          <w:szCs w:val="20"/>
        </w:rPr>
        <w:t xml:space="preserve">System complexity may be a problem at some locations. </w:t>
      </w:r>
    </w:p>
    <w:p w14:paraId="03CE0D67" w14:textId="77777777" w:rsidR="00541A14" w:rsidRDefault="00541A14">
      <w:pPr>
        <w:pStyle w:val="Default"/>
        <w:rPr>
          <w:rFonts w:ascii="Palatino" w:hAnsi="Palatino" w:cs="Palatino"/>
          <w:sz w:val="20"/>
          <w:szCs w:val="20"/>
        </w:rPr>
      </w:pPr>
    </w:p>
    <w:p w14:paraId="12E4C7F7" w14:textId="77777777" w:rsidR="00541A14" w:rsidRDefault="00A450E1">
      <w:pPr>
        <w:pStyle w:val="CM165"/>
        <w:spacing w:after="85" w:line="346" w:lineRule="atLeast"/>
        <w:rPr>
          <w:rFonts w:ascii="Palatino" w:hAnsi="Palatino" w:cs="Palatino"/>
          <w:color w:val="000000"/>
          <w:sz w:val="20"/>
          <w:szCs w:val="20"/>
        </w:rPr>
      </w:pPr>
      <w:r>
        <w:rPr>
          <w:rFonts w:ascii="Palatino" w:hAnsi="Palatino" w:cs="Palatino"/>
          <w:i/>
          <w:iCs/>
          <w:color w:val="000000"/>
          <w:sz w:val="20"/>
          <w:szCs w:val="20"/>
        </w:rPr>
        <w:t>Safety</w:t>
      </w:r>
      <w:r>
        <w:rPr>
          <w:rFonts w:ascii="Palatino" w:hAnsi="Palatino" w:cs="Palatino"/>
          <w:color w:val="000000"/>
          <w:sz w:val="20"/>
          <w:szCs w:val="20"/>
        </w:rPr>
        <w:t xml:space="preserve">: Possible eye damage under certain conditions, if appropriate ASTM safety standards are not applied. </w:t>
      </w:r>
    </w:p>
    <w:p w14:paraId="6DD81443" w14:textId="77777777" w:rsidR="00541A14" w:rsidRDefault="00A450E1">
      <w:pPr>
        <w:pStyle w:val="CM169"/>
        <w:spacing w:after="65" w:line="356" w:lineRule="atLeast"/>
        <w:ind w:firstLine="320"/>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158E3DC3" w14:textId="77777777" w:rsidR="00541A14" w:rsidRDefault="009E3F25">
      <w:pPr>
        <w:pStyle w:val="CM164"/>
        <w:spacing w:after="1215" w:line="356" w:lineRule="atLeast"/>
        <w:ind w:left="320"/>
        <w:rPr>
          <w:rFonts w:ascii="Palatino" w:hAnsi="Palatino" w:cs="Palatino"/>
          <w:color w:val="000000"/>
          <w:sz w:val="20"/>
          <w:szCs w:val="20"/>
        </w:rPr>
      </w:pPr>
      <w:hyperlink r:id="rId103" w:history="1">
        <w:r w:rsidR="00A450E1">
          <w:rPr>
            <w:rFonts w:ascii="Palatino" w:hAnsi="Palatino" w:cs="Palatino"/>
            <w:i/>
            <w:iCs/>
            <w:color w:val="000000"/>
            <w:sz w:val="20"/>
            <w:szCs w:val="20"/>
          </w:rPr>
          <w:t xml:space="preserve">IALA Guideline 1043 on Light Sources used in Visual Aids to Navigation. </w:t>
        </w:r>
      </w:hyperlink>
    </w:p>
    <w:p w14:paraId="0CE41937"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6B541BCC" wp14:editId="14BB4AD6">
            <wp:extent cx="7542530" cy="420370"/>
            <wp:effectExtent l="0" t="0" r="1270" b="1143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25A80F60" w14:textId="77777777" w:rsidR="00541A14" w:rsidRDefault="00DD420F">
      <w:pPr>
        <w:pStyle w:val="Default"/>
        <w:pageBreakBefore/>
        <w:framePr w:w="24763" w:wrap="auto" w:vAnchor="page" w:hAnchor="page" w:x="101" w:y="1"/>
        <w:spacing w:after="680"/>
        <w:rPr>
          <w:rFonts w:ascii="Palatino" w:hAnsi="Palatino" w:cs="Palatino"/>
          <w:sz w:val="20"/>
          <w:szCs w:val="20"/>
        </w:rPr>
      </w:pPr>
      <w:r>
        <w:rPr>
          <w:rFonts w:ascii="Palatino" w:hAnsi="Palatino" w:cs="Palatino"/>
          <w:noProof/>
          <w:sz w:val="20"/>
          <w:szCs w:val="20"/>
        </w:rPr>
        <w:drawing>
          <wp:inline distT="0" distB="0" distL="0" distR="0" wp14:anchorId="7032B29B" wp14:editId="63FACD5B">
            <wp:extent cx="7553960" cy="115316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3B6298C9" w14:textId="77777777" w:rsidR="00541A14" w:rsidRDefault="00A450E1">
      <w:pPr>
        <w:pStyle w:val="CM175"/>
        <w:spacing w:after="267"/>
        <w:rPr>
          <w:rFonts w:ascii="Futura Book" w:hAnsi="Futura Book" w:cs="Futura Book"/>
          <w:color w:val="2C5062"/>
          <w:sz w:val="22"/>
          <w:szCs w:val="22"/>
        </w:rPr>
      </w:pPr>
      <w:r>
        <w:rPr>
          <w:rFonts w:ascii="Futura Book" w:hAnsi="Futura Book" w:cs="Futura Book"/>
          <w:b/>
          <w:bCs/>
          <w:color w:val="2C5062"/>
          <w:sz w:val="22"/>
          <w:szCs w:val="22"/>
        </w:rPr>
        <w:t xml:space="preserve">3.2.3 Photometry of Marine Aids to Navigation Signal Lights </w:t>
      </w:r>
    </w:p>
    <w:p w14:paraId="508C38BA" w14:textId="77777777" w:rsidR="00541A14" w:rsidRDefault="00A450E1">
      <w:pPr>
        <w:pStyle w:val="CM172"/>
        <w:spacing w:after="202"/>
        <w:rPr>
          <w:rFonts w:ascii="Futura Book" w:hAnsi="Futura Book" w:cs="Futura Book"/>
          <w:color w:val="2C5062"/>
          <w:sz w:val="22"/>
          <w:szCs w:val="22"/>
        </w:rPr>
      </w:pPr>
      <w:r>
        <w:rPr>
          <w:rFonts w:ascii="Futura Book" w:hAnsi="Futura Book" w:cs="Futura Book"/>
          <w:b/>
          <w:bCs/>
          <w:color w:val="2C5062"/>
          <w:sz w:val="22"/>
          <w:szCs w:val="22"/>
        </w:rPr>
        <w:t xml:space="preserve">Measurement of Light </w:t>
      </w:r>
    </w:p>
    <w:p w14:paraId="2E690C04" w14:textId="77777777" w:rsidR="00541A14" w:rsidRDefault="00A450E1">
      <w:pPr>
        <w:pStyle w:val="CM165"/>
        <w:spacing w:after="85"/>
        <w:ind w:left="382"/>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0EFEC422" w14:textId="77777777" w:rsidR="00541A14" w:rsidRDefault="009E3F25">
      <w:pPr>
        <w:pStyle w:val="CM172"/>
        <w:spacing w:after="202"/>
        <w:ind w:left="382"/>
        <w:rPr>
          <w:rFonts w:ascii="Palatino" w:hAnsi="Palatino" w:cs="Palatino"/>
          <w:color w:val="000000"/>
          <w:sz w:val="20"/>
          <w:szCs w:val="20"/>
        </w:rPr>
      </w:pPr>
      <w:hyperlink r:id="rId106" w:history="1">
        <w:r w:rsidR="00A450E1">
          <w:rPr>
            <w:rFonts w:ascii="Palatino" w:hAnsi="Palatino" w:cs="Palatino"/>
            <w:i/>
            <w:iCs/>
            <w:color w:val="000000"/>
            <w:sz w:val="20"/>
            <w:szCs w:val="20"/>
          </w:rPr>
          <w:t xml:space="preserve">IALA Recommendation E-200-3 on Maritime Signal Lights - Part 3 - Measurement. </w:t>
        </w:r>
      </w:hyperlink>
    </w:p>
    <w:p w14:paraId="5EB6F530"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 behaviour of light, in physics, is normally seen in the context of either a form of electromagnetic radiation or particle motion. The latter includes the concept of “rays” of light that are used in analyzing the interactions of light and lenses. </w:t>
      </w:r>
    </w:p>
    <w:p w14:paraId="2BE90C0E"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The units of interest for electromagnetic applications of light are generally metres (wavelength) and watts (power). </w:t>
      </w:r>
    </w:p>
    <w:p w14:paraId="268031D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study of photometry and the use of lights for signal application has necessitated a parallel set of units to be developed to account for the physiological aspects of how the human eye evaluates a light source, as shown in Table 6. </w:t>
      </w:r>
    </w:p>
    <w:p w14:paraId="1F055DF3" w14:textId="77777777" w:rsidR="00541A14" w:rsidRDefault="00A450E1">
      <w:pPr>
        <w:pStyle w:val="CM162"/>
        <w:spacing w:after="552" w:line="291" w:lineRule="atLeast"/>
        <w:rPr>
          <w:rFonts w:ascii="Palatino" w:hAnsi="Palatino" w:cs="Palatino"/>
          <w:color w:val="000000"/>
          <w:sz w:val="20"/>
          <w:szCs w:val="20"/>
        </w:rPr>
      </w:pPr>
      <w:r>
        <w:rPr>
          <w:rFonts w:ascii="Palatino" w:hAnsi="Palatino" w:cs="Palatino"/>
          <w:color w:val="000000"/>
          <w:sz w:val="20"/>
          <w:szCs w:val="20"/>
        </w:rPr>
        <w:t xml:space="preserve">The spectral sensitivity of the human eye (or the response of the eye to different coloured light) has been evaluated in tests of large numbers of people. The results have been presented as a standard spectral sensitivity distribution or V( </w:t>
      </w:r>
    </w:p>
    <w:p w14:paraId="2BF20061" w14:textId="77777777" w:rsidR="00541A14" w:rsidRDefault="00DD420F">
      <w:pPr>
        <w:pStyle w:val="Default"/>
        <w:framePr w:w="920" w:wrap="auto" w:vAnchor="page" w:hAnchor="page" w:x="4657" w:y="7679"/>
        <w:rPr>
          <w:rFonts w:ascii="Palatino" w:hAnsi="Palatino" w:cs="Palatino"/>
          <w:sz w:val="20"/>
          <w:szCs w:val="20"/>
        </w:rPr>
      </w:pPr>
      <w:r>
        <w:rPr>
          <w:rFonts w:ascii="Palatino" w:hAnsi="Palatino" w:cs="Palatino"/>
          <w:noProof/>
          <w:sz w:val="20"/>
          <w:szCs w:val="20"/>
        </w:rPr>
        <w:drawing>
          <wp:inline distT="0" distB="0" distL="0" distR="0" wp14:anchorId="27A50F60" wp14:editId="024B9E43">
            <wp:extent cx="73660" cy="102235"/>
            <wp:effectExtent l="0" t="0" r="254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3660" cy="102235"/>
                    </a:xfrm>
                    <a:prstGeom prst="rect">
                      <a:avLst/>
                    </a:prstGeom>
                    <a:noFill/>
                    <a:ln>
                      <a:noFill/>
                    </a:ln>
                  </pic:spPr>
                </pic:pic>
              </a:graphicData>
            </a:graphic>
          </wp:inline>
        </w:drawing>
      </w:r>
      <w:r w:rsidR="00A450E1">
        <w:rPr>
          <w:rFonts w:ascii="Palatino" w:hAnsi="Palatino" w:cs="Palatino"/>
          <w:sz w:val="20"/>
          <w:szCs w:val="20"/>
        </w:rPr>
        <w:t xml:space="preserve">) curve for photopic observers and V’( </w:t>
      </w:r>
    </w:p>
    <w:p w14:paraId="7E055F8D" w14:textId="77777777" w:rsidR="00541A14" w:rsidRDefault="00DD420F">
      <w:pPr>
        <w:pStyle w:val="Default"/>
        <w:framePr w:w="927" w:wrap="auto" w:vAnchor="page" w:hAnchor="page" w:x="8141" w:y="7670"/>
        <w:rPr>
          <w:rFonts w:ascii="Palatino" w:hAnsi="Palatino" w:cs="Palatino"/>
          <w:sz w:val="20"/>
          <w:szCs w:val="20"/>
        </w:rPr>
      </w:pPr>
      <w:r>
        <w:rPr>
          <w:rFonts w:ascii="Palatino" w:hAnsi="Palatino" w:cs="Palatino"/>
          <w:noProof/>
          <w:sz w:val="20"/>
          <w:szCs w:val="20"/>
        </w:rPr>
        <w:drawing>
          <wp:inline distT="0" distB="0" distL="0" distR="0" wp14:anchorId="2A030F49" wp14:editId="526E3E09">
            <wp:extent cx="73660" cy="102235"/>
            <wp:effectExtent l="0" t="0" r="254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3660" cy="102235"/>
                    </a:xfrm>
                    <a:prstGeom prst="rect">
                      <a:avLst/>
                    </a:prstGeom>
                    <a:noFill/>
                    <a:ln>
                      <a:noFill/>
                    </a:ln>
                  </pic:spPr>
                </pic:pic>
              </a:graphicData>
            </a:graphic>
          </wp:inline>
        </w:drawing>
      </w:r>
      <w:r w:rsidR="00A450E1">
        <w:rPr>
          <w:rFonts w:ascii="Palatino" w:hAnsi="Palatino" w:cs="Palatino"/>
          <w:sz w:val="20"/>
          <w:szCs w:val="20"/>
        </w:rPr>
        <w:t xml:space="preserve">) for scotopic observers. </w:t>
      </w:r>
    </w:p>
    <w:p w14:paraId="2F2FAE04" w14:textId="77777777" w:rsidR="00541A14" w:rsidRDefault="00DD420F">
      <w:pPr>
        <w:pStyle w:val="Default"/>
        <w:framePr w:w="8494" w:wrap="auto" w:vAnchor="page" w:hAnchor="page" w:x="1871" w:y="8334"/>
        <w:spacing w:after="140"/>
        <w:rPr>
          <w:rFonts w:ascii="Palatino" w:hAnsi="Palatino" w:cs="Palatino"/>
          <w:sz w:val="20"/>
          <w:szCs w:val="20"/>
        </w:rPr>
      </w:pPr>
      <w:r>
        <w:rPr>
          <w:rFonts w:ascii="Palatino" w:hAnsi="Palatino" w:cs="Palatino"/>
          <w:noProof/>
          <w:sz w:val="20"/>
          <w:szCs w:val="20"/>
        </w:rPr>
        <w:drawing>
          <wp:inline distT="0" distB="0" distL="0" distR="0" wp14:anchorId="6A4EB9EE" wp14:editId="693FD76B">
            <wp:extent cx="4878705" cy="36576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878705" cy="3657600"/>
                    </a:xfrm>
                    <a:prstGeom prst="rect">
                      <a:avLst/>
                    </a:prstGeom>
                    <a:noFill/>
                    <a:ln>
                      <a:noFill/>
                    </a:ln>
                  </pic:spPr>
                </pic:pic>
              </a:graphicData>
            </a:graphic>
          </wp:inline>
        </w:drawing>
      </w:r>
    </w:p>
    <w:p w14:paraId="5333AACA" w14:textId="77777777" w:rsidR="00541A14" w:rsidRDefault="00A450E1">
      <w:pPr>
        <w:pStyle w:val="CM183"/>
        <w:spacing w:after="1585" w:line="243" w:lineRule="atLeast"/>
        <w:jc w:val="center"/>
        <w:rPr>
          <w:rFonts w:ascii="Palatino" w:hAnsi="Palatino" w:cs="Palatino"/>
          <w:color w:val="000000"/>
          <w:sz w:val="20"/>
          <w:szCs w:val="20"/>
        </w:rPr>
      </w:pPr>
      <w:r>
        <w:rPr>
          <w:rFonts w:ascii="Palatino" w:hAnsi="Palatino" w:cs="Palatino"/>
          <w:i/>
          <w:iCs/>
          <w:color w:val="000000"/>
          <w:sz w:val="20"/>
          <w:szCs w:val="20"/>
        </w:rPr>
        <w:t xml:space="preserve">Figure 8 - Spectral sensitivity distributions or V( </w:t>
      </w:r>
    </w:p>
    <w:p w14:paraId="002BF156" w14:textId="77777777" w:rsidR="00541A14" w:rsidRDefault="00DD420F">
      <w:pPr>
        <w:pStyle w:val="Default"/>
        <w:framePr w:w="927" w:wrap="auto" w:vAnchor="page" w:hAnchor="page" w:x="6397" w:y="14249"/>
        <w:rPr>
          <w:rFonts w:ascii="Palatino" w:hAnsi="Palatino" w:cs="Palatino"/>
          <w:sz w:val="20"/>
          <w:szCs w:val="20"/>
        </w:rPr>
      </w:pPr>
      <w:r>
        <w:rPr>
          <w:rFonts w:ascii="Palatino" w:hAnsi="Palatino" w:cs="Palatino"/>
          <w:noProof/>
          <w:sz w:val="20"/>
          <w:szCs w:val="20"/>
        </w:rPr>
        <w:drawing>
          <wp:inline distT="0" distB="0" distL="0" distR="0" wp14:anchorId="51381CA8" wp14:editId="70B02B60">
            <wp:extent cx="73660" cy="102235"/>
            <wp:effectExtent l="0" t="0" r="254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3660" cy="102235"/>
                    </a:xfrm>
                    <a:prstGeom prst="rect">
                      <a:avLst/>
                    </a:prstGeom>
                    <a:noFill/>
                    <a:ln>
                      <a:noFill/>
                    </a:ln>
                  </pic:spPr>
                </pic:pic>
              </a:graphicData>
            </a:graphic>
          </wp:inline>
        </w:drawing>
      </w:r>
      <w:r w:rsidR="00A450E1">
        <w:rPr>
          <w:rFonts w:ascii="Palatino" w:hAnsi="Palatino" w:cs="Palatino"/>
          <w:i/>
          <w:iCs/>
          <w:sz w:val="20"/>
          <w:szCs w:val="20"/>
        </w:rPr>
        <w:t xml:space="preserve">) and V’( </w:t>
      </w:r>
    </w:p>
    <w:p w14:paraId="30D61D93" w14:textId="77777777" w:rsidR="00541A14" w:rsidRDefault="00DD420F">
      <w:pPr>
        <w:pStyle w:val="Default"/>
        <w:framePr w:w="927" w:wrap="auto" w:vAnchor="page" w:hAnchor="page" w:x="7257" w:y="14249"/>
        <w:rPr>
          <w:rFonts w:ascii="Palatino" w:hAnsi="Palatino" w:cs="Palatino"/>
          <w:sz w:val="20"/>
          <w:szCs w:val="20"/>
        </w:rPr>
      </w:pPr>
      <w:r>
        <w:rPr>
          <w:rFonts w:ascii="Palatino" w:hAnsi="Palatino" w:cs="Palatino"/>
          <w:noProof/>
          <w:sz w:val="20"/>
          <w:szCs w:val="20"/>
        </w:rPr>
        <w:drawing>
          <wp:inline distT="0" distB="0" distL="0" distR="0" wp14:anchorId="317CF39E" wp14:editId="219AC40D">
            <wp:extent cx="73660" cy="102235"/>
            <wp:effectExtent l="0" t="0" r="254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73660" cy="102235"/>
                    </a:xfrm>
                    <a:prstGeom prst="rect">
                      <a:avLst/>
                    </a:prstGeom>
                    <a:noFill/>
                    <a:ln>
                      <a:noFill/>
                    </a:ln>
                  </pic:spPr>
                </pic:pic>
              </a:graphicData>
            </a:graphic>
          </wp:inline>
        </w:drawing>
      </w:r>
      <w:r w:rsidR="00A450E1">
        <w:rPr>
          <w:rFonts w:ascii="Palatino" w:hAnsi="Palatino" w:cs="Palatino"/>
          <w:i/>
          <w:iCs/>
          <w:sz w:val="20"/>
          <w:szCs w:val="20"/>
        </w:rPr>
        <w:t xml:space="preserve">) curves for the humanobserver also showing the difference between day and night vision </w:t>
      </w:r>
    </w:p>
    <w:p w14:paraId="21396620"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495FDD6C" wp14:editId="7DBE42A2">
            <wp:extent cx="7553960" cy="420370"/>
            <wp:effectExtent l="0" t="0" r="0" b="1143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320F93B2" w14:textId="77777777" w:rsidR="00541A14" w:rsidRDefault="00DD420F">
      <w:pPr>
        <w:pStyle w:val="Default"/>
        <w:pageBreakBefore/>
        <w:framePr w:w="12857" w:wrap="auto" w:vAnchor="page" w:hAnchor="page" w:x="101" w:y="1"/>
        <w:spacing w:after="700"/>
        <w:rPr>
          <w:rFonts w:ascii="Palatino" w:hAnsi="Palatino" w:cs="Palatino"/>
          <w:sz w:val="20"/>
          <w:szCs w:val="20"/>
        </w:rPr>
      </w:pPr>
      <w:r>
        <w:rPr>
          <w:rFonts w:ascii="Palatino" w:hAnsi="Palatino" w:cs="Palatino"/>
          <w:noProof/>
          <w:sz w:val="20"/>
          <w:szCs w:val="20"/>
        </w:rPr>
        <w:drawing>
          <wp:inline distT="0" distB="0" distL="0" distR="0" wp14:anchorId="070F4F38" wp14:editId="715ECF50">
            <wp:extent cx="7553960" cy="115316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1AA1E4BD" w14:textId="77777777" w:rsidR="00541A14" w:rsidRDefault="00A450E1">
      <w:pPr>
        <w:pStyle w:val="CM172"/>
        <w:spacing w:after="202"/>
        <w:jc w:val="both"/>
        <w:rPr>
          <w:rFonts w:ascii="Futura Book" w:hAnsi="Futura Book" w:cs="Futura Book"/>
          <w:color w:val="2C5062"/>
          <w:sz w:val="22"/>
          <w:szCs w:val="22"/>
        </w:rPr>
      </w:pPr>
      <w:r>
        <w:rPr>
          <w:rFonts w:ascii="Futura Book" w:hAnsi="Futura Book" w:cs="Futura Book"/>
          <w:b/>
          <w:bCs/>
          <w:color w:val="2C5062"/>
          <w:sz w:val="22"/>
          <w:szCs w:val="22"/>
        </w:rPr>
        <w:t xml:space="preserve">Units of Measurement </w:t>
      </w:r>
    </w:p>
    <w:p w14:paraId="4FD0EEAA" w14:textId="77777777" w:rsidR="00541A14" w:rsidRDefault="00A450E1">
      <w:pPr>
        <w:pStyle w:val="CM172"/>
        <w:spacing w:after="202"/>
        <w:rPr>
          <w:rFonts w:ascii="Palatino" w:hAnsi="Palatino" w:cs="Palatino"/>
          <w:color w:val="000000"/>
          <w:sz w:val="20"/>
          <w:szCs w:val="20"/>
        </w:rPr>
      </w:pPr>
      <w:r>
        <w:rPr>
          <w:rFonts w:ascii="Palatino" w:hAnsi="Palatino" w:cs="Palatino"/>
          <w:b/>
          <w:bCs/>
          <w:color w:val="000000"/>
          <w:sz w:val="20"/>
          <w:szCs w:val="20"/>
        </w:rPr>
        <w:t xml:space="preserve">table 6 - Photometric units of measurement </w:t>
      </w:r>
    </w:p>
    <w:p w14:paraId="1D60DEF4"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63360" behindDoc="0" locked="0" layoutInCell="0" allowOverlap="1" wp14:anchorId="5D442433" wp14:editId="1A2DA759">
                <wp:simplePos x="0" y="0"/>
                <wp:positionH relativeFrom="page">
                  <wp:posOffset>826135</wp:posOffset>
                </wp:positionH>
                <wp:positionV relativeFrom="page">
                  <wp:posOffset>2065020</wp:posOffset>
                </wp:positionV>
                <wp:extent cx="6278245" cy="7750810"/>
                <wp:effectExtent l="0" t="0" r="0" b="0"/>
                <wp:wrapThrough wrapText="bothSides">
                  <wp:wrapPolygon edited="0">
                    <wp:start x="0" y="0"/>
                    <wp:lineTo x="21600" y="0"/>
                    <wp:lineTo x="21600" y="21600"/>
                    <wp:lineTo x="0" y="21600"/>
                    <wp:lineTo x="0" y="0"/>
                  </wp:wrapPolygon>
                </wp:wrapThrough>
                <wp:docPr id="55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245" cy="7750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2280"/>
                              <w:gridCol w:w="3942"/>
                              <w:gridCol w:w="1495"/>
                              <w:gridCol w:w="1370"/>
                            </w:tblGrid>
                            <w:tr w:rsidR="00541A14" w14:paraId="754D2901" w14:textId="77777777">
                              <w:trPr>
                                <w:trHeight w:val="188"/>
                              </w:trPr>
                              <w:tc>
                                <w:tcPr>
                                  <w:tcW w:w="2280" w:type="dxa"/>
                                  <w:tcBorders>
                                    <w:top w:val="single" w:sz="4" w:space="0" w:color="0E0F1B"/>
                                    <w:left w:val="single" w:sz="4" w:space="0" w:color="000000"/>
                                    <w:right w:val="single" w:sz="4" w:space="0" w:color="000001"/>
                                  </w:tcBorders>
                                  <w:shd w:val="clear" w:color="auto" w:fill="5E64A8"/>
                                  <w:vAlign w:val="center"/>
                                </w:tcPr>
                                <w:p w14:paraId="518C25DE"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Term </w:t>
                                  </w:r>
                                </w:p>
                              </w:tc>
                              <w:tc>
                                <w:tcPr>
                                  <w:tcW w:w="3942" w:type="dxa"/>
                                  <w:tcBorders>
                                    <w:top w:val="single" w:sz="4" w:space="0" w:color="0E0F1B"/>
                                    <w:left w:val="single" w:sz="4" w:space="0" w:color="000001"/>
                                    <w:right w:val="single" w:sz="4" w:space="0" w:color="000001"/>
                                  </w:tcBorders>
                                  <w:shd w:val="clear" w:color="auto" w:fill="5E64A8"/>
                                  <w:vAlign w:val="center"/>
                                </w:tcPr>
                                <w:p w14:paraId="08958C7E"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Description </w:t>
                                  </w:r>
                                </w:p>
                              </w:tc>
                              <w:tc>
                                <w:tcPr>
                                  <w:tcW w:w="1495" w:type="dxa"/>
                                  <w:tcBorders>
                                    <w:top w:val="single" w:sz="4" w:space="0" w:color="0E0F1B"/>
                                    <w:left w:val="single" w:sz="4" w:space="0" w:color="000001"/>
                                    <w:right w:val="single" w:sz="4" w:space="0" w:color="000001"/>
                                  </w:tcBorders>
                                  <w:shd w:val="clear" w:color="auto" w:fill="5E64A8"/>
                                  <w:vAlign w:val="center"/>
                                </w:tcPr>
                                <w:p w14:paraId="6C3B8541"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Unit </w:t>
                                  </w:r>
                                </w:p>
                              </w:tc>
                              <w:tc>
                                <w:tcPr>
                                  <w:tcW w:w="1370" w:type="dxa"/>
                                  <w:tcBorders>
                                    <w:top w:val="single" w:sz="4" w:space="0" w:color="0E0F1B"/>
                                    <w:left w:val="single" w:sz="4" w:space="0" w:color="000001"/>
                                    <w:right w:val="single" w:sz="4" w:space="0" w:color="000000"/>
                                  </w:tcBorders>
                                  <w:shd w:val="clear" w:color="auto" w:fill="5E64A8"/>
                                  <w:vAlign w:val="center"/>
                                </w:tcPr>
                                <w:p w14:paraId="4273F364"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Abbreviation </w:t>
                                  </w:r>
                                </w:p>
                              </w:tc>
                            </w:tr>
                            <w:tr w:rsidR="00541A14" w14:paraId="0482D51C" w14:textId="77777777">
                              <w:trPr>
                                <w:trHeight w:val="891"/>
                              </w:trPr>
                              <w:tc>
                                <w:tcPr>
                                  <w:tcW w:w="2280" w:type="dxa"/>
                                  <w:tcBorders>
                                    <w:top w:val="single" w:sz="2" w:space="0" w:color="5E64A8"/>
                                    <w:left w:val="single" w:sz="4" w:space="0" w:color="000000"/>
                                    <w:right w:val="single" w:sz="4" w:space="0" w:color="000001"/>
                                  </w:tcBorders>
                                  <w:shd w:val="clear" w:color="auto" w:fill="E8E7F3"/>
                                </w:tcPr>
                                <w:p w14:paraId="2C2AF7D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Luminous flux </w:t>
                                  </w:r>
                                </w:p>
                              </w:tc>
                              <w:tc>
                                <w:tcPr>
                                  <w:tcW w:w="3942" w:type="dxa"/>
                                  <w:tcBorders>
                                    <w:top w:val="single" w:sz="2" w:space="0" w:color="5E64A8"/>
                                    <w:left w:val="single" w:sz="4" w:space="0" w:color="000001"/>
                                    <w:right w:val="single" w:sz="4" w:space="0" w:color="000001"/>
                                  </w:tcBorders>
                                  <w:shd w:val="clear" w:color="auto" w:fill="E8E7F3"/>
                                </w:tcPr>
                                <w:p w14:paraId="07738D5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This is the total light emitted from the source (ie. lamp) The peak sensitivity of the human eye occurs at about 555 nanometres, a wavelength that corresponds to green.  At this wavelength, the photometric equivalent of one watt is defined as 680 lumens. </w:t>
                                  </w:r>
                                </w:p>
                              </w:tc>
                              <w:tc>
                                <w:tcPr>
                                  <w:tcW w:w="1495" w:type="dxa"/>
                                  <w:tcBorders>
                                    <w:top w:val="single" w:sz="2" w:space="0" w:color="5E64A8"/>
                                    <w:left w:val="single" w:sz="4" w:space="0" w:color="000001"/>
                                    <w:right w:val="single" w:sz="4" w:space="0" w:color="000001"/>
                                  </w:tcBorders>
                                  <w:shd w:val="clear" w:color="auto" w:fill="E8E7F3"/>
                                </w:tcPr>
                                <w:p w14:paraId="7702E57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lumens </w:t>
                                  </w:r>
                                </w:p>
                              </w:tc>
                              <w:tc>
                                <w:tcPr>
                                  <w:tcW w:w="1370" w:type="dxa"/>
                                  <w:tcBorders>
                                    <w:top w:val="single" w:sz="2" w:space="0" w:color="5E64A8"/>
                                    <w:left w:val="single" w:sz="4" w:space="0" w:color="000001"/>
                                    <w:right w:val="single" w:sz="4" w:space="0" w:color="000000"/>
                                  </w:tcBorders>
                                  <w:shd w:val="clear" w:color="auto" w:fill="E8E7F3"/>
                                </w:tcPr>
                                <w:p w14:paraId="452A581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lm </w:t>
                                  </w:r>
                                </w:p>
                              </w:tc>
                            </w:tr>
                            <w:tr w:rsidR="00541A14" w14:paraId="34990418" w14:textId="77777777">
                              <w:trPr>
                                <w:trHeight w:val="563"/>
                              </w:trPr>
                              <w:tc>
                                <w:tcPr>
                                  <w:tcW w:w="2280" w:type="dxa"/>
                                  <w:tcBorders>
                                    <w:left w:val="single" w:sz="4" w:space="0" w:color="000000"/>
                                    <w:right w:val="single" w:sz="4" w:space="0" w:color="000001"/>
                                  </w:tcBorders>
                                </w:tcPr>
                                <w:p w14:paraId="2A3649B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Luminous intensity </w:t>
                                  </w:r>
                                </w:p>
                              </w:tc>
                              <w:tc>
                                <w:tcPr>
                                  <w:tcW w:w="3942" w:type="dxa"/>
                                  <w:tcBorders>
                                    <w:left w:val="single" w:sz="4" w:space="0" w:color="000001"/>
                                    <w:right w:val="single" w:sz="4" w:space="0" w:color="000001"/>
                                  </w:tcBorders>
                                </w:tcPr>
                                <w:p w14:paraId="7FB6FAA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This is the part of the luminous flux in a particular direction. Also expressed as the luminous flux per solid angle (or steradian</w:t>
                                  </w:r>
                                  <w:r>
                                    <w:rPr>
                                      <w:rFonts w:ascii="Helvetica 55 Roman" w:hAnsi="Helvetica 55 Roman" w:cs="Helvetica 55 Roman"/>
                                      <w:sz w:val="10"/>
                                      <w:szCs w:val="10"/>
                                    </w:rPr>
                                    <w:t>15</w:t>
                                  </w:r>
                                  <w:r>
                                    <w:rPr>
                                      <w:rFonts w:ascii="Helvetica 55 Roman" w:hAnsi="Helvetica 55 Roman" w:cs="Helvetica 55 Roman"/>
                                      <w:sz w:val="18"/>
                                      <w:szCs w:val="18"/>
                                    </w:rPr>
                                    <w:t xml:space="preserve">) </w:t>
                                  </w:r>
                                </w:p>
                              </w:tc>
                              <w:tc>
                                <w:tcPr>
                                  <w:tcW w:w="1495" w:type="dxa"/>
                                  <w:tcBorders>
                                    <w:left w:val="single" w:sz="4" w:space="0" w:color="000001"/>
                                    <w:right w:val="single" w:sz="4" w:space="0" w:color="000001"/>
                                  </w:tcBorders>
                                </w:tcPr>
                                <w:p w14:paraId="29BB88B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candela </w:t>
                                  </w:r>
                                </w:p>
                              </w:tc>
                              <w:tc>
                                <w:tcPr>
                                  <w:tcW w:w="1370" w:type="dxa"/>
                                  <w:tcBorders>
                                    <w:left w:val="single" w:sz="4" w:space="0" w:color="000001"/>
                                    <w:right w:val="single" w:sz="4" w:space="0" w:color="000000"/>
                                  </w:tcBorders>
                                </w:tcPr>
                                <w:p w14:paraId="1A79254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cd </w:t>
                                  </w:r>
                                </w:p>
                              </w:tc>
                            </w:tr>
                            <w:tr w:rsidR="00541A14" w14:paraId="3490A388" w14:textId="77777777">
                              <w:trPr>
                                <w:trHeight w:val="838"/>
                              </w:trPr>
                              <w:tc>
                                <w:tcPr>
                                  <w:tcW w:w="2280" w:type="dxa"/>
                                  <w:tcBorders>
                                    <w:left w:val="single" w:sz="4" w:space="0" w:color="000000"/>
                                    <w:right w:val="single" w:sz="4" w:space="0" w:color="000001"/>
                                  </w:tcBorders>
                                  <w:shd w:val="clear" w:color="auto" w:fill="E8E7F3"/>
                                </w:tcPr>
                                <w:p w14:paraId="6D3ECFA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Luminance (Brillance) </w:t>
                                  </w:r>
                                </w:p>
                              </w:tc>
                              <w:tc>
                                <w:tcPr>
                                  <w:tcW w:w="3942" w:type="dxa"/>
                                  <w:tcBorders>
                                    <w:left w:val="single" w:sz="4" w:space="0" w:color="000001"/>
                                    <w:right w:val="single" w:sz="4" w:space="0" w:color="000001"/>
                                  </w:tcBorders>
                                  <w:shd w:val="clear" w:color="auto" w:fill="E8E7F3"/>
                                </w:tcPr>
                                <w:p w14:paraId="1DB0353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This is the portion of the luminous flux emitted in a specific direction by the surface area of a luminous body. This variable is an important term for rating the brightness impression of light sources and illuminated objects. </w:t>
                                  </w:r>
                                </w:p>
                              </w:tc>
                              <w:tc>
                                <w:tcPr>
                                  <w:tcW w:w="1495" w:type="dxa"/>
                                  <w:tcBorders>
                                    <w:left w:val="single" w:sz="4" w:space="0" w:color="000001"/>
                                    <w:right w:val="single" w:sz="4" w:space="0" w:color="000001"/>
                                  </w:tcBorders>
                                  <w:shd w:val="clear" w:color="auto" w:fill="E8E7F3"/>
                                </w:tcPr>
                                <w:p w14:paraId="0BF5939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candelas per square metre and also as candelas per square centimetre </w:t>
                                  </w:r>
                                </w:p>
                              </w:tc>
                              <w:tc>
                                <w:tcPr>
                                  <w:tcW w:w="1370" w:type="dxa"/>
                                  <w:tcBorders>
                                    <w:left w:val="single" w:sz="4" w:space="0" w:color="000001"/>
                                    <w:right w:val="single" w:sz="4" w:space="0" w:color="000000"/>
                                  </w:tcBorders>
                                  <w:shd w:val="clear" w:color="auto" w:fill="E8E7F3"/>
                                </w:tcPr>
                                <w:p w14:paraId="672C9658" w14:textId="77777777" w:rsidR="00541A14" w:rsidRDefault="00A450E1">
                                  <w:pPr>
                                    <w:pStyle w:val="Default"/>
                                    <w:rPr>
                                      <w:rFonts w:ascii="Helvetica 55 Roman" w:hAnsi="Helvetica 55 Roman" w:cs="Helvetica 55 Roman"/>
                                      <w:sz w:val="10"/>
                                      <w:szCs w:val="10"/>
                                    </w:rPr>
                                  </w:pPr>
                                  <w:r>
                                    <w:rPr>
                                      <w:rFonts w:ascii="Helvetica 55 Roman" w:hAnsi="Helvetica 55 Roman" w:cs="Helvetica 55 Roman"/>
                                      <w:sz w:val="18"/>
                                      <w:szCs w:val="18"/>
                                    </w:rPr>
                                    <w:t>cd/m</w:t>
                                  </w:r>
                                  <w:r>
                                    <w:rPr>
                                      <w:rFonts w:ascii="Helvetica 55 Roman" w:hAnsi="Helvetica 55 Roman" w:cs="Helvetica 55 Roman"/>
                                      <w:sz w:val="10"/>
                                      <w:szCs w:val="10"/>
                                    </w:rPr>
                                    <w:t xml:space="preserve">2 </w:t>
                                  </w:r>
                                  <w:r>
                                    <w:rPr>
                                      <w:rFonts w:ascii="Helvetica 55 Roman" w:hAnsi="Helvetica 55 Roman" w:cs="Helvetica 55 Roman"/>
                                      <w:sz w:val="18"/>
                                      <w:szCs w:val="18"/>
                                    </w:rPr>
                                    <w:t>cd/cm</w:t>
                                  </w:r>
                                  <w:r>
                                    <w:rPr>
                                      <w:rFonts w:ascii="Helvetica 55 Roman" w:hAnsi="Helvetica 55 Roman" w:cs="Helvetica 55 Roman"/>
                                      <w:sz w:val="10"/>
                                      <w:szCs w:val="10"/>
                                    </w:rPr>
                                    <w:t xml:space="preserve">2 </w:t>
                                  </w:r>
                                </w:p>
                              </w:tc>
                            </w:tr>
                            <w:tr w:rsidR="00541A14" w14:paraId="2C646707" w14:textId="77777777">
                              <w:trPr>
                                <w:trHeight w:val="673"/>
                              </w:trPr>
                              <w:tc>
                                <w:tcPr>
                                  <w:tcW w:w="2280" w:type="dxa"/>
                                  <w:tcBorders>
                                    <w:left w:val="single" w:sz="4" w:space="0" w:color="000000"/>
                                    <w:right w:val="single" w:sz="4" w:space="0" w:color="000001"/>
                                  </w:tcBorders>
                                </w:tcPr>
                                <w:p w14:paraId="2BDE720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Illuminance </w:t>
                                  </w:r>
                                </w:p>
                              </w:tc>
                              <w:tc>
                                <w:tcPr>
                                  <w:tcW w:w="3942" w:type="dxa"/>
                                  <w:tcBorders>
                                    <w:left w:val="single" w:sz="4" w:space="0" w:color="000001"/>
                                    <w:right w:val="single" w:sz="4" w:space="0" w:color="000001"/>
                                  </w:tcBorders>
                                </w:tcPr>
                                <w:p w14:paraId="0FC90CF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This is the density of the luminous flux incident on a surface. It is the quotient of the luminous flux by the area of the surface when the surface is uniformly illuminated </w:t>
                                  </w:r>
                                </w:p>
                              </w:tc>
                              <w:tc>
                                <w:tcPr>
                                  <w:tcW w:w="1495" w:type="dxa"/>
                                  <w:tcBorders>
                                    <w:left w:val="single" w:sz="4" w:space="0" w:color="000001"/>
                                    <w:right w:val="single" w:sz="4" w:space="0" w:color="000001"/>
                                  </w:tcBorders>
                                </w:tcPr>
                                <w:p w14:paraId="2F0285A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lux (lumens/square metre) </w:t>
                                  </w:r>
                                </w:p>
                              </w:tc>
                              <w:tc>
                                <w:tcPr>
                                  <w:tcW w:w="1370" w:type="dxa"/>
                                  <w:tcBorders>
                                    <w:left w:val="single" w:sz="4" w:space="0" w:color="000001"/>
                                    <w:right w:val="single" w:sz="4" w:space="0" w:color="000000"/>
                                  </w:tcBorders>
                                </w:tcPr>
                                <w:p w14:paraId="0ECEBE3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lx </w:t>
                                  </w:r>
                                </w:p>
                              </w:tc>
                            </w:tr>
                            <w:tr w:rsidR="00541A14" w14:paraId="60F32002" w14:textId="77777777">
                              <w:trPr>
                                <w:trHeight w:val="616"/>
                              </w:trPr>
                              <w:tc>
                                <w:tcPr>
                                  <w:tcW w:w="2280" w:type="dxa"/>
                                  <w:tcBorders>
                                    <w:left w:val="single" w:sz="4" w:space="0" w:color="000000"/>
                                    <w:right w:val="single" w:sz="4" w:space="0" w:color="000001"/>
                                  </w:tcBorders>
                                  <w:shd w:val="clear" w:color="auto" w:fill="E8E7F3"/>
                                </w:tcPr>
                                <w:p w14:paraId="22D1349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Luminous efficacy </w:t>
                                  </w:r>
                                </w:p>
                              </w:tc>
                              <w:tc>
                                <w:tcPr>
                                  <w:tcW w:w="3942" w:type="dxa"/>
                                  <w:tcBorders>
                                    <w:left w:val="single" w:sz="4" w:space="0" w:color="000001"/>
                                    <w:right w:val="single" w:sz="4" w:space="0" w:color="000001"/>
                                  </w:tcBorders>
                                  <w:shd w:val="clear" w:color="auto" w:fill="E8E7F3"/>
                                </w:tcPr>
                                <w:p w14:paraId="4EDC1FE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This is the ratio of luminous output to radiometric output of a light source. It can also be applied to the efficiency with which electrical power is converted to visible radiation. </w:t>
                                  </w:r>
                                </w:p>
                              </w:tc>
                              <w:tc>
                                <w:tcPr>
                                  <w:tcW w:w="1495" w:type="dxa"/>
                                  <w:tcBorders>
                                    <w:left w:val="single" w:sz="4" w:space="0" w:color="000001"/>
                                    <w:right w:val="single" w:sz="4" w:space="0" w:color="000001"/>
                                  </w:tcBorders>
                                  <w:shd w:val="clear" w:color="auto" w:fill="E8E7F3"/>
                                </w:tcPr>
                                <w:p w14:paraId="6DC1F6C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lumens per watt of electrical power consumed </w:t>
                                  </w:r>
                                </w:p>
                              </w:tc>
                              <w:tc>
                                <w:tcPr>
                                  <w:tcW w:w="1370" w:type="dxa"/>
                                  <w:tcBorders>
                                    <w:left w:val="single" w:sz="4" w:space="0" w:color="000001"/>
                                    <w:right w:val="single" w:sz="4" w:space="0" w:color="000000"/>
                                  </w:tcBorders>
                                  <w:shd w:val="clear" w:color="auto" w:fill="E8E7F3"/>
                                </w:tcPr>
                                <w:p w14:paraId="452614A7" w14:textId="77777777" w:rsidR="00541A14" w:rsidRDefault="00541A14">
                                  <w:pPr>
                                    <w:pStyle w:val="Default"/>
                                    <w:rPr>
                                      <w:rFonts w:cs="Times New Roman"/>
                                      <w:color w:val="auto"/>
                                    </w:rPr>
                                  </w:pPr>
                                </w:p>
                              </w:tc>
                            </w:tr>
                            <w:tr w:rsidR="00541A14" w14:paraId="07A88AF9" w14:textId="77777777">
                              <w:trPr>
                                <w:trHeight w:val="888"/>
                              </w:trPr>
                              <w:tc>
                                <w:tcPr>
                                  <w:tcW w:w="2280" w:type="dxa"/>
                                  <w:tcBorders>
                                    <w:left w:val="single" w:sz="4" w:space="0" w:color="000000"/>
                                    <w:right w:val="single" w:sz="4" w:space="0" w:color="000001"/>
                                  </w:tcBorders>
                                </w:tcPr>
                                <w:p w14:paraId="6A1FE8A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Colour temperature </w:t>
                                  </w:r>
                                </w:p>
                              </w:tc>
                              <w:tc>
                                <w:tcPr>
                                  <w:tcW w:w="3942" w:type="dxa"/>
                                  <w:tcBorders>
                                    <w:left w:val="single" w:sz="4" w:space="0" w:color="000001"/>
                                    <w:right w:val="single" w:sz="4" w:space="0" w:color="000001"/>
                                  </w:tcBorders>
                                </w:tcPr>
                                <w:p w14:paraId="652D5F8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This related to the temperature of a black body. As a body heats up, it goes through a series of different colours from red through yellow and white, to blue white. The colour appearance of a tungsten filament lamp is similar to a black body at the same temperature. </w:t>
                                  </w:r>
                                </w:p>
                              </w:tc>
                              <w:tc>
                                <w:tcPr>
                                  <w:tcW w:w="1495" w:type="dxa"/>
                                  <w:tcBorders>
                                    <w:left w:val="single" w:sz="4" w:space="0" w:color="000001"/>
                                    <w:right w:val="single" w:sz="4" w:space="0" w:color="000001"/>
                                  </w:tcBorders>
                                </w:tcPr>
                                <w:p w14:paraId="18B5B5F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Kelvin </w:t>
                                  </w:r>
                                </w:p>
                              </w:tc>
                              <w:tc>
                                <w:tcPr>
                                  <w:tcW w:w="1370" w:type="dxa"/>
                                  <w:tcBorders>
                                    <w:left w:val="single" w:sz="4" w:space="0" w:color="000001"/>
                                    <w:right w:val="single" w:sz="4" w:space="0" w:color="000000"/>
                                  </w:tcBorders>
                                </w:tcPr>
                                <w:p w14:paraId="0E12F0B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ºK </w:t>
                                  </w:r>
                                </w:p>
                              </w:tc>
                            </w:tr>
                            <w:tr w:rsidR="00541A14" w14:paraId="572BCDCA" w14:textId="77777777">
                              <w:trPr>
                                <w:trHeight w:val="507"/>
                              </w:trPr>
                              <w:tc>
                                <w:tcPr>
                                  <w:tcW w:w="2280" w:type="dxa"/>
                                  <w:tcBorders>
                                    <w:left w:val="single" w:sz="4" w:space="0" w:color="000000"/>
                                    <w:bottom w:val="single" w:sz="4" w:space="0" w:color="000000"/>
                                    <w:right w:val="single" w:sz="4" w:space="0" w:color="000001"/>
                                  </w:tcBorders>
                                  <w:shd w:val="clear" w:color="auto" w:fill="E8E7F3"/>
                                </w:tcPr>
                                <w:p w14:paraId="67E82FA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Colour rendering index </w:t>
                                  </w:r>
                                </w:p>
                              </w:tc>
                              <w:tc>
                                <w:tcPr>
                                  <w:tcW w:w="3942" w:type="dxa"/>
                                  <w:tcBorders>
                                    <w:left w:val="single" w:sz="4" w:space="0" w:color="000001"/>
                                    <w:bottom w:val="single" w:sz="4" w:space="0" w:color="000000"/>
                                    <w:right w:val="single" w:sz="4" w:space="0" w:color="000001"/>
                                  </w:tcBorders>
                                  <w:shd w:val="clear" w:color="auto" w:fill="E8E7F3"/>
                                </w:tcPr>
                                <w:p w14:paraId="5179C2A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Characterises the colour rendering quality of the light from a lamp. It is the same for all incandescent lamps by definition and equal to the maximum value of 100. </w:t>
                                  </w:r>
                                </w:p>
                              </w:tc>
                              <w:tc>
                                <w:tcPr>
                                  <w:tcW w:w="1495" w:type="dxa"/>
                                  <w:tcBorders>
                                    <w:left w:val="single" w:sz="4" w:space="0" w:color="000001"/>
                                    <w:bottom w:val="single" w:sz="4" w:space="0" w:color="000000"/>
                                    <w:right w:val="single" w:sz="4" w:space="0" w:color="000001"/>
                                  </w:tcBorders>
                                  <w:shd w:val="clear" w:color="auto" w:fill="E8E7F3"/>
                                </w:tcPr>
                                <w:p w14:paraId="472E8E50" w14:textId="77777777" w:rsidR="00541A14" w:rsidRDefault="00541A14">
                                  <w:pPr>
                                    <w:pStyle w:val="Default"/>
                                    <w:rPr>
                                      <w:rFonts w:cs="Times New Roman"/>
                                      <w:color w:val="auto"/>
                                    </w:rPr>
                                  </w:pPr>
                                </w:p>
                              </w:tc>
                              <w:tc>
                                <w:tcPr>
                                  <w:tcW w:w="1370" w:type="dxa"/>
                                  <w:tcBorders>
                                    <w:left w:val="single" w:sz="4" w:space="0" w:color="000001"/>
                                    <w:bottom w:val="single" w:sz="4" w:space="0" w:color="000000"/>
                                    <w:right w:val="single" w:sz="4" w:space="0" w:color="000000"/>
                                  </w:tcBorders>
                                  <w:shd w:val="clear" w:color="auto" w:fill="E8E7F3"/>
                                </w:tcPr>
                                <w:p w14:paraId="60166BA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CRI </w:t>
                                  </w:r>
                                </w:p>
                              </w:tc>
                            </w:tr>
                          </w:tbl>
                          <w:p w14:paraId="7AA7D0B1"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1" type="#_x0000_t202" style="position:absolute;margin-left:65.05pt;margin-top:162.6pt;width:494.35pt;height:610.3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32"/>
                        <w:gridCol w:w="473"/>
                        <w:gridCol w:w="115"/>
                        <w:gridCol w:w="42"/>
                        <w:gridCol w:w="33"/>
                        <w:gridCol w:w="120"/>
                        <w:gridCol w:w="182"/>
                        <w:gridCol w:w="5"/>
                        <w:gridCol w:w="28"/>
                        <w:gridCol w:w="70"/>
                        <w:gridCol w:w="65"/>
                        <w:gridCol w:w="87"/>
                        <w:gridCol w:w="30"/>
                        <w:gridCol w:w="50"/>
                        <w:gridCol w:w="10"/>
                        <w:gridCol w:w="110"/>
                        <w:gridCol w:w="15"/>
                        <w:gridCol w:w="55"/>
                        <w:gridCol w:w="20"/>
                        <w:gridCol w:w="50"/>
                        <w:gridCol w:w="50"/>
                        <w:gridCol w:w="118"/>
                        <w:gridCol w:w="95"/>
                        <w:gridCol w:w="2"/>
                        <w:gridCol w:w="33"/>
                        <w:gridCol w:w="155"/>
                        <w:gridCol w:w="20"/>
                        <w:gridCol w:w="129"/>
                        <w:gridCol w:w="68"/>
                        <w:gridCol w:w="112"/>
                        <w:gridCol w:w="5"/>
                        <w:gridCol w:w="65"/>
                        <w:gridCol w:w="58"/>
                        <w:gridCol w:w="22"/>
                        <w:gridCol w:w="8"/>
                        <w:gridCol w:w="7"/>
                        <w:gridCol w:w="73"/>
                        <w:gridCol w:w="120"/>
                        <w:gridCol w:w="72"/>
                        <w:gridCol w:w="235"/>
                        <w:gridCol w:w="5"/>
                        <w:gridCol w:w="60"/>
                        <w:gridCol w:w="237"/>
                        <w:gridCol w:w="38"/>
                        <w:gridCol w:w="15"/>
                        <w:gridCol w:w="25"/>
                        <w:gridCol w:w="50"/>
                        <w:gridCol w:w="103"/>
                        <w:gridCol w:w="33"/>
                        <w:gridCol w:w="234"/>
                        <w:gridCol w:w="5"/>
                        <w:gridCol w:w="5"/>
                        <w:gridCol w:w="12"/>
                        <w:gridCol w:w="47"/>
                        <w:gridCol w:w="168"/>
                        <w:gridCol w:w="48"/>
                        <w:gridCol w:w="4"/>
                        <w:gridCol w:w="110"/>
                        <w:gridCol w:w="12"/>
                        <w:gridCol w:w="108"/>
                        <w:gridCol w:w="4"/>
                        <w:gridCol w:w="69"/>
                        <w:gridCol w:w="123"/>
                        <w:gridCol w:w="170"/>
                        <w:gridCol w:w="30"/>
                        <w:gridCol w:w="18"/>
                        <w:gridCol w:w="89"/>
                        <w:gridCol w:w="47"/>
                        <w:gridCol w:w="166"/>
                        <w:gridCol w:w="189"/>
                        <w:gridCol w:w="10"/>
                        <w:gridCol w:w="207"/>
                        <w:gridCol w:w="86"/>
                        <w:gridCol w:w="70"/>
                        <w:gridCol w:w="8"/>
                        <w:gridCol w:w="78"/>
                        <w:gridCol w:w="75"/>
                        <w:gridCol w:w="77"/>
                        <w:gridCol w:w="122"/>
                        <w:gridCol w:w="157"/>
                        <w:gridCol w:w="183"/>
                        <w:gridCol w:w="55"/>
                        <w:gridCol w:w="2"/>
                        <w:gridCol w:w="283"/>
                        <w:gridCol w:w="254"/>
                        <w:gridCol w:w="76"/>
                        <w:gridCol w:w="119"/>
                        <w:gridCol w:w="23"/>
                        <w:gridCol w:w="144"/>
                        <w:gridCol w:w="942"/>
                        <w:gridCol w:w="161"/>
                        <w:gridCol w:w="173"/>
                        <w:gridCol w:w="71"/>
                        <w:gridCol w:w="6"/>
                        <w:gridCol w:w="13"/>
                        <w:gridCol w:w="2"/>
                        <w:gridCol w:w="8"/>
                        <w:gridCol w:w="76"/>
                        <w:gridCol w:w="1845"/>
                        <w:gridCol w:w="345"/>
                        <w:gridCol w:w="47"/>
                        <w:gridCol w:w="1670"/>
                        <w:gridCol w:w="13"/>
                      </w:tblGrid>
                      <w:tr w:rsidR="00000000" w14:paraId="754D2901" w14:textId="77777777">
                        <w:tblPrEx>
                          <w:tblCellMar>
                            <w:top w:w="0" w:type="dxa"/>
                            <w:bottom w:w="0" w:type="dxa"/>
                          </w:tblCellMar>
                        </w:tblPrEx>
                        <w:trPr>
                          <w:gridAfter w:val="6"/>
                          <w:wAfter w:w="1996" w:type="dxa"/>
                          <w:trHeight w:val="188"/>
                        </w:trPr>
                        <w:tc>
                          <w:tcPr>
                            <w:tcW w:w="2280" w:type="dxa"/>
                            <w:gridSpan w:val="24"/>
                            <w:tcBorders>
                              <w:top w:val="single" w:sz="4" w:space="0" w:color="0E0F1B"/>
                              <w:left w:val="single" w:sz="4" w:space="0" w:color="000000"/>
                              <w:right w:val="single" w:sz="4" w:space="0" w:color="000001"/>
                            </w:tcBorders>
                            <w:shd w:val="clear" w:color="auto" w:fill="5E64A8"/>
                            <w:vAlign w:val="center"/>
                          </w:tcPr>
                          <w:p w14:paraId="518C25DE" w14:textId="77777777" w:rsidR="00000000" w:rsidRDefault="00A450E1">
                            <w:pPr>
                              <w:pStyle w:val="Defaul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Term </w:t>
                            </w:r>
                          </w:p>
                        </w:tc>
                        <w:tc>
                          <w:tcPr>
                            <w:tcW w:w="3942" w:type="dxa"/>
                            <w:gridSpan w:val="54"/>
                            <w:tcBorders>
                              <w:top w:val="single" w:sz="4" w:space="0" w:color="0E0F1B"/>
                              <w:left w:val="single" w:sz="4" w:space="0" w:color="000001"/>
                              <w:right w:val="single" w:sz="4" w:space="0" w:color="000001"/>
                            </w:tcBorders>
                            <w:shd w:val="clear" w:color="auto" w:fill="5E64A8"/>
                            <w:vAlign w:val="center"/>
                          </w:tcPr>
                          <w:p w14:paraId="08958C7E" w14:textId="77777777" w:rsidR="00000000" w:rsidRDefault="00A450E1">
                            <w:pPr>
                              <w:pStyle w:val="Defaul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Description </w:t>
                            </w:r>
                          </w:p>
                        </w:tc>
                        <w:tc>
                          <w:tcPr>
                            <w:tcW w:w="1495" w:type="dxa"/>
                            <w:gridSpan w:val="12"/>
                            <w:tcBorders>
                              <w:top w:val="single" w:sz="4" w:space="0" w:color="0E0F1B"/>
                              <w:left w:val="single" w:sz="4" w:space="0" w:color="000001"/>
                              <w:right w:val="single" w:sz="4" w:space="0" w:color="000001"/>
                            </w:tcBorders>
                            <w:shd w:val="clear" w:color="auto" w:fill="5E64A8"/>
                            <w:vAlign w:val="center"/>
                          </w:tcPr>
                          <w:p w14:paraId="6C3B8541" w14:textId="77777777" w:rsidR="00000000" w:rsidRDefault="00A450E1">
                            <w:pPr>
                              <w:pStyle w:val="Defaul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Unit </w:t>
                            </w:r>
                          </w:p>
                        </w:tc>
                        <w:tc>
                          <w:tcPr>
                            <w:tcW w:w="1370" w:type="dxa"/>
                            <w:gridSpan w:val="8"/>
                            <w:tcBorders>
                              <w:top w:val="single" w:sz="4" w:space="0" w:color="0E0F1B"/>
                              <w:left w:val="single" w:sz="4" w:space="0" w:color="000001"/>
                              <w:right w:val="single" w:sz="4" w:space="0" w:color="000000"/>
                            </w:tcBorders>
                            <w:shd w:val="clear" w:color="auto" w:fill="5E64A8"/>
                            <w:vAlign w:val="center"/>
                          </w:tcPr>
                          <w:p w14:paraId="4273F364" w14:textId="77777777" w:rsidR="00000000" w:rsidRDefault="00A450E1">
                            <w:pPr>
                              <w:pStyle w:val="Default"/>
                              <w:rPr>
                                <w:rFonts w:ascii="Helvetica 55 Roman" w:hAnsi="Helvetica 55 Roman" w:cs="Helvetica 55 Roman"/>
                                <w:color w:val="FFFFFF"/>
                                <w:sz w:val="18"/>
                                <w:szCs w:val="18"/>
                              </w:rPr>
                            </w:pPr>
                            <w:r>
                              <w:rPr>
                                <w:rFonts w:ascii="Helvetica 55 Roman" w:hAnsi="Helvetica 55 Roman" w:cs="Helvetica 55 Roman"/>
                                <w:b/>
                                <w:bCs/>
                                <w:color w:val="FFFFFF"/>
                                <w:sz w:val="18"/>
                                <w:szCs w:val="18"/>
                              </w:rPr>
                              <w:t xml:space="preserve">Abbreviation </w:t>
                            </w:r>
                          </w:p>
                        </w:tc>
                      </w:tr>
                      <w:tr w:rsidR="00000000" w14:paraId="0482D51C" w14:textId="77777777">
                        <w:tblPrEx>
                          <w:tblCellMar>
                            <w:top w:w="0" w:type="dxa"/>
                            <w:bottom w:w="0" w:type="dxa"/>
                          </w:tblCellMar>
                        </w:tblPrEx>
                        <w:trPr>
                          <w:gridAfter w:val="6"/>
                          <w:wAfter w:w="1996" w:type="dxa"/>
                          <w:trHeight w:val="891"/>
                        </w:trPr>
                        <w:tc>
                          <w:tcPr>
                            <w:tcW w:w="2280" w:type="dxa"/>
                            <w:gridSpan w:val="24"/>
                            <w:tcBorders>
                              <w:top w:val="single" w:sz="2" w:space="0" w:color="5E64A8"/>
                              <w:left w:val="single" w:sz="4" w:space="0" w:color="000000"/>
                              <w:right w:val="single" w:sz="4" w:space="0" w:color="000001"/>
                            </w:tcBorders>
                            <w:shd w:val="clear" w:color="auto" w:fill="E8E7F3"/>
                          </w:tcPr>
                          <w:p w14:paraId="2C2AF7D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Luminous flux </w:t>
                            </w:r>
                          </w:p>
                        </w:tc>
                        <w:tc>
                          <w:tcPr>
                            <w:tcW w:w="3942" w:type="dxa"/>
                            <w:gridSpan w:val="54"/>
                            <w:tcBorders>
                              <w:top w:val="single" w:sz="2" w:space="0" w:color="5E64A8"/>
                              <w:left w:val="single" w:sz="4" w:space="0" w:color="000001"/>
                              <w:right w:val="single" w:sz="4" w:space="0" w:color="000001"/>
                            </w:tcBorders>
                            <w:shd w:val="clear" w:color="auto" w:fill="E8E7F3"/>
                          </w:tcPr>
                          <w:p w14:paraId="07738D5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This is the total light emitted from the source (ie. lamp) The peak sensitivity of the human eye occurs at about 555 nanometres, a wavelength that corresponds to green.  At this wavelength, the photometric equivalent of one watt is defined as 680 lumens. </w:t>
                            </w:r>
                          </w:p>
                        </w:tc>
                        <w:tc>
                          <w:tcPr>
                            <w:tcW w:w="1495" w:type="dxa"/>
                            <w:gridSpan w:val="12"/>
                            <w:tcBorders>
                              <w:top w:val="single" w:sz="2" w:space="0" w:color="5E64A8"/>
                              <w:left w:val="single" w:sz="4" w:space="0" w:color="000001"/>
                              <w:right w:val="single" w:sz="4" w:space="0" w:color="000001"/>
                            </w:tcBorders>
                            <w:shd w:val="clear" w:color="auto" w:fill="E8E7F3"/>
                          </w:tcPr>
                          <w:p w14:paraId="7702E57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lumens </w:t>
                            </w:r>
                          </w:p>
                        </w:tc>
                        <w:tc>
                          <w:tcPr>
                            <w:tcW w:w="1370" w:type="dxa"/>
                            <w:gridSpan w:val="8"/>
                            <w:tcBorders>
                              <w:top w:val="single" w:sz="2" w:space="0" w:color="5E64A8"/>
                              <w:left w:val="single" w:sz="4" w:space="0" w:color="000001"/>
                              <w:right w:val="single" w:sz="4" w:space="0" w:color="000000"/>
                            </w:tcBorders>
                            <w:shd w:val="clear" w:color="auto" w:fill="E8E7F3"/>
                          </w:tcPr>
                          <w:p w14:paraId="452A581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lm </w:t>
                            </w:r>
                          </w:p>
                        </w:tc>
                      </w:tr>
                      <w:tr w:rsidR="00000000" w14:paraId="34990418" w14:textId="77777777">
                        <w:tblPrEx>
                          <w:tblCellMar>
                            <w:top w:w="0" w:type="dxa"/>
                            <w:bottom w:w="0" w:type="dxa"/>
                          </w:tblCellMar>
                        </w:tblPrEx>
                        <w:trPr>
                          <w:gridAfter w:val="6"/>
                          <w:wAfter w:w="1996" w:type="dxa"/>
                          <w:trHeight w:val="563"/>
                        </w:trPr>
                        <w:tc>
                          <w:tcPr>
                            <w:tcW w:w="2280" w:type="dxa"/>
                            <w:gridSpan w:val="24"/>
                            <w:tcBorders>
                              <w:left w:val="single" w:sz="4" w:space="0" w:color="000000"/>
                              <w:right w:val="single" w:sz="4" w:space="0" w:color="000001"/>
                            </w:tcBorders>
                          </w:tcPr>
                          <w:p w14:paraId="2A3649B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Luminous intensity </w:t>
                            </w:r>
                          </w:p>
                        </w:tc>
                        <w:tc>
                          <w:tcPr>
                            <w:tcW w:w="3942" w:type="dxa"/>
                            <w:gridSpan w:val="54"/>
                            <w:tcBorders>
                              <w:left w:val="single" w:sz="4" w:space="0" w:color="000001"/>
                              <w:right w:val="single" w:sz="4" w:space="0" w:color="000001"/>
                            </w:tcBorders>
                          </w:tcPr>
                          <w:p w14:paraId="7FB6FAA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This is the part of the luminous flux in a particular direction. Also expressed as the luminous flux per solid angle (or steradian</w:t>
                            </w:r>
                            <w:r>
                              <w:rPr>
                                <w:rFonts w:ascii="Helvetica 55 Roman" w:hAnsi="Helvetica 55 Roman" w:cs="Helvetica 55 Roman"/>
                                <w:sz w:val="10"/>
                                <w:szCs w:val="10"/>
                              </w:rPr>
                              <w:t>15</w:t>
                            </w:r>
                            <w:r>
                              <w:rPr>
                                <w:rFonts w:ascii="Helvetica 55 Roman" w:hAnsi="Helvetica 55 Roman" w:cs="Helvetica 55 Roman"/>
                                <w:sz w:val="18"/>
                                <w:szCs w:val="18"/>
                              </w:rPr>
                              <w:t xml:space="preserve">) </w:t>
                            </w:r>
                          </w:p>
                        </w:tc>
                        <w:tc>
                          <w:tcPr>
                            <w:tcW w:w="1495" w:type="dxa"/>
                            <w:gridSpan w:val="12"/>
                            <w:tcBorders>
                              <w:left w:val="single" w:sz="4" w:space="0" w:color="000001"/>
                              <w:right w:val="single" w:sz="4" w:space="0" w:color="000001"/>
                            </w:tcBorders>
                          </w:tcPr>
                          <w:p w14:paraId="29BB88B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candela </w:t>
                            </w:r>
                          </w:p>
                        </w:tc>
                        <w:tc>
                          <w:tcPr>
                            <w:tcW w:w="1370" w:type="dxa"/>
                            <w:gridSpan w:val="8"/>
                            <w:tcBorders>
                              <w:left w:val="single" w:sz="4" w:space="0" w:color="000001"/>
                              <w:right w:val="single" w:sz="4" w:space="0" w:color="000000"/>
                            </w:tcBorders>
                          </w:tcPr>
                          <w:p w14:paraId="1A79254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cd </w:t>
                            </w:r>
                          </w:p>
                        </w:tc>
                      </w:tr>
                      <w:tr w:rsidR="00000000" w14:paraId="3490A388" w14:textId="77777777">
                        <w:tblPrEx>
                          <w:tblCellMar>
                            <w:top w:w="0" w:type="dxa"/>
                            <w:bottom w:w="0" w:type="dxa"/>
                          </w:tblCellMar>
                        </w:tblPrEx>
                        <w:trPr>
                          <w:gridAfter w:val="6"/>
                          <w:wAfter w:w="1996" w:type="dxa"/>
                          <w:trHeight w:val="838"/>
                        </w:trPr>
                        <w:tc>
                          <w:tcPr>
                            <w:tcW w:w="2280" w:type="dxa"/>
                            <w:gridSpan w:val="24"/>
                            <w:tcBorders>
                              <w:left w:val="single" w:sz="4" w:space="0" w:color="000000"/>
                              <w:right w:val="single" w:sz="4" w:space="0" w:color="000001"/>
                            </w:tcBorders>
                            <w:shd w:val="clear" w:color="auto" w:fill="E8E7F3"/>
                          </w:tcPr>
                          <w:p w14:paraId="6D3ECFA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Luminance (Brillance) </w:t>
                            </w:r>
                          </w:p>
                        </w:tc>
                        <w:tc>
                          <w:tcPr>
                            <w:tcW w:w="3942" w:type="dxa"/>
                            <w:gridSpan w:val="54"/>
                            <w:tcBorders>
                              <w:left w:val="single" w:sz="4" w:space="0" w:color="000001"/>
                              <w:right w:val="single" w:sz="4" w:space="0" w:color="000001"/>
                            </w:tcBorders>
                            <w:shd w:val="clear" w:color="auto" w:fill="E8E7F3"/>
                          </w:tcPr>
                          <w:p w14:paraId="1DB0353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This is the portion of th</w:t>
                            </w:r>
                            <w:r>
                              <w:rPr>
                                <w:rFonts w:ascii="Helvetica 55 Roman" w:hAnsi="Helvetica 55 Roman" w:cs="Helvetica 55 Roman"/>
                                <w:sz w:val="18"/>
                                <w:szCs w:val="18"/>
                              </w:rPr>
                              <w:t xml:space="preserve">e luminous flux emitted in a specific direction by the surface area of a luminous body. This variable is an important term for rating the brightness impression of light sources and illuminated objects. </w:t>
                            </w:r>
                          </w:p>
                        </w:tc>
                        <w:tc>
                          <w:tcPr>
                            <w:tcW w:w="1495" w:type="dxa"/>
                            <w:gridSpan w:val="12"/>
                            <w:tcBorders>
                              <w:left w:val="single" w:sz="4" w:space="0" w:color="000001"/>
                              <w:right w:val="single" w:sz="4" w:space="0" w:color="000001"/>
                            </w:tcBorders>
                            <w:shd w:val="clear" w:color="auto" w:fill="E8E7F3"/>
                          </w:tcPr>
                          <w:p w14:paraId="0BF5939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candelas per square metre and also as candelas per sq</w:t>
                            </w:r>
                            <w:r>
                              <w:rPr>
                                <w:rFonts w:ascii="Helvetica 55 Roman" w:hAnsi="Helvetica 55 Roman" w:cs="Helvetica 55 Roman"/>
                                <w:sz w:val="18"/>
                                <w:szCs w:val="18"/>
                              </w:rPr>
                              <w:t xml:space="preserve">uare centimetre </w:t>
                            </w:r>
                          </w:p>
                        </w:tc>
                        <w:tc>
                          <w:tcPr>
                            <w:tcW w:w="1370" w:type="dxa"/>
                            <w:gridSpan w:val="8"/>
                            <w:tcBorders>
                              <w:left w:val="single" w:sz="4" w:space="0" w:color="000001"/>
                              <w:right w:val="single" w:sz="4" w:space="0" w:color="000000"/>
                            </w:tcBorders>
                            <w:shd w:val="clear" w:color="auto" w:fill="E8E7F3"/>
                          </w:tcPr>
                          <w:p w14:paraId="672C9658" w14:textId="77777777" w:rsidR="00000000" w:rsidRDefault="00A450E1">
                            <w:pPr>
                              <w:pStyle w:val="Default"/>
                              <w:rPr>
                                <w:rFonts w:ascii="Helvetica 55 Roman" w:hAnsi="Helvetica 55 Roman" w:cs="Helvetica 55 Roman"/>
                                <w:sz w:val="10"/>
                                <w:szCs w:val="10"/>
                              </w:rPr>
                            </w:pPr>
                            <w:r>
                              <w:rPr>
                                <w:rFonts w:ascii="Helvetica 55 Roman" w:hAnsi="Helvetica 55 Roman" w:cs="Helvetica 55 Roman"/>
                                <w:sz w:val="18"/>
                                <w:szCs w:val="18"/>
                              </w:rPr>
                              <w:t>cd/m</w:t>
                            </w:r>
                            <w:r>
                              <w:rPr>
                                <w:rFonts w:ascii="Helvetica 55 Roman" w:hAnsi="Helvetica 55 Roman" w:cs="Helvetica 55 Roman"/>
                                <w:sz w:val="10"/>
                                <w:szCs w:val="10"/>
                              </w:rPr>
                              <w:t xml:space="preserve">2 </w:t>
                            </w:r>
                            <w:r>
                              <w:rPr>
                                <w:rFonts w:ascii="Helvetica 55 Roman" w:hAnsi="Helvetica 55 Roman" w:cs="Helvetica 55 Roman"/>
                                <w:sz w:val="18"/>
                                <w:szCs w:val="18"/>
                              </w:rPr>
                              <w:t>cd/cm</w:t>
                            </w:r>
                            <w:r>
                              <w:rPr>
                                <w:rFonts w:ascii="Helvetica 55 Roman" w:hAnsi="Helvetica 55 Roman" w:cs="Helvetica 55 Roman"/>
                                <w:sz w:val="10"/>
                                <w:szCs w:val="10"/>
                              </w:rPr>
                              <w:t xml:space="preserve">2 </w:t>
                            </w:r>
                          </w:p>
                        </w:tc>
                      </w:tr>
                      <w:tr w:rsidR="00000000" w14:paraId="2C646707" w14:textId="77777777">
                        <w:tblPrEx>
                          <w:tblCellMar>
                            <w:top w:w="0" w:type="dxa"/>
                            <w:bottom w:w="0" w:type="dxa"/>
                          </w:tblCellMar>
                        </w:tblPrEx>
                        <w:trPr>
                          <w:gridAfter w:val="6"/>
                          <w:wAfter w:w="1996" w:type="dxa"/>
                          <w:trHeight w:val="673"/>
                        </w:trPr>
                        <w:tc>
                          <w:tcPr>
                            <w:tcW w:w="2280" w:type="dxa"/>
                            <w:gridSpan w:val="24"/>
                            <w:tcBorders>
                              <w:left w:val="single" w:sz="4" w:space="0" w:color="000000"/>
                              <w:right w:val="single" w:sz="4" w:space="0" w:color="000001"/>
                            </w:tcBorders>
                          </w:tcPr>
                          <w:p w14:paraId="2BDE720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Illuminance </w:t>
                            </w:r>
                          </w:p>
                        </w:tc>
                        <w:tc>
                          <w:tcPr>
                            <w:tcW w:w="3942" w:type="dxa"/>
                            <w:gridSpan w:val="54"/>
                            <w:tcBorders>
                              <w:left w:val="single" w:sz="4" w:space="0" w:color="000001"/>
                              <w:right w:val="single" w:sz="4" w:space="0" w:color="000001"/>
                            </w:tcBorders>
                          </w:tcPr>
                          <w:p w14:paraId="0FC90CF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This is the density of the luminous flux incident on a surface. It is the quotient of the luminous flux by the area of the surface when the surface is uniformly illuminated </w:t>
                            </w:r>
                          </w:p>
                        </w:tc>
                        <w:tc>
                          <w:tcPr>
                            <w:tcW w:w="1495" w:type="dxa"/>
                            <w:gridSpan w:val="12"/>
                            <w:tcBorders>
                              <w:left w:val="single" w:sz="4" w:space="0" w:color="000001"/>
                              <w:right w:val="single" w:sz="4" w:space="0" w:color="000001"/>
                            </w:tcBorders>
                          </w:tcPr>
                          <w:p w14:paraId="2F0285A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lux (lumens/square metre) </w:t>
                            </w:r>
                          </w:p>
                        </w:tc>
                        <w:tc>
                          <w:tcPr>
                            <w:tcW w:w="1370" w:type="dxa"/>
                            <w:gridSpan w:val="8"/>
                            <w:tcBorders>
                              <w:left w:val="single" w:sz="4" w:space="0" w:color="000001"/>
                              <w:right w:val="single" w:sz="4" w:space="0" w:color="000000"/>
                            </w:tcBorders>
                          </w:tcPr>
                          <w:p w14:paraId="0ECEBE3A"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lx </w:t>
                            </w:r>
                          </w:p>
                        </w:tc>
                      </w:tr>
                      <w:tr w:rsidR="00000000" w14:paraId="60F32002" w14:textId="77777777">
                        <w:tblPrEx>
                          <w:tblCellMar>
                            <w:top w:w="0" w:type="dxa"/>
                            <w:bottom w:w="0" w:type="dxa"/>
                          </w:tblCellMar>
                        </w:tblPrEx>
                        <w:trPr>
                          <w:gridAfter w:val="6"/>
                          <w:wAfter w:w="1996" w:type="dxa"/>
                          <w:trHeight w:val="616"/>
                        </w:trPr>
                        <w:tc>
                          <w:tcPr>
                            <w:tcW w:w="2280" w:type="dxa"/>
                            <w:gridSpan w:val="24"/>
                            <w:tcBorders>
                              <w:left w:val="single" w:sz="4" w:space="0" w:color="000000"/>
                              <w:right w:val="single" w:sz="4" w:space="0" w:color="000001"/>
                            </w:tcBorders>
                            <w:shd w:val="clear" w:color="auto" w:fill="E8E7F3"/>
                          </w:tcPr>
                          <w:p w14:paraId="22D1349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Luminous efficacy </w:t>
                            </w:r>
                          </w:p>
                        </w:tc>
                        <w:tc>
                          <w:tcPr>
                            <w:tcW w:w="3942" w:type="dxa"/>
                            <w:gridSpan w:val="54"/>
                            <w:tcBorders>
                              <w:left w:val="single" w:sz="4" w:space="0" w:color="000001"/>
                              <w:right w:val="single" w:sz="4" w:space="0" w:color="000001"/>
                            </w:tcBorders>
                            <w:shd w:val="clear" w:color="auto" w:fill="E8E7F3"/>
                          </w:tcPr>
                          <w:p w14:paraId="4EDC1FE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This is the ratio of luminous output to radiometric output of a light source. It can also be applied to the efficiency with which electrical power is converted to visible radiation. </w:t>
                            </w:r>
                          </w:p>
                        </w:tc>
                        <w:tc>
                          <w:tcPr>
                            <w:tcW w:w="1495" w:type="dxa"/>
                            <w:gridSpan w:val="12"/>
                            <w:tcBorders>
                              <w:left w:val="single" w:sz="4" w:space="0" w:color="000001"/>
                              <w:right w:val="single" w:sz="4" w:space="0" w:color="000001"/>
                            </w:tcBorders>
                            <w:shd w:val="clear" w:color="auto" w:fill="E8E7F3"/>
                          </w:tcPr>
                          <w:p w14:paraId="6DC1F6C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lumens per watt of electrical power consumed </w:t>
                            </w:r>
                          </w:p>
                        </w:tc>
                        <w:tc>
                          <w:tcPr>
                            <w:tcW w:w="1370" w:type="dxa"/>
                            <w:gridSpan w:val="8"/>
                            <w:tcBorders>
                              <w:left w:val="single" w:sz="4" w:space="0" w:color="000001"/>
                              <w:right w:val="single" w:sz="4" w:space="0" w:color="000000"/>
                            </w:tcBorders>
                            <w:shd w:val="clear" w:color="auto" w:fill="E8E7F3"/>
                          </w:tcPr>
                          <w:p w14:paraId="452614A7" w14:textId="77777777" w:rsidR="00000000" w:rsidRDefault="00A450E1">
                            <w:pPr>
                              <w:pStyle w:val="Default"/>
                              <w:rPr>
                                <w:rFonts w:cs="Times New Roman"/>
                                <w:color w:val="auto"/>
                              </w:rPr>
                            </w:pPr>
                          </w:p>
                        </w:tc>
                      </w:tr>
                      <w:tr w:rsidR="00000000" w14:paraId="07A88AF9" w14:textId="77777777">
                        <w:tblPrEx>
                          <w:tblCellMar>
                            <w:top w:w="0" w:type="dxa"/>
                            <w:bottom w:w="0" w:type="dxa"/>
                          </w:tblCellMar>
                        </w:tblPrEx>
                        <w:trPr>
                          <w:gridAfter w:val="6"/>
                          <w:wAfter w:w="1996" w:type="dxa"/>
                          <w:trHeight w:val="888"/>
                        </w:trPr>
                        <w:tc>
                          <w:tcPr>
                            <w:tcW w:w="2280" w:type="dxa"/>
                            <w:gridSpan w:val="24"/>
                            <w:tcBorders>
                              <w:left w:val="single" w:sz="4" w:space="0" w:color="000000"/>
                              <w:right w:val="single" w:sz="4" w:space="0" w:color="000001"/>
                            </w:tcBorders>
                          </w:tcPr>
                          <w:p w14:paraId="6A1FE8A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Colour temperature </w:t>
                            </w:r>
                          </w:p>
                        </w:tc>
                        <w:tc>
                          <w:tcPr>
                            <w:tcW w:w="3942" w:type="dxa"/>
                            <w:gridSpan w:val="54"/>
                            <w:tcBorders>
                              <w:left w:val="single" w:sz="4" w:space="0" w:color="000001"/>
                              <w:right w:val="single" w:sz="4" w:space="0" w:color="000001"/>
                            </w:tcBorders>
                          </w:tcPr>
                          <w:p w14:paraId="652D5F8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This related to the temperature of a black body. As a body heats up, it goes through a series of different colours from red through yellow and white, to blue white. The colour appearance of a tungsten filament lamp is similar to a black</w:t>
                            </w:r>
                            <w:r>
                              <w:rPr>
                                <w:rFonts w:ascii="Helvetica 55 Roman" w:hAnsi="Helvetica 55 Roman" w:cs="Helvetica 55 Roman"/>
                                <w:sz w:val="18"/>
                                <w:szCs w:val="18"/>
                              </w:rPr>
                              <w:t xml:space="preserve"> body at the same temperature. </w:t>
                            </w:r>
                          </w:p>
                        </w:tc>
                        <w:tc>
                          <w:tcPr>
                            <w:tcW w:w="1495" w:type="dxa"/>
                            <w:gridSpan w:val="12"/>
                            <w:tcBorders>
                              <w:left w:val="single" w:sz="4" w:space="0" w:color="000001"/>
                              <w:right w:val="single" w:sz="4" w:space="0" w:color="000001"/>
                            </w:tcBorders>
                          </w:tcPr>
                          <w:p w14:paraId="18B5B5FA"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Kelvin </w:t>
                            </w:r>
                          </w:p>
                        </w:tc>
                        <w:tc>
                          <w:tcPr>
                            <w:tcW w:w="1370" w:type="dxa"/>
                            <w:gridSpan w:val="8"/>
                            <w:tcBorders>
                              <w:left w:val="single" w:sz="4" w:space="0" w:color="000001"/>
                              <w:right w:val="single" w:sz="4" w:space="0" w:color="000000"/>
                            </w:tcBorders>
                          </w:tcPr>
                          <w:p w14:paraId="0E12F0B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ºK </w:t>
                            </w:r>
                          </w:p>
                        </w:tc>
                      </w:tr>
                      <w:tr w:rsidR="00000000" w14:paraId="572BCDCA" w14:textId="77777777">
                        <w:tblPrEx>
                          <w:tblCellMar>
                            <w:top w:w="0" w:type="dxa"/>
                            <w:bottom w:w="0" w:type="dxa"/>
                          </w:tblCellMar>
                        </w:tblPrEx>
                        <w:trPr>
                          <w:gridAfter w:val="6"/>
                          <w:wAfter w:w="1996" w:type="dxa"/>
                          <w:trHeight w:val="507"/>
                        </w:trPr>
                        <w:tc>
                          <w:tcPr>
                            <w:tcW w:w="2280" w:type="dxa"/>
                            <w:gridSpan w:val="24"/>
                            <w:tcBorders>
                              <w:left w:val="single" w:sz="4" w:space="0" w:color="000000"/>
                              <w:bottom w:val="single" w:sz="4" w:space="0" w:color="000000"/>
                              <w:right w:val="single" w:sz="4" w:space="0" w:color="000001"/>
                            </w:tcBorders>
                            <w:shd w:val="clear" w:color="auto" w:fill="E8E7F3"/>
                          </w:tcPr>
                          <w:p w14:paraId="67E82FA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Colour rendering index </w:t>
                            </w:r>
                          </w:p>
                        </w:tc>
                        <w:tc>
                          <w:tcPr>
                            <w:tcW w:w="3942" w:type="dxa"/>
                            <w:gridSpan w:val="54"/>
                            <w:tcBorders>
                              <w:left w:val="single" w:sz="4" w:space="0" w:color="000001"/>
                              <w:bottom w:val="single" w:sz="4" w:space="0" w:color="000000"/>
                              <w:right w:val="single" w:sz="4" w:space="0" w:color="000001"/>
                            </w:tcBorders>
                            <w:shd w:val="clear" w:color="auto" w:fill="E8E7F3"/>
                          </w:tcPr>
                          <w:p w14:paraId="5179C2A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Characterises the colour rendering quality of the light from a lamp. It is the same for all incandescent lamps by definition and equal to the maximum value of 100. </w:t>
                            </w:r>
                          </w:p>
                        </w:tc>
                        <w:tc>
                          <w:tcPr>
                            <w:tcW w:w="1495" w:type="dxa"/>
                            <w:gridSpan w:val="12"/>
                            <w:tcBorders>
                              <w:left w:val="single" w:sz="4" w:space="0" w:color="000001"/>
                              <w:bottom w:val="single" w:sz="4" w:space="0" w:color="000000"/>
                              <w:right w:val="single" w:sz="4" w:space="0" w:color="000001"/>
                            </w:tcBorders>
                            <w:shd w:val="clear" w:color="auto" w:fill="E8E7F3"/>
                          </w:tcPr>
                          <w:p w14:paraId="472E8E50" w14:textId="77777777" w:rsidR="00000000" w:rsidRDefault="00A450E1">
                            <w:pPr>
                              <w:pStyle w:val="Default"/>
                              <w:rPr>
                                <w:rFonts w:cs="Times New Roman"/>
                                <w:color w:val="auto"/>
                              </w:rPr>
                            </w:pPr>
                          </w:p>
                        </w:tc>
                        <w:tc>
                          <w:tcPr>
                            <w:tcW w:w="1370" w:type="dxa"/>
                            <w:gridSpan w:val="8"/>
                            <w:tcBorders>
                              <w:left w:val="single" w:sz="4" w:space="0" w:color="000001"/>
                              <w:bottom w:val="single" w:sz="4" w:space="0" w:color="000000"/>
                              <w:right w:val="single" w:sz="4" w:space="0" w:color="000000"/>
                            </w:tcBorders>
                            <w:shd w:val="clear" w:color="auto" w:fill="E8E7F3"/>
                          </w:tcPr>
                          <w:p w14:paraId="60166BA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CRI </w:t>
                            </w:r>
                          </w:p>
                        </w:tc>
                      </w:tr>
                    </w:tbl>
                  </w:txbxContent>
                </v:textbox>
                <w10:wrap type="through" anchorx="page" anchory="page"/>
              </v:shape>
            </w:pict>
          </mc:Fallback>
        </mc:AlternateContent>
      </w:r>
    </w:p>
    <w:p w14:paraId="2855FF66" w14:textId="77777777" w:rsidR="00541A14" w:rsidRDefault="00A450E1">
      <w:pPr>
        <w:pStyle w:val="CM43"/>
        <w:rPr>
          <w:rFonts w:ascii="Palatino" w:hAnsi="Palatino" w:cs="Palatino"/>
          <w:sz w:val="20"/>
          <w:szCs w:val="20"/>
        </w:rPr>
      </w:pPr>
      <w:r>
        <w:rPr>
          <w:rFonts w:ascii="Palatino" w:hAnsi="Palatino" w:cs="Palatino"/>
          <w:position w:val="6"/>
          <w:vertAlign w:val="superscript"/>
        </w:rPr>
        <w:t>15</w:t>
      </w:r>
      <w:r>
        <w:rPr>
          <w:rFonts w:ascii="Palatino" w:hAnsi="Palatino" w:cs="Palatino"/>
          <w:sz w:val="20"/>
          <w:szCs w:val="20"/>
        </w:rPr>
        <w:t xml:space="preserve">The steradian is the equivalent in solid geometry to the definition of radian in plane geometry.  The steradian is defined as the unit of measure of a solid angle with its vertex at the centre of a sphere and enclosing an area of the spherical surface equal to that of a square with sides equal in length to the radius.  There are 4π </w:t>
      </w:r>
    </w:p>
    <w:p w14:paraId="0633ADD8" w14:textId="77777777" w:rsidR="00541A14" w:rsidRDefault="00A450E1">
      <w:pPr>
        <w:pStyle w:val="CM162"/>
        <w:spacing w:after="552"/>
        <w:rPr>
          <w:rFonts w:ascii="Palatino" w:hAnsi="Palatino" w:cs="Palatino"/>
          <w:sz w:val="18"/>
          <w:szCs w:val="18"/>
        </w:rPr>
      </w:pPr>
      <w:r>
        <w:rPr>
          <w:rFonts w:ascii="Palatino" w:hAnsi="Palatino" w:cs="Palatino"/>
          <w:sz w:val="18"/>
          <w:szCs w:val="18"/>
        </w:rPr>
        <w:t>steradians in a sphere. For further explanation see</w:t>
      </w:r>
      <w:hyperlink r:id="rId112" w:history="1">
        <w:r>
          <w:rPr>
            <w:rFonts w:ascii="Palatino" w:hAnsi="Palatino" w:cs="Palatino"/>
            <w:sz w:val="18"/>
            <w:szCs w:val="18"/>
          </w:rPr>
          <w:t xml:space="preserve"> IALA Recommendation E-200-3. </w:t>
        </w:r>
      </w:hyperlink>
    </w:p>
    <w:p w14:paraId="07A0FD61" w14:textId="77777777" w:rsidR="00541A14" w:rsidRDefault="00DD420F">
      <w:pPr>
        <w:pStyle w:val="Default"/>
        <w:framePr w:w="10739" w:wrap="auto" w:vAnchor="page" w:hAnchor="page" w:x="1434" w:y="16278"/>
        <w:rPr>
          <w:rFonts w:ascii="Palatino" w:hAnsi="Palatino" w:cs="Palatino"/>
          <w:color w:val="auto"/>
          <w:sz w:val="18"/>
          <w:szCs w:val="18"/>
        </w:rPr>
      </w:pPr>
      <w:r>
        <w:rPr>
          <w:rFonts w:ascii="Palatino" w:hAnsi="Palatino" w:cs="Palatino"/>
          <w:noProof/>
          <w:color w:val="auto"/>
          <w:sz w:val="18"/>
          <w:szCs w:val="18"/>
        </w:rPr>
        <w:drawing>
          <wp:inline distT="0" distB="0" distL="0" distR="0" wp14:anchorId="6479CD9B" wp14:editId="2FD1B011">
            <wp:extent cx="7542530" cy="420370"/>
            <wp:effectExtent l="0" t="0" r="1270" b="1143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462537C6" w14:textId="77777777" w:rsidR="00541A14" w:rsidRDefault="00DD420F">
      <w:pPr>
        <w:pStyle w:val="Default"/>
        <w:pageBreakBefore/>
        <w:framePr w:w="24763" w:wrap="auto" w:vAnchor="page" w:hAnchor="page" w:x="101" w:y="1"/>
        <w:spacing w:after="700"/>
        <w:rPr>
          <w:rFonts w:ascii="Palatino" w:hAnsi="Palatino" w:cs="Palatino"/>
          <w:color w:val="auto"/>
          <w:sz w:val="18"/>
          <w:szCs w:val="18"/>
        </w:rPr>
      </w:pPr>
      <w:r>
        <w:rPr>
          <w:rFonts w:ascii="Palatino" w:hAnsi="Palatino" w:cs="Palatino"/>
          <w:noProof/>
          <w:color w:val="auto"/>
          <w:sz w:val="18"/>
          <w:szCs w:val="18"/>
        </w:rPr>
        <w:drawing>
          <wp:inline distT="0" distB="0" distL="0" distR="0" wp14:anchorId="1A5C4037" wp14:editId="60182EC2">
            <wp:extent cx="7553960" cy="115316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1CD96FFD"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Threshold of Illuminance </w:t>
      </w:r>
    </w:p>
    <w:p w14:paraId="5CA9F43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 physical terms, the threshold of illuminance is the lowest level of illuminance from a point source of light, against a given background level of luminance, that causes a visual response at the eye. </w:t>
      </w:r>
    </w:p>
    <w:p w14:paraId="7F0A710A" w14:textId="77777777" w:rsidR="00541A14" w:rsidRDefault="00A450E1">
      <w:pPr>
        <w:pStyle w:val="CM165"/>
        <w:spacing w:after="85" w:line="268" w:lineRule="atLeast"/>
        <w:ind w:right="250"/>
        <w:rPr>
          <w:rFonts w:ascii="Palatino" w:hAnsi="Palatino" w:cs="Palatino"/>
          <w:color w:val="000000"/>
          <w:sz w:val="20"/>
          <w:szCs w:val="20"/>
        </w:rPr>
      </w:pPr>
      <w:r>
        <w:rPr>
          <w:rFonts w:ascii="Palatino" w:hAnsi="Palatino" w:cs="Palatino"/>
          <w:color w:val="000000"/>
          <w:sz w:val="20"/>
          <w:szCs w:val="20"/>
        </w:rPr>
        <w:t xml:space="preserve">For visual signalling applications, the threshold of illuminance (E) is taken to be 0.2 micro lux at the eye of the observer. </w:t>
      </w:r>
    </w:p>
    <w:p w14:paraId="4E9F7A0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In the case of leading lights of limited range and with a high level of shore illumination, the above </w:t>
      </w:r>
    </w:p>
    <w:p w14:paraId="57193FE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figures may be found too low. It is recommended that to observe the relative position of the lights</w:t>
      </w:r>
    </w:p>
    <w:p w14:paraId="7EB44C56"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easily and to derive the maximum possible accuracy from leading and sector lights, it is generallynecessary to have a minimum illuminance of 1 micro lux</w:t>
      </w:r>
      <w:r>
        <w:rPr>
          <w:rFonts w:ascii="Palatino" w:hAnsi="Palatino" w:cs="Palatino"/>
          <w:color w:val="000000"/>
          <w:position w:val="7"/>
          <w:sz w:val="11"/>
          <w:szCs w:val="11"/>
          <w:vertAlign w:val="superscript"/>
        </w:rPr>
        <w:t>16</w:t>
      </w:r>
      <w:r>
        <w:rPr>
          <w:rFonts w:ascii="Palatino" w:hAnsi="Palatino" w:cs="Palatino"/>
          <w:color w:val="000000"/>
          <w:sz w:val="20"/>
          <w:szCs w:val="20"/>
        </w:rPr>
        <w:t xml:space="preserve"> at the eye of the observer. This condition is to be met at the outer limits of the useful segment for the minimum meteorological visibility underwhich the leading lights are to be used. </w:t>
      </w:r>
    </w:p>
    <w:p w14:paraId="65E188E2" w14:textId="77777777" w:rsidR="00541A14" w:rsidRDefault="00A450E1">
      <w:pPr>
        <w:pStyle w:val="CM172"/>
        <w:spacing w:after="202" w:line="273" w:lineRule="atLeast"/>
        <w:ind w:right="487"/>
        <w:rPr>
          <w:rFonts w:ascii="Palatino" w:hAnsi="Palatino" w:cs="Palatino"/>
          <w:color w:val="000000"/>
          <w:sz w:val="20"/>
          <w:szCs w:val="20"/>
        </w:rPr>
      </w:pPr>
      <w:r>
        <w:rPr>
          <w:rFonts w:ascii="Palatino" w:hAnsi="Palatino" w:cs="Palatino"/>
          <w:color w:val="000000"/>
          <w:sz w:val="20"/>
          <w:szCs w:val="20"/>
        </w:rPr>
        <w:t xml:space="preserve">For lights on floating aids, care must be taken to provide adequate vertical divergence so that theminimum illuminance at the observer is maintained as the floating aid rolls and pitches. </w:t>
      </w:r>
    </w:p>
    <w:p w14:paraId="184D39DE" w14:textId="77777777" w:rsidR="00541A14" w:rsidRDefault="00A450E1">
      <w:pPr>
        <w:pStyle w:val="CM77"/>
        <w:ind w:left="365"/>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65B1C579" w14:textId="77777777" w:rsidR="00541A14" w:rsidRDefault="009E3F25">
      <w:pPr>
        <w:pStyle w:val="CM77"/>
        <w:ind w:left="365"/>
        <w:rPr>
          <w:rFonts w:ascii="Palatino" w:hAnsi="Palatino" w:cs="Palatino"/>
          <w:color w:val="000000"/>
          <w:sz w:val="20"/>
          <w:szCs w:val="20"/>
        </w:rPr>
      </w:pPr>
      <w:hyperlink r:id="rId114" w:history="1">
        <w:r w:rsidR="00A450E1">
          <w:rPr>
            <w:rFonts w:ascii="Palatino" w:hAnsi="Palatino" w:cs="Palatino"/>
            <w:i/>
            <w:iCs/>
            <w:color w:val="000000"/>
            <w:sz w:val="20"/>
            <w:szCs w:val="20"/>
          </w:rPr>
          <w:t xml:space="preserve">IALA Recommendation E-200-2 on Maritime Signal Lights - Part 2 - Calculation, Definition and </w:t>
        </w:r>
      </w:hyperlink>
    </w:p>
    <w:p w14:paraId="6FF1AC43" w14:textId="77777777" w:rsidR="00541A14" w:rsidRDefault="009E3F25">
      <w:pPr>
        <w:pStyle w:val="CM173"/>
        <w:spacing w:after="340" w:line="271" w:lineRule="atLeast"/>
        <w:ind w:left="365"/>
        <w:rPr>
          <w:rFonts w:ascii="Palatino" w:hAnsi="Palatino" w:cs="Palatino"/>
          <w:color w:val="000000"/>
          <w:sz w:val="20"/>
          <w:szCs w:val="20"/>
        </w:rPr>
      </w:pPr>
      <w:hyperlink r:id="rId115" w:history="1">
        <w:r w:rsidR="00A450E1">
          <w:rPr>
            <w:rFonts w:ascii="Palatino" w:hAnsi="Palatino" w:cs="Palatino"/>
            <w:i/>
            <w:iCs/>
            <w:color w:val="000000"/>
            <w:sz w:val="20"/>
            <w:szCs w:val="20"/>
          </w:rPr>
          <w:t xml:space="preserve">Determination of Luminous Range. </w:t>
        </w:r>
      </w:hyperlink>
    </w:p>
    <w:p w14:paraId="256A8977"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Luminous intensity </w:t>
      </w:r>
    </w:p>
    <w:p w14:paraId="03286F4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luminous intensity of a navigation light is directly proportional to the luminance of the light source. </w:t>
      </w:r>
    </w:p>
    <w:p w14:paraId="4141B07D"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The size of the light source is inversely proportional to its luminance and directly proportional to thedivergence of the optic system. </w:t>
      </w:r>
    </w:p>
    <w:p w14:paraId="101C8003" w14:textId="77777777" w:rsidR="00541A14" w:rsidRDefault="00A450E1">
      <w:pPr>
        <w:pStyle w:val="CM173"/>
        <w:spacing w:after="340" w:line="271" w:lineRule="atLeast"/>
        <w:ind w:right="602"/>
        <w:rPr>
          <w:rFonts w:ascii="Palatino" w:hAnsi="Palatino" w:cs="Palatino"/>
          <w:color w:val="000000"/>
          <w:sz w:val="20"/>
          <w:szCs w:val="20"/>
        </w:rPr>
      </w:pPr>
      <w:r>
        <w:rPr>
          <w:rFonts w:ascii="Palatino" w:hAnsi="Palatino" w:cs="Palatino"/>
          <w:color w:val="000000"/>
          <w:sz w:val="20"/>
          <w:szCs w:val="20"/>
        </w:rPr>
        <w:t xml:space="preserve">Candela (cd) is the measurement unit used to quantify the luminous intensity of a lighted aid tonavigation. </w:t>
      </w:r>
    </w:p>
    <w:p w14:paraId="306799FB"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Inverse Square Law </w:t>
      </w:r>
    </w:p>
    <w:p w14:paraId="118AF014" w14:textId="77777777" w:rsidR="00541A14" w:rsidRDefault="00A450E1">
      <w:pPr>
        <w:pStyle w:val="CM185"/>
        <w:spacing w:after="140" w:line="291" w:lineRule="atLeast"/>
        <w:rPr>
          <w:rFonts w:ascii="Palatino" w:hAnsi="Palatino" w:cs="Palatino"/>
          <w:color w:val="000000"/>
          <w:sz w:val="20"/>
          <w:szCs w:val="20"/>
        </w:rPr>
      </w:pPr>
      <w:r>
        <w:rPr>
          <w:rFonts w:ascii="Palatino" w:hAnsi="Palatino" w:cs="Palatino"/>
          <w:color w:val="000000"/>
          <w:sz w:val="20"/>
          <w:szCs w:val="20"/>
        </w:rPr>
        <w:t xml:space="preserve">Light emitted from a source radiates out in all directions. For a point source, the wave fronts of lightcan be imagined to generate a series of spherical surfaces. As shown in Figure 9, the further the lighttravels from the source, the greater is the surface area of the sphere and consequently, the lower the illuminance. Since illuminance is measured in lumens per square metre, and the surface area of a sphere increases in proportion to the square of the radius, the illuminance decreases in proportion tothe square of the distance from the source. The decline in illuminance with distance is described as an </w:t>
      </w:r>
    </w:p>
    <w:p w14:paraId="1A28E418" w14:textId="77777777" w:rsidR="00541A14" w:rsidRDefault="00DD420F">
      <w:pPr>
        <w:pStyle w:val="Default"/>
        <w:framePr w:w="7648" w:wrap="auto" w:vAnchor="page" w:hAnchor="page" w:x="1418" w:y="12132"/>
        <w:spacing w:after="140"/>
        <w:rPr>
          <w:rFonts w:ascii="Palatino" w:hAnsi="Palatino" w:cs="Palatino"/>
          <w:sz w:val="20"/>
          <w:szCs w:val="20"/>
        </w:rPr>
      </w:pPr>
      <w:r>
        <w:rPr>
          <w:rFonts w:ascii="Palatino" w:hAnsi="Palatino" w:cs="Palatino"/>
          <w:noProof/>
          <w:sz w:val="20"/>
          <w:szCs w:val="20"/>
        </w:rPr>
        <w:drawing>
          <wp:inline distT="0" distB="0" distL="0" distR="0" wp14:anchorId="1AC6ABD6" wp14:editId="52BADEAC">
            <wp:extent cx="4344670" cy="14198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344670" cy="1419860"/>
                    </a:xfrm>
                    <a:prstGeom prst="rect">
                      <a:avLst/>
                    </a:prstGeom>
                    <a:noFill/>
                    <a:ln>
                      <a:noFill/>
                    </a:ln>
                  </pic:spPr>
                </pic:pic>
              </a:graphicData>
            </a:graphic>
          </wp:inline>
        </w:drawing>
      </w:r>
    </w:p>
    <w:p w14:paraId="2DC3225E" w14:textId="77777777" w:rsidR="00541A14" w:rsidRDefault="00A450E1">
      <w:pPr>
        <w:pStyle w:val="CM205"/>
        <w:spacing w:after="502"/>
        <w:jc w:val="center"/>
        <w:rPr>
          <w:rFonts w:ascii="Palatino" w:hAnsi="Palatino" w:cs="Palatino"/>
          <w:color w:val="000000"/>
          <w:sz w:val="20"/>
          <w:szCs w:val="20"/>
        </w:rPr>
      </w:pPr>
      <w:r>
        <w:rPr>
          <w:rFonts w:ascii="Palatino" w:hAnsi="Palatino" w:cs="Palatino"/>
          <w:i/>
          <w:iCs/>
          <w:color w:val="000000"/>
          <w:sz w:val="20"/>
          <w:szCs w:val="20"/>
        </w:rPr>
        <w:t xml:space="preserve">Figure 9 – Illustration of the Inverse-Square-Law concept. </w:t>
      </w:r>
    </w:p>
    <w:p w14:paraId="320A4C16" w14:textId="77777777" w:rsidR="00541A14" w:rsidRDefault="00A450E1">
      <w:pPr>
        <w:pStyle w:val="CM163"/>
        <w:spacing w:after="642" w:line="216" w:lineRule="atLeast"/>
        <w:ind w:right="212"/>
        <w:jc w:val="both"/>
        <w:rPr>
          <w:rFonts w:ascii="Palatino" w:hAnsi="Palatino" w:cs="Palatino"/>
          <w:color w:val="000000"/>
          <w:sz w:val="20"/>
          <w:szCs w:val="20"/>
        </w:rPr>
      </w:pPr>
      <w:r>
        <w:rPr>
          <w:rFonts w:ascii="Palatino" w:hAnsi="Palatino" w:cs="Palatino"/>
          <w:color w:val="000000"/>
          <w:position w:val="6"/>
          <w:sz w:val="20"/>
          <w:szCs w:val="20"/>
          <w:vertAlign w:val="superscript"/>
        </w:rPr>
        <w:t>16</w:t>
      </w:r>
      <w:r>
        <w:rPr>
          <w:rFonts w:ascii="Palatino" w:hAnsi="Palatino" w:cs="Palatino"/>
          <w:color w:val="000000"/>
          <w:sz w:val="20"/>
          <w:szCs w:val="20"/>
        </w:rPr>
        <w:t xml:space="preserve">This condition is to be met at the outer limits of the useful segment for the minimum meteorological visibilityunder which the leading lights are to be used. </w:t>
      </w:r>
    </w:p>
    <w:p w14:paraId="5015BCF6"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65FD5395" wp14:editId="427C78EF">
            <wp:extent cx="7553960" cy="420370"/>
            <wp:effectExtent l="0" t="0" r="0" b="1143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6CFF0274" w14:textId="77777777" w:rsidR="00541A14" w:rsidRDefault="00DD420F">
      <w:pPr>
        <w:pStyle w:val="Default"/>
        <w:pageBreakBefore/>
        <w:framePr w:w="12857" w:wrap="auto" w:vAnchor="page" w:hAnchor="page" w:x="101" w:y="1"/>
        <w:spacing w:after="700"/>
        <w:rPr>
          <w:rFonts w:ascii="Palatino" w:hAnsi="Palatino" w:cs="Palatino"/>
          <w:sz w:val="20"/>
          <w:szCs w:val="20"/>
        </w:rPr>
      </w:pPr>
      <w:r>
        <w:rPr>
          <w:rFonts w:ascii="Palatino" w:hAnsi="Palatino" w:cs="Palatino"/>
          <w:noProof/>
          <w:sz w:val="20"/>
          <w:szCs w:val="20"/>
        </w:rPr>
        <w:drawing>
          <wp:inline distT="0" distB="0" distL="0" distR="0" wp14:anchorId="3C3841B1" wp14:editId="553CE71C">
            <wp:extent cx="7553960" cy="115316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0E0E1B39"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Allard’s Law </w:t>
      </w:r>
    </w:p>
    <w:p w14:paraId="4E370F94"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illuminance of a light source reaching an observer’s eye determines whether the light is seen.  The relationship between the illuminance produced at the observer’s eye, the luminous intensity of the light source, the distance to the observer and the atmospheric transmissivity is given by Allard’s Law: </w:t>
      </w:r>
    </w:p>
    <w:p w14:paraId="315D919C" w14:textId="77777777" w:rsidR="00541A14" w:rsidRDefault="00A450E1">
      <w:pPr>
        <w:pStyle w:val="CM194"/>
        <w:spacing w:after="138"/>
        <w:jc w:val="center"/>
        <w:rPr>
          <w:rFonts w:ascii="Times New Roman" w:hAnsi="Times New Roman"/>
          <w:color w:val="000000"/>
          <w:sz w:val="13"/>
          <w:szCs w:val="13"/>
        </w:rPr>
      </w:pPr>
      <w:r>
        <w:rPr>
          <w:rFonts w:ascii="Times New Roman" w:hAnsi="Times New Roman"/>
          <w:i/>
          <w:iCs/>
          <w:color w:val="000000"/>
          <w:sz w:val="23"/>
          <w:szCs w:val="23"/>
        </w:rPr>
        <w:t xml:space="preserve">I </w:t>
      </w:r>
      <w:r>
        <w:rPr>
          <w:rFonts w:ascii="Times New Roman" w:hAnsi="Times New Roman"/>
          <w:color w:val="000000"/>
          <w:sz w:val="23"/>
          <w:szCs w:val="23"/>
        </w:rPr>
        <w:t>×</w:t>
      </w:r>
      <w:r>
        <w:rPr>
          <w:rFonts w:ascii="Times New Roman" w:hAnsi="Times New Roman"/>
          <w:i/>
          <w:iCs/>
          <w:color w:val="000000"/>
          <w:sz w:val="23"/>
          <w:szCs w:val="23"/>
        </w:rPr>
        <w:t>T</w:t>
      </w:r>
      <w:r>
        <w:rPr>
          <w:rFonts w:ascii="Times New Roman" w:hAnsi="Times New Roman"/>
          <w:i/>
          <w:iCs/>
          <w:color w:val="000000"/>
          <w:position w:val="11"/>
          <w:sz w:val="13"/>
          <w:szCs w:val="13"/>
          <w:vertAlign w:val="superscript"/>
        </w:rPr>
        <w:t xml:space="preserve">d </w:t>
      </w:r>
    </w:p>
    <w:p w14:paraId="6DA7D646" w14:textId="77777777" w:rsidR="00541A14" w:rsidRDefault="00A450E1">
      <w:pPr>
        <w:pStyle w:val="Default"/>
        <w:ind w:left="3755"/>
        <w:rPr>
          <w:rFonts w:ascii="Times New Roman" w:hAnsi="Times New Roman" w:cs="Times New Roman"/>
          <w:sz w:val="23"/>
          <w:szCs w:val="23"/>
        </w:rPr>
      </w:pPr>
      <w:r>
        <w:rPr>
          <w:rFonts w:ascii="Times New Roman" w:hAnsi="Times New Roman" w:cs="Times New Roman"/>
          <w:i/>
          <w:iCs/>
          <w:sz w:val="23"/>
          <w:szCs w:val="23"/>
        </w:rPr>
        <w:t xml:space="preserve">E </w:t>
      </w:r>
      <w:r>
        <w:rPr>
          <w:rFonts w:ascii="Times New Roman" w:hAnsi="Times New Roman" w:cs="Times New Roman"/>
          <w:sz w:val="23"/>
          <w:szCs w:val="23"/>
        </w:rPr>
        <w:t xml:space="preserve">= </w:t>
      </w:r>
    </w:p>
    <w:p w14:paraId="5AD43C01" w14:textId="77777777" w:rsidR="00541A14" w:rsidRDefault="00A450E1">
      <w:pPr>
        <w:pStyle w:val="CM1"/>
        <w:jc w:val="center"/>
        <w:rPr>
          <w:rFonts w:ascii="Times New Roman" w:hAnsi="Times New Roman"/>
          <w:color w:val="000000"/>
          <w:sz w:val="20"/>
          <w:szCs w:val="20"/>
        </w:rPr>
      </w:pPr>
      <w:r>
        <w:rPr>
          <w:rFonts w:ascii="Times New Roman" w:hAnsi="Times New Roman"/>
          <w:i/>
          <w:iCs/>
          <w:color w:val="000000"/>
          <w:position w:val="-5"/>
          <w:sz w:val="23"/>
          <w:szCs w:val="23"/>
          <w:vertAlign w:val="subscript"/>
        </w:rPr>
        <w:t xml:space="preserve">d </w:t>
      </w:r>
      <w:r>
        <w:rPr>
          <w:rFonts w:ascii="Times New Roman" w:hAnsi="Times New Roman"/>
          <w:color w:val="000000"/>
          <w:position w:val="5"/>
          <w:sz w:val="20"/>
          <w:szCs w:val="20"/>
          <w:vertAlign w:val="superscript"/>
        </w:rPr>
        <w:t xml:space="preserve">2 </w:t>
      </w:r>
    </w:p>
    <w:p w14:paraId="1B0EE6E1" w14:textId="77777777" w:rsidR="00541A14" w:rsidRDefault="00A450E1">
      <w:pPr>
        <w:pStyle w:val="CM165"/>
        <w:spacing w:after="85" w:line="346" w:lineRule="atLeast"/>
        <w:rPr>
          <w:rFonts w:ascii="Palatino" w:hAnsi="Palatino" w:cs="Palatino"/>
          <w:color w:val="000000"/>
          <w:sz w:val="20"/>
          <w:szCs w:val="20"/>
        </w:rPr>
      </w:pPr>
      <w:r>
        <w:rPr>
          <w:rFonts w:ascii="Palatino" w:hAnsi="Palatino" w:cs="Palatino"/>
          <w:color w:val="000000"/>
          <w:sz w:val="20"/>
          <w:szCs w:val="20"/>
        </w:rPr>
        <w:t xml:space="preserve">where: </w:t>
      </w:r>
      <w:r>
        <w:rPr>
          <w:rFonts w:ascii="Palatino" w:hAnsi="Palatino" w:cs="Palatino"/>
          <w:i/>
          <w:iCs/>
          <w:color w:val="000000"/>
          <w:sz w:val="20"/>
          <w:szCs w:val="20"/>
        </w:rPr>
        <w:t>E</w:t>
      </w:r>
      <w:r>
        <w:rPr>
          <w:rFonts w:ascii="Palatino" w:hAnsi="Palatino" w:cs="Palatino"/>
          <w:color w:val="000000"/>
          <w:sz w:val="20"/>
          <w:szCs w:val="20"/>
        </w:rPr>
        <w:t xml:space="preserve"> = illuminance at the observer’s eye (lm/m</w:t>
      </w:r>
      <w:r>
        <w:rPr>
          <w:rFonts w:ascii="Palatino" w:hAnsi="Palatino" w:cs="Palatino"/>
          <w:color w:val="000000"/>
          <w:position w:val="7"/>
          <w:sz w:val="11"/>
          <w:szCs w:val="11"/>
          <w:vertAlign w:val="superscript"/>
        </w:rPr>
        <w:t>2</w:t>
      </w:r>
      <w:r>
        <w:rPr>
          <w:rFonts w:ascii="Palatino" w:hAnsi="Palatino" w:cs="Palatino"/>
          <w:color w:val="000000"/>
          <w:sz w:val="20"/>
          <w:szCs w:val="20"/>
        </w:rPr>
        <w:t xml:space="preserve">) I = effective intensity of the light source (cd) T = atmospheric transmissivity d = distance between the light source and the observer.  </w:t>
      </w:r>
    </w:p>
    <w:p w14:paraId="25BC0A86"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(Because T is measured per nautical mile, d in the numerator must also be in nautical miles.  In the denominator, d is in metres) </w:t>
      </w:r>
    </w:p>
    <w:p w14:paraId="39EC86C7"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Allard’s law applies only when the luminance of the background is small compared to the average illuminance of the light. </w:t>
      </w:r>
    </w:p>
    <w:p w14:paraId="41FB60CD" w14:textId="77777777" w:rsidR="00541A14" w:rsidRDefault="00A450E1">
      <w:pPr>
        <w:pStyle w:val="CM169"/>
        <w:spacing w:after="65" w:line="291" w:lineRule="atLeast"/>
        <w:rPr>
          <w:rFonts w:ascii="Palatino" w:hAnsi="Palatino" w:cs="Palatino"/>
          <w:color w:val="000000"/>
          <w:sz w:val="20"/>
          <w:szCs w:val="20"/>
        </w:rPr>
      </w:pPr>
      <w:r>
        <w:rPr>
          <w:rFonts w:ascii="Palatino" w:hAnsi="Palatino" w:cs="Palatino"/>
          <w:color w:val="000000"/>
          <w:sz w:val="20"/>
          <w:szCs w:val="20"/>
        </w:rPr>
        <w:t xml:space="preserve">Where average background luminance is large, as typically happens during the daytime, the equation becomes: </w:t>
      </w:r>
    </w:p>
    <w:p w14:paraId="63BD7083" w14:textId="77777777" w:rsidR="00541A14" w:rsidRDefault="00A450E1">
      <w:pPr>
        <w:pStyle w:val="CM194"/>
        <w:spacing w:after="138"/>
        <w:jc w:val="center"/>
        <w:rPr>
          <w:rFonts w:ascii="Times New Roman" w:hAnsi="Times New Roman"/>
          <w:color w:val="000000"/>
          <w:sz w:val="13"/>
          <w:szCs w:val="13"/>
        </w:rPr>
      </w:pPr>
      <w:r>
        <w:rPr>
          <w:rFonts w:ascii="Times New Roman" w:hAnsi="Times New Roman"/>
          <w:i/>
          <w:iCs/>
          <w:color w:val="000000"/>
          <w:sz w:val="23"/>
          <w:szCs w:val="23"/>
        </w:rPr>
        <w:t>T</w:t>
      </w:r>
      <w:r>
        <w:rPr>
          <w:rFonts w:ascii="Times New Roman" w:hAnsi="Times New Roman"/>
          <w:i/>
          <w:iCs/>
          <w:color w:val="000000"/>
          <w:position w:val="11"/>
          <w:sz w:val="13"/>
          <w:szCs w:val="13"/>
          <w:vertAlign w:val="superscript"/>
        </w:rPr>
        <w:t xml:space="preserve">d </w:t>
      </w:r>
    </w:p>
    <w:p w14:paraId="75923BD6" w14:textId="77777777" w:rsidR="00541A14" w:rsidRDefault="00A450E1">
      <w:pPr>
        <w:pStyle w:val="Default"/>
        <w:ind w:left="2782"/>
        <w:rPr>
          <w:rFonts w:ascii="Times New Roman" w:hAnsi="Times New Roman" w:cs="Times New Roman"/>
          <w:sz w:val="20"/>
          <w:szCs w:val="20"/>
        </w:rPr>
      </w:pPr>
      <w:r>
        <w:rPr>
          <w:rFonts w:ascii="Times New Roman" w:hAnsi="Times New Roman" w:cs="Times New Roman"/>
          <w:i/>
          <w:iCs/>
          <w:sz w:val="23"/>
          <w:szCs w:val="23"/>
        </w:rPr>
        <w:t xml:space="preserve">E </w:t>
      </w:r>
      <w:r>
        <w:rPr>
          <w:rFonts w:ascii="Times New Roman" w:hAnsi="Times New Roman" w:cs="Times New Roman"/>
          <w:sz w:val="20"/>
          <w:szCs w:val="20"/>
        </w:rPr>
        <w:t>=[</w:t>
      </w:r>
      <w:r>
        <w:rPr>
          <w:rFonts w:ascii="Times New Roman" w:hAnsi="Times New Roman" w:cs="Times New Roman"/>
          <w:i/>
          <w:iCs/>
          <w:sz w:val="23"/>
          <w:szCs w:val="23"/>
        </w:rPr>
        <w:t xml:space="preserve">I </w:t>
      </w:r>
      <w:r>
        <w:rPr>
          <w:rFonts w:ascii="Times New Roman" w:hAnsi="Times New Roman" w:cs="Times New Roman"/>
          <w:sz w:val="23"/>
          <w:szCs w:val="23"/>
        </w:rPr>
        <w:t>−(</w:t>
      </w:r>
      <w:r>
        <w:rPr>
          <w:rFonts w:ascii="Times New Roman" w:hAnsi="Times New Roman" w:cs="Times New Roman"/>
          <w:i/>
          <w:iCs/>
          <w:sz w:val="23"/>
          <w:szCs w:val="23"/>
        </w:rPr>
        <w:t xml:space="preserve">L </w:t>
      </w:r>
      <w:r>
        <w:rPr>
          <w:rFonts w:ascii="Times New Roman" w:hAnsi="Times New Roman" w:cs="Times New Roman"/>
          <w:sz w:val="23"/>
          <w:szCs w:val="23"/>
        </w:rPr>
        <w:t xml:space="preserve">− </w:t>
      </w:r>
      <w:r>
        <w:rPr>
          <w:rFonts w:ascii="Times New Roman" w:hAnsi="Times New Roman" w:cs="Times New Roman"/>
          <w:i/>
          <w:iCs/>
          <w:sz w:val="23"/>
          <w:szCs w:val="23"/>
        </w:rPr>
        <w:t>L</w:t>
      </w:r>
      <w:r>
        <w:rPr>
          <w:rFonts w:ascii="Times New Roman" w:hAnsi="Times New Roman" w:cs="Times New Roman"/>
          <w:sz w:val="23"/>
          <w:szCs w:val="23"/>
        </w:rPr>
        <w:t>'</w:t>
      </w:r>
      <w:r>
        <w:rPr>
          <w:rFonts w:ascii="Times New Roman" w:hAnsi="Times New Roman" w:cs="Times New Roman"/>
          <w:sz w:val="31"/>
          <w:szCs w:val="31"/>
        </w:rPr>
        <w:t>)</w:t>
      </w:r>
      <w:r>
        <w:rPr>
          <w:rFonts w:ascii="Times New Roman" w:hAnsi="Times New Roman" w:cs="Times New Roman"/>
          <w:i/>
          <w:iCs/>
          <w:sz w:val="23"/>
          <w:szCs w:val="23"/>
        </w:rPr>
        <w:t>A</w:t>
      </w:r>
      <w:r>
        <w:rPr>
          <w:rFonts w:ascii="Times New Roman" w:hAnsi="Times New Roman" w:cs="Times New Roman"/>
          <w:sz w:val="33"/>
          <w:szCs w:val="33"/>
        </w:rPr>
        <w:t>]</w:t>
      </w:r>
      <w:r>
        <w:rPr>
          <w:rFonts w:ascii="Times New Roman" w:hAnsi="Times New Roman" w:cs="Times New Roman"/>
          <w:sz w:val="23"/>
          <w:szCs w:val="23"/>
        </w:rPr>
        <w:t xml:space="preserve">× </w:t>
      </w:r>
      <w:r>
        <w:rPr>
          <w:rFonts w:ascii="Times New Roman" w:hAnsi="Times New Roman" w:cs="Times New Roman"/>
          <w:i/>
          <w:iCs/>
          <w:position w:val="-20"/>
          <w:sz w:val="23"/>
          <w:szCs w:val="23"/>
          <w:vertAlign w:val="subscript"/>
        </w:rPr>
        <w:t xml:space="preserve">d </w:t>
      </w:r>
      <w:r>
        <w:rPr>
          <w:rFonts w:ascii="Times New Roman" w:hAnsi="Times New Roman" w:cs="Times New Roman"/>
          <w:position w:val="-9"/>
          <w:sz w:val="20"/>
          <w:szCs w:val="20"/>
          <w:vertAlign w:val="subscript"/>
        </w:rPr>
        <w:t xml:space="preserve">2 </w:t>
      </w:r>
    </w:p>
    <w:p w14:paraId="060E705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where: </w:t>
      </w:r>
    </w:p>
    <w:p w14:paraId="72F7725E" w14:textId="77777777" w:rsidR="00541A14" w:rsidRDefault="00A450E1">
      <w:pPr>
        <w:pStyle w:val="CM185"/>
        <w:spacing w:after="140" w:line="280" w:lineRule="atLeast"/>
        <w:ind w:left="1057" w:right="165" w:hanging="1058"/>
        <w:rPr>
          <w:rFonts w:ascii="Palatino" w:hAnsi="Palatino" w:cs="Palatino"/>
          <w:color w:val="000000"/>
          <w:sz w:val="20"/>
          <w:szCs w:val="20"/>
        </w:rPr>
      </w:pPr>
      <w:r>
        <w:rPr>
          <w:rFonts w:ascii="Palatino" w:hAnsi="Palatino" w:cs="Palatino"/>
          <w:i/>
          <w:iCs/>
          <w:color w:val="000000"/>
          <w:sz w:val="20"/>
          <w:szCs w:val="20"/>
        </w:rPr>
        <w:t>L</w:t>
      </w:r>
      <w:r>
        <w:rPr>
          <w:rFonts w:ascii="Palatino" w:hAnsi="Palatino" w:cs="Palatino"/>
          <w:color w:val="000000"/>
          <w:sz w:val="20"/>
          <w:szCs w:val="20"/>
        </w:rPr>
        <w:t xml:space="preserve"> = luminance (cd/m</w:t>
      </w:r>
      <w:r>
        <w:rPr>
          <w:rFonts w:ascii="Palatino" w:hAnsi="Palatino" w:cs="Palatino"/>
          <w:color w:val="000000"/>
          <w:position w:val="7"/>
          <w:sz w:val="11"/>
          <w:szCs w:val="11"/>
          <w:vertAlign w:val="superscript"/>
        </w:rPr>
        <w:t>2</w:t>
      </w:r>
      <w:r>
        <w:rPr>
          <w:rFonts w:ascii="Palatino" w:hAnsi="Palatino" w:cs="Palatino"/>
          <w:color w:val="000000"/>
          <w:sz w:val="20"/>
          <w:szCs w:val="20"/>
        </w:rPr>
        <w:t xml:space="preserve">) of the background light, measured in the direction of the line of sight from a position near the AtoN light (e.g. a patch of sky next to the lighthouse) </w:t>
      </w:r>
    </w:p>
    <w:p w14:paraId="19EB8107" w14:textId="77777777" w:rsidR="00541A14" w:rsidRDefault="00A450E1">
      <w:pPr>
        <w:pStyle w:val="Default"/>
        <w:ind w:left="1057" w:hanging="1058"/>
        <w:rPr>
          <w:rFonts w:ascii="Palatino" w:hAnsi="Palatino" w:cs="Palatino"/>
          <w:sz w:val="20"/>
          <w:szCs w:val="20"/>
        </w:rPr>
      </w:pPr>
      <w:r>
        <w:rPr>
          <w:rFonts w:ascii="Palatino" w:hAnsi="Palatino" w:cs="Palatino"/>
          <w:i/>
          <w:iCs/>
          <w:sz w:val="20"/>
          <w:szCs w:val="20"/>
        </w:rPr>
        <w:t>L’</w:t>
      </w:r>
      <w:r>
        <w:rPr>
          <w:rFonts w:ascii="Palatino" w:hAnsi="Palatino" w:cs="Palatino"/>
          <w:sz w:val="20"/>
          <w:szCs w:val="20"/>
        </w:rPr>
        <w:t xml:space="preserve"> = average luminance (cd/m</w:t>
      </w:r>
      <w:r>
        <w:rPr>
          <w:rFonts w:ascii="Palatino" w:hAnsi="Palatino" w:cs="Palatino"/>
          <w:position w:val="7"/>
          <w:sz w:val="11"/>
          <w:szCs w:val="11"/>
          <w:vertAlign w:val="superscript"/>
        </w:rPr>
        <w:t>2</w:t>
      </w:r>
      <w:r>
        <w:rPr>
          <w:rFonts w:ascii="Palatino" w:hAnsi="Palatino" w:cs="Palatino"/>
          <w:sz w:val="20"/>
          <w:szCs w:val="20"/>
        </w:rPr>
        <w:t xml:space="preserve">) of the unlighted AtoN measured in the direction of the line of </w:t>
      </w:r>
    </w:p>
    <w:p w14:paraId="7AC1AD33" w14:textId="77777777" w:rsidR="00541A14" w:rsidRDefault="00A450E1">
      <w:pPr>
        <w:pStyle w:val="CM73"/>
        <w:ind w:left="1052"/>
        <w:rPr>
          <w:rFonts w:ascii="Palatino" w:hAnsi="Palatino" w:cs="Palatino"/>
          <w:color w:val="000000"/>
          <w:sz w:val="20"/>
          <w:szCs w:val="20"/>
        </w:rPr>
      </w:pPr>
      <w:r>
        <w:rPr>
          <w:rFonts w:ascii="Palatino" w:hAnsi="Palatino" w:cs="Palatino"/>
          <w:color w:val="000000"/>
          <w:sz w:val="20"/>
          <w:szCs w:val="20"/>
        </w:rPr>
        <w:t xml:space="preserve">sight from a position near the lighthouse (e.g. a luminance measurement of a lighthouse </w:t>
      </w:r>
    </w:p>
    <w:p w14:paraId="731E7E8D" w14:textId="77777777" w:rsidR="00541A14" w:rsidRDefault="00A450E1">
      <w:pPr>
        <w:pStyle w:val="CM165"/>
        <w:spacing w:after="85" w:line="278" w:lineRule="atLeast"/>
        <w:ind w:left="1052"/>
        <w:rPr>
          <w:rFonts w:ascii="Palatino" w:hAnsi="Palatino" w:cs="Palatino"/>
          <w:color w:val="000000"/>
          <w:sz w:val="20"/>
          <w:szCs w:val="20"/>
        </w:rPr>
      </w:pPr>
      <w:r>
        <w:rPr>
          <w:rFonts w:ascii="Palatino" w:hAnsi="Palatino" w:cs="Palatino"/>
          <w:color w:val="000000"/>
          <w:sz w:val="20"/>
          <w:szCs w:val="20"/>
        </w:rPr>
        <w:t xml:space="preserve">optic lens with the lamp switched off) </w:t>
      </w:r>
    </w:p>
    <w:p w14:paraId="73E9DF54" w14:textId="77777777" w:rsidR="00541A14" w:rsidRDefault="00A450E1">
      <w:pPr>
        <w:pStyle w:val="CM165"/>
        <w:spacing w:after="85" w:line="280" w:lineRule="atLeast"/>
        <w:ind w:left="1057" w:right="165" w:hanging="1058"/>
        <w:rPr>
          <w:rFonts w:ascii="Palatino" w:hAnsi="Palatino" w:cs="Palatino"/>
          <w:color w:val="000000"/>
          <w:sz w:val="20"/>
          <w:szCs w:val="20"/>
        </w:rPr>
      </w:pPr>
      <w:r>
        <w:rPr>
          <w:rFonts w:ascii="Palatino" w:hAnsi="Palatino" w:cs="Palatino"/>
          <w:i/>
          <w:iCs/>
          <w:color w:val="000000"/>
          <w:sz w:val="20"/>
          <w:szCs w:val="20"/>
        </w:rPr>
        <w:t>A</w:t>
      </w:r>
      <w:r>
        <w:rPr>
          <w:rFonts w:ascii="Palatino" w:hAnsi="Palatino" w:cs="Palatino"/>
          <w:color w:val="000000"/>
          <w:sz w:val="20"/>
          <w:szCs w:val="20"/>
        </w:rPr>
        <w:t xml:space="preserve"> = area (m</w:t>
      </w:r>
      <w:r>
        <w:rPr>
          <w:rFonts w:ascii="Palatino" w:hAnsi="Palatino" w:cs="Palatino"/>
          <w:color w:val="000000"/>
          <w:position w:val="7"/>
          <w:sz w:val="11"/>
          <w:szCs w:val="11"/>
          <w:vertAlign w:val="superscript"/>
        </w:rPr>
        <w:t>2</w:t>
      </w:r>
      <w:r>
        <w:rPr>
          <w:rFonts w:ascii="Palatino" w:hAnsi="Palatino" w:cs="Palatino"/>
          <w:color w:val="000000"/>
          <w:sz w:val="20"/>
          <w:szCs w:val="20"/>
        </w:rPr>
        <w:t xml:space="preserve">) of the AtoN light beam projected onto a plane normal to the line of sight (e.g. a measurement of the lit area of a lighthouse optic) </w:t>
      </w:r>
    </w:p>
    <w:p w14:paraId="6E29A04F" w14:textId="77777777" w:rsidR="00541A14" w:rsidRDefault="00A450E1">
      <w:pPr>
        <w:pStyle w:val="CM165"/>
        <w:spacing w:after="85" w:line="280" w:lineRule="atLeast"/>
        <w:ind w:left="1057" w:right="512" w:hanging="1058"/>
        <w:rPr>
          <w:rFonts w:ascii="Palatino" w:hAnsi="Palatino" w:cs="Palatino"/>
          <w:color w:val="000000"/>
          <w:sz w:val="20"/>
          <w:szCs w:val="20"/>
        </w:rPr>
      </w:pPr>
      <w:r>
        <w:rPr>
          <w:rFonts w:ascii="Palatino" w:hAnsi="Palatino" w:cs="Palatino"/>
          <w:color w:val="000000"/>
          <w:sz w:val="20"/>
          <w:szCs w:val="20"/>
        </w:rPr>
        <w:t xml:space="preserve">(L - L’ )A= Since </w:t>
      </w:r>
      <w:r>
        <w:rPr>
          <w:rFonts w:ascii="Palatino" w:hAnsi="Palatino" w:cs="Palatino"/>
          <w:i/>
          <w:iCs/>
          <w:color w:val="000000"/>
          <w:sz w:val="20"/>
          <w:szCs w:val="20"/>
        </w:rPr>
        <w:t xml:space="preserve">I </w:t>
      </w:r>
      <w:r>
        <w:rPr>
          <w:rFonts w:ascii="Palatino" w:hAnsi="Palatino" w:cs="Palatino"/>
          <w:color w:val="000000"/>
          <w:sz w:val="20"/>
          <w:szCs w:val="20"/>
        </w:rPr>
        <w:t xml:space="preserve">= </w:t>
      </w:r>
      <w:r>
        <w:rPr>
          <w:rFonts w:ascii="Palatino" w:hAnsi="Palatino" w:cs="Palatino"/>
          <w:i/>
          <w:iCs/>
          <w:color w:val="000000"/>
          <w:sz w:val="20"/>
          <w:szCs w:val="20"/>
        </w:rPr>
        <w:t>LA</w:t>
      </w:r>
      <w:r>
        <w:rPr>
          <w:rFonts w:ascii="Palatino" w:hAnsi="Palatino" w:cs="Palatino"/>
          <w:color w:val="000000"/>
          <w:sz w:val="20"/>
          <w:szCs w:val="20"/>
        </w:rPr>
        <w:t xml:space="preserve">, this is the light intensity required to make the average luminance of the projector equal to that of the background (cd) </w:t>
      </w:r>
    </w:p>
    <w:p w14:paraId="4DF7EE36" w14:textId="77777777" w:rsidR="00541A14" w:rsidRDefault="00A450E1">
      <w:pPr>
        <w:pStyle w:val="Default"/>
        <w:spacing w:line="278" w:lineRule="atLeast"/>
        <w:ind w:left="720" w:right="152" w:hanging="720"/>
        <w:rPr>
          <w:rFonts w:ascii="Palatino" w:hAnsi="Palatino" w:cs="Palatino"/>
          <w:sz w:val="20"/>
          <w:szCs w:val="20"/>
        </w:rPr>
      </w:pPr>
      <w:r>
        <w:rPr>
          <w:rFonts w:ascii="Palatino" w:hAnsi="Palatino" w:cs="Palatino"/>
          <w:sz w:val="20"/>
          <w:szCs w:val="20"/>
        </w:rPr>
        <w:t xml:space="preserve">Note 1: Luminance is equal to Intensity divided by Area (L = I / A). Luminance measurements can be carried out with a luminance meter; typically these are devices that measure a quantity of </w:t>
      </w:r>
    </w:p>
    <w:p w14:paraId="3B7A5CAB" w14:textId="77777777" w:rsidR="00541A14" w:rsidRDefault="00A450E1">
      <w:pPr>
        <w:pStyle w:val="CM165"/>
        <w:spacing w:after="85" w:line="276" w:lineRule="atLeast"/>
        <w:ind w:left="720"/>
        <w:rPr>
          <w:rFonts w:ascii="Palatino" w:hAnsi="Palatino" w:cs="Palatino"/>
          <w:color w:val="000000"/>
          <w:sz w:val="20"/>
          <w:szCs w:val="20"/>
        </w:rPr>
      </w:pPr>
      <w:r>
        <w:rPr>
          <w:rFonts w:ascii="Palatino" w:hAnsi="Palatino" w:cs="Palatino"/>
          <w:color w:val="000000"/>
          <w:sz w:val="20"/>
          <w:szCs w:val="20"/>
        </w:rPr>
        <w:t xml:space="preserve">light through a fixed aperture of known area. </w:t>
      </w:r>
    </w:p>
    <w:p w14:paraId="6041D7C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Note 2: When the AtoN light exhibited is of a significantly different colour to the background light, </w:t>
      </w:r>
    </w:p>
    <w:p w14:paraId="5900987B" w14:textId="77777777" w:rsidR="00541A14" w:rsidRDefault="00A450E1">
      <w:pPr>
        <w:pStyle w:val="CM173"/>
        <w:spacing w:after="340" w:line="276" w:lineRule="atLeast"/>
        <w:ind w:left="720"/>
        <w:rPr>
          <w:rFonts w:ascii="Palatino" w:hAnsi="Palatino" w:cs="Palatino"/>
          <w:color w:val="000000"/>
          <w:sz w:val="20"/>
          <w:szCs w:val="20"/>
        </w:rPr>
      </w:pPr>
      <w:r>
        <w:rPr>
          <w:rFonts w:ascii="Palatino" w:hAnsi="Palatino" w:cs="Palatino"/>
          <w:color w:val="000000"/>
          <w:sz w:val="20"/>
          <w:szCs w:val="20"/>
        </w:rPr>
        <w:t xml:space="preserve">Allard’s Law may not apply. </w:t>
      </w:r>
    </w:p>
    <w:p w14:paraId="06E68BB1"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Colorimetric measurement of lights (Colour measurement) </w:t>
      </w:r>
    </w:p>
    <w:p w14:paraId="5589B315" w14:textId="77777777" w:rsidR="00541A14" w:rsidRDefault="00A450E1">
      <w:pPr>
        <w:pStyle w:val="CM178"/>
        <w:spacing w:after="1397" w:line="293" w:lineRule="atLeast"/>
        <w:ind w:right="245"/>
        <w:rPr>
          <w:rFonts w:ascii="Palatino" w:hAnsi="Palatino" w:cs="Palatino"/>
          <w:color w:val="000000"/>
          <w:sz w:val="20"/>
          <w:szCs w:val="20"/>
        </w:rPr>
      </w:pPr>
      <w:r>
        <w:rPr>
          <w:rFonts w:ascii="Palatino" w:hAnsi="Palatino" w:cs="Palatino"/>
          <w:color w:val="000000"/>
          <w:sz w:val="20"/>
          <w:szCs w:val="20"/>
        </w:rPr>
        <w:t xml:space="preserve">The measurement of the colour of lights is described in CIE Publication No 15.2 (1986) </w:t>
      </w:r>
      <w:r>
        <w:rPr>
          <w:rFonts w:ascii="Palatino" w:hAnsi="Palatino" w:cs="Palatino"/>
          <w:b/>
          <w:bCs/>
          <w:i/>
          <w:iCs/>
          <w:color w:val="000000"/>
          <w:sz w:val="20"/>
          <w:szCs w:val="20"/>
        </w:rPr>
        <w:t>Colorimetry</w:t>
      </w:r>
      <w:r>
        <w:rPr>
          <w:rFonts w:ascii="Palatino" w:hAnsi="Palatino" w:cs="Palatino"/>
          <w:color w:val="000000"/>
          <w:sz w:val="20"/>
          <w:szCs w:val="20"/>
        </w:rPr>
        <w:t xml:space="preserve">. There are two main types of instrument for measuring the colour of a light: one is a </w:t>
      </w:r>
      <w:r>
        <w:rPr>
          <w:rFonts w:ascii="Palatino" w:hAnsi="Palatino" w:cs="Palatino"/>
          <w:b/>
          <w:bCs/>
          <w:i/>
          <w:iCs/>
          <w:color w:val="000000"/>
          <w:sz w:val="20"/>
          <w:szCs w:val="20"/>
        </w:rPr>
        <w:t>colorimeter</w:t>
      </w:r>
      <w:r>
        <w:rPr>
          <w:rFonts w:ascii="Palatino" w:hAnsi="Palatino" w:cs="Palatino"/>
          <w:color w:val="000000"/>
          <w:sz w:val="20"/>
          <w:szCs w:val="20"/>
        </w:rPr>
        <w:t xml:space="preserve">; the other is a </w:t>
      </w:r>
      <w:r>
        <w:rPr>
          <w:rFonts w:ascii="Palatino" w:hAnsi="Palatino" w:cs="Palatino"/>
          <w:b/>
          <w:bCs/>
          <w:i/>
          <w:iCs/>
          <w:color w:val="000000"/>
          <w:sz w:val="20"/>
          <w:szCs w:val="20"/>
        </w:rPr>
        <w:t>spectroradiometer</w:t>
      </w:r>
      <w:r>
        <w:rPr>
          <w:rFonts w:ascii="Palatino" w:hAnsi="Palatino" w:cs="Palatino"/>
          <w:color w:val="000000"/>
          <w:sz w:val="20"/>
          <w:szCs w:val="20"/>
        </w:rPr>
        <w:t xml:space="preserve">. </w:t>
      </w:r>
    </w:p>
    <w:p w14:paraId="1EA805CC"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1C7B05C6" wp14:editId="36994649">
            <wp:extent cx="7542530" cy="420370"/>
            <wp:effectExtent l="0" t="0" r="1270" b="1143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2EF31C6E" w14:textId="77777777" w:rsidR="00541A14" w:rsidRDefault="00DD420F">
      <w:pPr>
        <w:pStyle w:val="Default"/>
        <w:pageBreakBefore/>
        <w:framePr w:w="24763" w:wrap="auto" w:vAnchor="page" w:hAnchor="page" w:x="101" w:y="1"/>
        <w:spacing w:after="560"/>
        <w:rPr>
          <w:rFonts w:ascii="Palatino" w:hAnsi="Palatino" w:cs="Palatino"/>
          <w:sz w:val="20"/>
          <w:szCs w:val="20"/>
        </w:rPr>
      </w:pPr>
      <w:r>
        <w:rPr>
          <w:rFonts w:ascii="Palatino" w:hAnsi="Palatino" w:cs="Palatino"/>
          <w:noProof/>
          <w:sz w:val="20"/>
          <w:szCs w:val="20"/>
        </w:rPr>
        <w:drawing>
          <wp:inline distT="0" distB="0" distL="0" distR="0" wp14:anchorId="312A31B1" wp14:editId="3AC11E9B">
            <wp:extent cx="7553960" cy="115316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3F968014" w14:textId="77777777" w:rsidR="00541A14" w:rsidRDefault="00A450E1">
      <w:pPr>
        <w:pStyle w:val="Default"/>
        <w:rPr>
          <w:rFonts w:ascii="Palatino" w:hAnsi="Palatino" w:cs="Palatino"/>
          <w:sz w:val="20"/>
          <w:szCs w:val="20"/>
        </w:rPr>
      </w:pPr>
      <w:r>
        <w:rPr>
          <w:rFonts w:ascii="Palatino" w:hAnsi="Palatino" w:cs="Palatino"/>
          <w:b/>
          <w:bCs/>
          <w:sz w:val="20"/>
          <w:szCs w:val="20"/>
        </w:rPr>
        <w:t>Colorimeters</w:t>
      </w:r>
      <w:r>
        <w:rPr>
          <w:rFonts w:ascii="Palatino" w:hAnsi="Palatino" w:cs="Palatino"/>
          <w:sz w:val="20"/>
          <w:szCs w:val="20"/>
        </w:rPr>
        <w:t xml:space="preserve"> usually comprise three photoreceptors, each with a coloured filter. Each filter is matched </w:t>
      </w:r>
    </w:p>
    <w:p w14:paraId="0BBC4A1F" w14:textId="77777777" w:rsidR="00541A14" w:rsidRDefault="00A450E1">
      <w:pPr>
        <w:pStyle w:val="Default"/>
        <w:rPr>
          <w:rFonts w:ascii="Palatino" w:hAnsi="Palatino" w:cs="Palatino"/>
          <w:sz w:val="20"/>
          <w:szCs w:val="20"/>
        </w:rPr>
      </w:pPr>
      <w:r>
        <w:rPr>
          <w:rFonts w:ascii="Palatino" w:hAnsi="Palatino" w:cs="Palatino"/>
          <w:sz w:val="20"/>
          <w:szCs w:val="20"/>
        </w:rPr>
        <w:t xml:space="preserve">to the response of one of the three eye receptors, red green and blue and such devices are called </w:t>
      </w:r>
    </w:p>
    <w:p w14:paraId="51744C58" w14:textId="77777777" w:rsidR="00541A14" w:rsidRDefault="00A450E1">
      <w:pPr>
        <w:pStyle w:val="Default"/>
        <w:rPr>
          <w:rFonts w:ascii="Palatino" w:hAnsi="Palatino" w:cs="Palatino"/>
          <w:sz w:val="20"/>
          <w:szCs w:val="20"/>
        </w:rPr>
      </w:pPr>
      <w:r>
        <w:rPr>
          <w:rFonts w:ascii="Palatino" w:hAnsi="Palatino" w:cs="Palatino"/>
          <w:sz w:val="20"/>
          <w:szCs w:val="20"/>
        </w:rPr>
        <w:t xml:space="preserve">‘tristimulus’ colorimeters. The colorimeter gives three outputs, one for each filtered receptor, and these </w:t>
      </w:r>
    </w:p>
    <w:p w14:paraId="75A1B7F0"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correspond to the X, Y and z functions of the human observer. </w:t>
      </w:r>
    </w:p>
    <w:p w14:paraId="581A6893"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b/>
          <w:bCs/>
          <w:color w:val="000000"/>
          <w:sz w:val="20"/>
          <w:szCs w:val="20"/>
        </w:rPr>
        <w:t>spectroradiometers</w:t>
      </w:r>
      <w:r>
        <w:rPr>
          <w:rFonts w:ascii="Palatino" w:hAnsi="Palatino" w:cs="Palatino"/>
          <w:color w:val="000000"/>
          <w:sz w:val="20"/>
          <w:szCs w:val="20"/>
        </w:rPr>
        <w:t xml:space="preserve"> consist of a monochromator and photoreceptor. The monochromator splits the light into individual wavelengths (much like a prism makes a rainbow) and is usually rotated in steps past an exit slit. The photoreceptor, behind the exit slit, measures different sections of the spectrum as the monochromator is rotated. The output is a series of readings enabling a graph of power against wavelength to be displayed. Results may then be weighted with the X, Y and z functions of the human observer to produce colour information. </w:t>
      </w:r>
    </w:p>
    <w:p w14:paraId="082AA8F2" w14:textId="77777777" w:rsidR="00541A14" w:rsidRDefault="00A450E1">
      <w:pPr>
        <w:pStyle w:val="CM4"/>
        <w:rPr>
          <w:rFonts w:ascii="Palatino" w:hAnsi="Palatino" w:cs="Palatino"/>
          <w:color w:val="000000"/>
          <w:sz w:val="20"/>
          <w:szCs w:val="20"/>
        </w:rPr>
      </w:pPr>
      <w:r>
        <w:rPr>
          <w:rFonts w:ascii="Palatino" w:hAnsi="Palatino" w:cs="Palatino"/>
          <w:b/>
          <w:bCs/>
          <w:color w:val="000000"/>
          <w:sz w:val="20"/>
          <w:szCs w:val="20"/>
        </w:rPr>
        <w:t>stepping monochromators</w:t>
      </w:r>
      <w:r>
        <w:rPr>
          <w:rFonts w:ascii="Palatino" w:hAnsi="Palatino" w:cs="Palatino"/>
          <w:color w:val="000000"/>
          <w:sz w:val="20"/>
          <w:szCs w:val="20"/>
        </w:rPr>
        <w:t xml:space="preserve"> of the type described previously are fairly slow in operation and are not suitable for measuring flashing lights. </w:t>
      </w:r>
      <w:r>
        <w:rPr>
          <w:rFonts w:ascii="Palatino" w:hAnsi="Palatino" w:cs="Palatino"/>
          <w:b/>
          <w:bCs/>
          <w:color w:val="000000"/>
          <w:sz w:val="20"/>
          <w:szCs w:val="20"/>
        </w:rPr>
        <w:t>tristimulus colorimeters</w:t>
      </w:r>
      <w:r>
        <w:rPr>
          <w:rFonts w:ascii="Palatino" w:hAnsi="Palatino" w:cs="Palatino"/>
          <w:color w:val="000000"/>
          <w:sz w:val="20"/>
          <w:szCs w:val="20"/>
        </w:rPr>
        <w:t xml:space="preserve">, on the other hand, enable much faster measurements of colour. New types of spectradiometer, known as </w:t>
      </w:r>
      <w:r>
        <w:rPr>
          <w:rFonts w:ascii="Palatino" w:hAnsi="Palatino" w:cs="Palatino"/>
          <w:b/>
          <w:bCs/>
          <w:color w:val="000000"/>
          <w:sz w:val="20"/>
          <w:szCs w:val="20"/>
        </w:rPr>
        <w:t xml:space="preserve">‘array-based’ spectroradiometers, </w:t>
      </w:r>
    </w:p>
    <w:p w14:paraId="67A001B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are now available. Instead of a single photoreceptor and a rotating monochromator, a fixed </w:t>
      </w:r>
    </w:p>
    <w:p w14:paraId="006E8CFF"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monochromator has its output directed at an array of charge-coupled devices (CCDs). Such devices are capable of much faster measurement speeds than stepping monochromators. </w:t>
      </w:r>
    </w:p>
    <w:p w14:paraId="2C23B900" w14:textId="77777777" w:rsidR="00541A14" w:rsidRDefault="00A450E1">
      <w:pPr>
        <w:pStyle w:val="CM26"/>
        <w:ind w:right="177"/>
        <w:rPr>
          <w:rFonts w:ascii="Palatino" w:hAnsi="Palatino" w:cs="Palatino"/>
          <w:color w:val="000000"/>
          <w:sz w:val="20"/>
          <w:szCs w:val="20"/>
        </w:rPr>
      </w:pPr>
      <w:r>
        <w:rPr>
          <w:rFonts w:ascii="Palatino" w:hAnsi="Palatino" w:cs="Palatino"/>
          <w:color w:val="000000"/>
          <w:sz w:val="20"/>
          <w:szCs w:val="20"/>
        </w:rPr>
        <w:t xml:space="preserve">Recent developments in colour measurement have resulted from the technology of digital cameras. </w:t>
      </w:r>
      <w:r>
        <w:rPr>
          <w:rFonts w:ascii="Palatino" w:hAnsi="Palatino" w:cs="Palatino"/>
          <w:b/>
          <w:bCs/>
          <w:color w:val="000000"/>
          <w:sz w:val="20"/>
          <w:szCs w:val="20"/>
        </w:rPr>
        <w:t>‘Imaging photometers’</w:t>
      </w:r>
      <w:r>
        <w:rPr>
          <w:rFonts w:ascii="Palatino" w:hAnsi="Palatino" w:cs="Palatino"/>
          <w:color w:val="000000"/>
          <w:sz w:val="20"/>
          <w:szCs w:val="20"/>
        </w:rPr>
        <w:t xml:space="preserve">, as they are known, are little more than calibrated digital cameras, some with </w:t>
      </w:r>
    </w:p>
    <w:p w14:paraId="717D0ED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tristimulus filtering. They are capable of fast measurement of a whole scene, making them useful </w:t>
      </w:r>
    </w:p>
    <w:p w14:paraId="65AF2B47"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for work outside the laboratory. However, the accuracy of some cheaper devices leaves much to be desired. </w:t>
      </w:r>
    </w:p>
    <w:p w14:paraId="0C1C2AD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 summary: </w:t>
      </w:r>
    </w:p>
    <w:p w14:paraId="2FA56BF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Tristimulus colorimeters are fast, however cheaper models suffer errors when measuring </w:t>
      </w:r>
    </w:p>
    <w:p w14:paraId="782B394B"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narrowband light sources such as LEDs. </w:t>
      </w:r>
    </w:p>
    <w:p w14:paraId="2D41E14B" w14:textId="77777777" w:rsidR="00541A14" w:rsidRDefault="00A450E1">
      <w:pPr>
        <w:pStyle w:val="Default"/>
        <w:numPr>
          <w:ilvl w:val="0"/>
          <w:numId w:val="75"/>
        </w:numPr>
        <w:rPr>
          <w:rFonts w:ascii="Palatino" w:hAnsi="Palatino" w:cs="Palatino"/>
          <w:sz w:val="20"/>
          <w:szCs w:val="20"/>
        </w:rPr>
      </w:pPr>
      <w:r>
        <w:rPr>
          <w:rFonts w:ascii="Palatino" w:hAnsi="Palatino" w:cs="Palatino"/>
          <w:sz w:val="20"/>
          <w:szCs w:val="20"/>
        </w:rPr>
        <w:t xml:space="preserve">Stepping monochromators are expensive and slow but very accurate. </w:t>
      </w:r>
    </w:p>
    <w:p w14:paraId="536CB537" w14:textId="77777777" w:rsidR="00541A14" w:rsidRDefault="00A450E1">
      <w:pPr>
        <w:pStyle w:val="Default"/>
        <w:numPr>
          <w:ilvl w:val="0"/>
          <w:numId w:val="75"/>
        </w:numPr>
        <w:rPr>
          <w:rFonts w:ascii="Palatino" w:hAnsi="Palatino" w:cs="Palatino"/>
          <w:sz w:val="20"/>
          <w:szCs w:val="20"/>
        </w:rPr>
      </w:pPr>
      <w:r>
        <w:rPr>
          <w:rFonts w:ascii="Palatino" w:hAnsi="Palatino" w:cs="Palatino"/>
          <w:sz w:val="20"/>
          <w:szCs w:val="20"/>
        </w:rPr>
        <w:t xml:space="preserve">Array-based spectroradiometers are fast relatively inexpensive but can suffer with stray light </w:t>
      </w:r>
    </w:p>
    <w:p w14:paraId="0C70D6F3" w14:textId="77777777" w:rsidR="00541A14" w:rsidRDefault="00541A14">
      <w:pPr>
        <w:pStyle w:val="Default"/>
        <w:rPr>
          <w:rFonts w:ascii="Palatino" w:hAnsi="Palatino" w:cs="Palatino"/>
          <w:sz w:val="20"/>
          <w:szCs w:val="20"/>
        </w:rPr>
      </w:pPr>
    </w:p>
    <w:p w14:paraId="5FF2E531"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errors. </w:t>
      </w:r>
    </w:p>
    <w:p w14:paraId="044F7C7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Imaging photometers are expensive and not very accurate but can record a whole scene and not </w:t>
      </w:r>
    </w:p>
    <w:p w14:paraId="7867B2A1" w14:textId="77777777" w:rsidR="00541A14" w:rsidRDefault="00A450E1">
      <w:pPr>
        <w:pStyle w:val="CM173"/>
        <w:spacing w:after="340" w:line="293" w:lineRule="atLeast"/>
        <w:ind w:left="300"/>
        <w:rPr>
          <w:rFonts w:ascii="Palatino" w:hAnsi="Palatino" w:cs="Palatino"/>
          <w:color w:val="000000"/>
          <w:sz w:val="20"/>
          <w:szCs w:val="20"/>
        </w:rPr>
      </w:pPr>
      <w:r>
        <w:rPr>
          <w:rFonts w:ascii="Palatino" w:hAnsi="Palatino" w:cs="Palatino"/>
          <w:color w:val="000000"/>
          <w:sz w:val="20"/>
          <w:szCs w:val="20"/>
        </w:rPr>
        <w:t xml:space="preserve">just one light. </w:t>
      </w:r>
    </w:p>
    <w:p w14:paraId="3D3CC7EB" w14:textId="77777777" w:rsidR="00541A14" w:rsidRDefault="00A450E1">
      <w:pPr>
        <w:pStyle w:val="Default"/>
        <w:spacing w:after="570"/>
        <w:jc w:val="center"/>
        <w:rPr>
          <w:rFonts w:ascii="Palatino" w:hAnsi="Palatino" w:cs="Palatino"/>
          <w:sz w:val="20"/>
          <w:szCs w:val="20"/>
        </w:rPr>
      </w:pPr>
      <w:r>
        <w:rPr>
          <w:rFonts w:ascii="Palatino" w:hAnsi="Palatino" w:cs="Palatino"/>
          <w:i/>
          <w:iCs/>
          <w:sz w:val="20"/>
          <w:szCs w:val="20"/>
        </w:rPr>
        <w:t xml:space="preserve">Figure 10 – CIE 1931 Colour Functions </w:t>
      </w:r>
    </w:p>
    <w:p w14:paraId="5FCE5EE8" w14:textId="77777777" w:rsidR="00541A14" w:rsidRDefault="00DD420F">
      <w:pPr>
        <w:pStyle w:val="Default"/>
        <w:framePr w:w="8329" w:wrap="auto" w:vAnchor="page" w:hAnchor="page" w:x="2426" w:y="11402"/>
        <w:spacing w:after="240"/>
        <w:rPr>
          <w:rFonts w:ascii="Palatino" w:hAnsi="Palatino" w:cs="Palatino"/>
          <w:sz w:val="20"/>
          <w:szCs w:val="20"/>
        </w:rPr>
      </w:pPr>
      <w:r>
        <w:rPr>
          <w:rFonts w:ascii="Palatino" w:hAnsi="Palatino" w:cs="Palatino"/>
          <w:noProof/>
          <w:sz w:val="20"/>
          <w:szCs w:val="20"/>
        </w:rPr>
        <w:drawing>
          <wp:inline distT="0" distB="0" distL="0" distR="0" wp14:anchorId="1DBFE8D7" wp14:editId="66545359">
            <wp:extent cx="2754630" cy="4765040"/>
            <wp:effectExtent l="0" t="0" r="0" b="1016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54630" cy="4765040"/>
                    </a:xfrm>
                    <a:prstGeom prst="rect">
                      <a:avLst/>
                    </a:prstGeom>
                    <a:noFill/>
                    <a:ln>
                      <a:noFill/>
                    </a:ln>
                  </pic:spPr>
                </pic:pic>
              </a:graphicData>
            </a:graphic>
          </wp:inline>
        </w:drawing>
      </w:r>
    </w:p>
    <w:p w14:paraId="0B1BD0A3"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4C0E75F7" wp14:editId="61D06F80">
            <wp:extent cx="7553960" cy="420370"/>
            <wp:effectExtent l="0" t="0" r="0" b="1143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451FB556" w14:textId="77777777" w:rsidR="00541A14" w:rsidRDefault="00DD420F">
      <w:pPr>
        <w:pStyle w:val="Default"/>
        <w:pageBreakBefore/>
        <w:framePr w:w="12857" w:wrap="auto" w:vAnchor="page" w:hAnchor="page" w:x="101" w:y="1"/>
        <w:spacing w:after="500"/>
        <w:rPr>
          <w:rFonts w:ascii="Palatino" w:hAnsi="Palatino" w:cs="Palatino"/>
          <w:sz w:val="20"/>
          <w:szCs w:val="20"/>
        </w:rPr>
      </w:pPr>
      <w:r>
        <w:rPr>
          <w:rFonts w:ascii="Palatino" w:hAnsi="Palatino" w:cs="Palatino"/>
          <w:noProof/>
          <w:sz w:val="20"/>
          <w:szCs w:val="20"/>
        </w:rPr>
        <w:drawing>
          <wp:inline distT="0" distB="0" distL="0" distR="0" wp14:anchorId="14527B7C" wp14:editId="3B5812CC">
            <wp:extent cx="7553960" cy="115316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6C7C7FF4" w14:textId="77777777" w:rsidR="00541A14" w:rsidRDefault="00A450E1">
      <w:pPr>
        <w:pStyle w:val="CM162"/>
        <w:spacing w:after="552" w:line="296" w:lineRule="atLeast"/>
        <w:jc w:val="center"/>
        <w:rPr>
          <w:rFonts w:ascii="Palatino" w:hAnsi="Palatino" w:cs="Palatino"/>
          <w:color w:val="000000"/>
          <w:sz w:val="20"/>
          <w:szCs w:val="20"/>
        </w:rPr>
      </w:pPr>
      <w:r>
        <w:rPr>
          <w:rFonts w:ascii="Palatino" w:hAnsi="Palatino" w:cs="Palatino"/>
          <w:color w:val="000000"/>
          <w:sz w:val="20"/>
          <w:szCs w:val="20"/>
        </w:rPr>
        <w:t xml:space="preserve">Resultant data from colour measurements is usually displayed on a chromaticity chart, developed by the CIE in 1931. The three X, Y, z values are reduced to two x, y values as shown in Figure 11. </w:t>
      </w:r>
    </w:p>
    <w:p w14:paraId="7F459A10" w14:textId="77777777" w:rsidR="00541A14" w:rsidRDefault="00DD420F">
      <w:pPr>
        <w:pStyle w:val="Default"/>
        <w:framePr w:w="9615" w:wrap="auto" w:vAnchor="page" w:hAnchor="page" w:x="1692" w:y="3390"/>
        <w:spacing w:after="220"/>
        <w:rPr>
          <w:rFonts w:ascii="Palatino" w:hAnsi="Palatino" w:cs="Palatino"/>
          <w:sz w:val="20"/>
          <w:szCs w:val="20"/>
        </w:rPr>
      </w:pPr>
      <w:r>
        <w:rPr>
          <w:rFonts w:ascii="Palatino" w:hAnsi="Palatino" w:cs="Palatino"/>
          <w:noProof/>
          <w:sz w:val="20"/>
          <w:szCs w:val="20"/>
        </w:rPr>
        <w:drawing>
          <wp:inline distT="0" distB="0" distL="0" distR="0" wp14:anchorId="3CD5F247" wp14:editId="76BC6348">
            <wp:extent cx="5588635" cy="4037965"/>
            <wp:effectExtent l="0" t="0" r="0" b="63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588635" cy="4037965"/>
                    </a:xfrm>
                    <a:prstGeom prst="rect">
                      <a:avLst/>
                    </a:prstGeom>
                    <a:noFill/>
                    <a:ln>
                      <a:noFill/>
                    </a:ln>
                  </pic:spPr>
                </pic:pic>
              </a:graphicData>
            </a:graphic>
          </wp:inline>
        </w:drawing>
      </w:r>
    </w:p>
    <w:p w14:paraId="2C3463B5" w14:textId="77777777" w:rsidR="00541A14" w:rsidRDefault="00A450E1">
      <w:pPr>
        <w:pStyle w:val="CM174"/>
        <w:spacing w:after="437"/>
        <w:jc w:val="center"/>
        <w:rPr>
          <w:rFonts w:ascii="Palatino" w:hAnsi="Palatino" w:cs="Palatino"/>
          <w:color w:val="000000"/>
          <w:sz w:val="20"/>
          <w:szCs w:val="20"/>
        </w:rPr>
      </w:pPr>
      <w:r>
        <w:rPr>
          <w:rFonts w:ascii="Palatino" w:hAnsi="Palatino" w:cs="Palatino"/>
          <w:i/>
          <w:iCs/>
          <w:color w:val="000000"/>
          <w:sz w:val="20"/>
          <w:szCs w:val="20"/>
        </w:rPr>
        <w:t xml:space="preserve">Figure 11 – CIE 1931 x,y Chromaticity Chart </w:t>
      </w:r>
    </w:p>
    <w:p w14:paraId="70E1CF06" w14:textId="77777777" w:rsidR="00541A14" w:rsidRDefault="00A450E1">
      <w:pPr>
        <w:pStyle w:val="CM165"/>
        <w:spacing w:after="85"/>
        <w:ind w:left="310"/>
        <w:jc w:val="both"/>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21D002D5" w14:textId="77777777" w:rsidR="00541A14" w:rsidRDefault="009E3F25">
      <w:pPr>
        <w:pStyle w:val="CM162"/>
        <w:spacing w:after="552"/>
        <w:ind w:left="310"/>
        <w:jc w:val="both"/>
        <w:rPr>
          <w:rFonts w:ascii="Palatino" w:hAnsi="Palatino" w:cs="Palatino"/>
          <w:color w:val="000000"/>
          <w:sz w:val="20"/>
          <w:szCs w:val="20"/>
        </w:rPr>
      </w:pPr>
      <w:hyperlink r:id="rId122" w:history="1">
        <w:r w:rsidR="00A450E1">
          <w:rPr>
            <w:rFonts w:ascii="Palatino" w:hAnsi="Palatino" w:cs="Palatino"/>
            <w:i/>
            <w:iCs/>
            <w:color w:val="000000"/>
            <w:sz w:val="20"/>
            <w:szCs w:val="20"/>
          </w:rPr>
          <w:t xml:space="preserve">IALA Recommendation E-200-3 on Marine Signal Lights -Part 3 - Measurement. </w:t>
        </w:r>
      </w:hyperlink>
    </w:p>
    <w:p w14:paraId="44095D5A"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3.2.4 Rhythms / Character </w:t>
      </w:r>
    </w:p>
    <w:p w14:paraId="364F1379" w14:textId="77777777" w:rsidR="00541A14" w:rsidRDefault="00A450E1">
      <w:pPr>
        <w:pStyle w:val="CM12"/>
        <w:jc w:val="both"/>
        <w:rPr>
          <w:rFonts w:ascii="Palatino" w:hAnsi="Palatino" w:cs="Palatino"/>
          <w:color w:val="000000"/>
          <w:sz w:val="20"/>
          <w:szCs w:val="20"/>
        </w:rPr>
      </w:pPr>
      <w:r>
        <w:rPr>
          <w:rFonts w:ascii="Palatino" w:hAnsi="Palatino" w:cs="Palatino"/>
          <w:color w:val="000000"/>
          <w:sz w:val="20"/>
          <w:szCs w:val="20"/>
        </w:rPr>
        <w:t xml:space="preserve">IALA has produced a recommendation on the characters for light on aids to navigation. The </w:t>
      </w:r>
    </w:p>
    <w:p w14:paraId="12AAD144" w14:textId="77777777" w:rsidR="00541A14" w:rsidRDefault="00A450E1">
      <w:pPr>
        <w:pStyle w:val="CM172"/>
        <w:spacing w:after="202" w:line="296" w:lineRule="atLeast"/>
        <w:jc w:val="both"/>
        <w:rPr>
          <w:rFonts w:ascii="Palatino" w:hAnsi="Palatino" w:cs="Palatino"/>
          <w:color w:val="000000"/>
          <w:sz w:val="20"/>
          <w:szCs w:val="20"/>
        </w:rPr>
      </w:pPr>
      <w:r>
        <w:rPr>
          <w:rFonts w:ascii="Palatino" w:hAnsi="Palatino" w:cs="Palatino"/>
          <w:color w:val="000000"/>
          <w:sz w:val="20"/>
          <w:szCs w:val="20"/>
        </w:rPr>
        <w:t xml:space="preserve">tables of classifications and specifications of aid to navigation characters are provided in Table 7 – Classification Of The Rhythmic Characters Of Lights </w:t>
      </w:r>
    </w:p>
    <w:p w14:paraId="3E2ADC0B" w14:textId="77777777" w:rsidR="00541A14" w:rsidRDefault="00A450E1">
      <w:pPr>
        <w:pStyle w:val="CM33"/>
        <w:ind w:left="305"/>
        <w:jc w:val="both"/>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0D4870A2" w14:textId="77777777" w:rsidR="00541A14" w:rsidRDefault="009E3F25">
      <w:pPr>
        <w:pStyle w:val="CM172"/>
        <w:spacing w:after="202" w:line="296" w:lineRule="atLeast"/>
        <w:ind w:left="305"/>
        <w:jc w:val="both"/>
        <w:rPr>
          <w:rFonts w:ascii="Palatino" w:hAnsi="Palatino" w:cs="Palatino"/>
          <w:color w:val="000000"/>
          <w:sz w:val="20"/>
          <w:szCs w:val="20"/>
        </w:rPr>
      </w:pPr>
      <w:hyperlink r:id="rId123" w:history="1">
        <w:r w:rsidR="00A450E1">
          <w:rPr>
            <w:rFonts w:ascii="Palatino" w:hAnsi="Palatino" w:cs="Palatino"/>
            <w:i/>
            <w:iCs/>
            <w:color w:val="000000"/>
            <w:sz w:val="20"/>
            <w:szCs w:val="20"/>
          </w:rPr>
          <w:t xml:space="preserve">Recommendation E-110 for the rhythmic characters of lights on aids to navigation. </w:t>
        </w:r>
      </w:hyperlink>
    </w:p>
    <w:p w14:paraId="2F15BA23" w14:textId="77777777" w:rsidR="00541A14" w:rsidRDefault="00A450E1">
      <w:pPr>
        <w:pStyle w:val="CM184"/>
        <w:spacing w:after="1660" w:line="296" w:lineRule="atLeast"/>
        <w:jc w:val="both"/>
        <w:rPr>
          <w:rFonts w:ascii="Palatino" w:hAnsi="Palatino" w:cs="Palatino"/>
          <w:color w:val="000000"/>
          <w:sz w:val="20"/>
          <w:szCs w:val="20"/>
        </w:rPr>
      </w:pPr>
      <w:r>
        <w:rPr>
          <w:rFonts w:ascii="Palatino" w:hAnsi="Palatino" w:cs="Palatino"/>
          <w:color w:val="000000"/>
          <w:sz w:val="20"/>
          <w:szCs w:val="20"/>
        </w:rPr>
        <w:t xml:space="preserve">The Rhythmic Characters of Lights are provided in Table 8 – Rhythmic Characters of the Lights in the IALA Maritime Buoyage System. </w:t>
      </w:r>
    </w:p>
    <w:p w14:paraId="6F92AEE6" w14:textId="77777777" w:rsidR="00541A14" w:rsidRDefault="00541A14">
      <w:pPr>
        <w:pStyle w:val="Default"/>
        <w:rPr>
          <w:rFonts w:ascii="Palatino" w:hAnsi="Palatino" w:cs="Palatino"/>
          <w:sz w:val="20"/>
          <w:szCs w:val="20"/>
        </w:rPr>
      </w:pPr>
    </w:p>
    <w:p w14:paraId="694C93C1"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3439CB06" wp14:editId="282E876A">
            <wp:extent cx="7542530" cy="420370"/>
            <wp:effectExtent l="0" t="0" r="1270" b="1143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39CD4A06" w14:textId="77777777" w:rsidR="00541A14" w:rsidRDefault="00DD420F">
      <w:pPr>
        <w:pStyle w:val="Default"/>
        <w:pageBreakBefore/>
        <w:framePr w:w="24763" w:wrap="auto" w:vAnchor="page" w:hAnchor="page" w:x="101" w:y="1"/>
        <w:spacing w:after="340"/>
        <w:rPr>
          <w:rFonts w:ascii="Palatino" w:hAnsi="Palatino" w:cs="Palatino"/>
          <w:sz w:val="20"/>
          <w:szCs w:val="20"/>
        </w:rPr>
      </w:pPr>
      <w:r>
        <w:rPr>
          <w:rFonts w:ascii="Palatino" w:hAnsi="Palatino" w:cs="Palatino"/>
          <w:noProof/>
          <w:sz w:val="20"/>
          <w:szCs w:val="20"/>
        </w:rPr>
        <w:drawing>
          <wp:inline distT="0" distB="0" distL="0" distR="0" wp14:anchorId="1C0DA602" wp14:editId="52A64C8E">
            <wp:extent cx="7553960" cy="115316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139DAC23" w14:textId="77777777" w:rsidR="00541A14" w:rsidRDefault="00A450E1">
      <w:pPr>
        <w:pStyle w:val="CM173"/>
        <w:spacing w:after="340"/>
        <w:jc w:val="center"/>
        <w:rPr>
          <w:rFonts w:ascii="Palatino" w:hAnsi="Palatino" w:cs="Palatino"/>
          <w:color w:val="000000"/>
          <w:sz w:val="20"/>
          <w:szCs w:val="20"/>
        </w:rPr>
      </w:pPr>
      <w:r>
        <w:rPr>
          <w:rFonts w:ascii="Palatino" w:hAnsi="Palatino" w:cs="Palatino"/>
          <w:b/>
          <w:bCs/>
          <w:color w:val="000000"/>
          <w:sz w:val="20"/>
          <w:szCs w:val="20"/>
        </w:rPr>
        <w:t>Table 7 – Classification Of The Rhythmic Characters Of Lights</w:t>
      </w:r>
    </w:p>
    <w:p w14:paraId="22E17A08"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64384" behindDoc="0" locked="0" layoutInCell="0" allowOverlap="1" wp14:anchorId="50D3B568" wp14:editId="64E33E1B">
                <wp:simplePos x="0" y="0"/>
                <wp:positionH relativeFrom="page">
                  <wp:posOffset>807085</wp:posOffset>
                </wp:positionH>
                <wp:positionV relativeFrom="page">
                  <wp:posOffset>1492885</wp:posOffset>
                </wp:positionV>
                <wp:extent cx="8814435" cy="9824720"/>
                <wp:effectExtent l="0" t="0" r="0" b="0"/>
                <wp:wrapThrough wrapText="bothSides">
                  <wp:wrapPolygon edited="0">
                    <wp:start x="0" y="0"/>
                    <wp:lineTo x="21600" y="0"/>
                    <wp:lineTo x="21600" y="21600"/>
                    <wp:lineTo x="0" y="21600"/>
                    <wp:lineTo x="0" y="0"/>
                  </wp:wrapPolygon>
                </wp:wrapThrough>
                <wp:docPr id="55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14435" cy="9824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457"/>
                              <w:gridCol w:w="1220"/>
                              <w:gridCol w:w="942"/>
                              <w:gridCol w:w="2237"/>
                              <w:gridCol w:w="6550"/>
                              <w:gridCol w:w="1675"/>
                            </w:tblGrid>
                            <w:tr w:rsidR="00541A14" w14:paraId="524F1563" w14:textId="77777777">
                              <w:trPr>
                                <w:trHeight w:val="372"/>
                              </w:trPr>
                              <w:tc>
                                <w:tcPr>
                                  <w:tcW w:w="457" w:type="dxa"/>
                                  <w:tcBorders>
                                    <w:top w:val="single" w:sz="4" w:space="0" w:color="000000"/>
                                    <w:left w:val="single" w:sz="4" w:space="0" w:color="000000"/>
                                    <w:bottom w:val="single" w:sz="4" w:space="0" w:color="000000"/>
                                    <w:right w:val="single" w:sz="4" w:space="0" w:color="000000"/>
                                  </w:tcBorders>
                                </w:tcPr>
                                <w:p w14:paraId="1A0580AB" w14:textId="77777777" w:rsidR="00541A14" w:rsidRDefault="00541A14">
                                  <w:pPr>
                                    <w:pStyle w:val="Default"/>
                                    <w:rPr>
                                      <w:rFonts w:cs="Times New Roman"/>
                                      <w:color w:val="auto"/>
                                    </w:rPr>
                                  </w:pPr>
                                </w:p>
                              </w:tc>
                              <w:tc>
                                <w:tcPr>
                                  <w:tcW w:w="1220" w:type="dxa"/>
                                  <w:tcBorders>
                                    <w:top w:val="single" w:sz="4" w:space="0" w:color="000000"/>
                                    <w:left w:val="single" w:sz="4" w:space="0" w:color="000000"/>
                                    <w:bottom w:val="single" w:sz="4" w:space="0" w:color="000000"/>
                                    <w:right w:val="single" w:sz="4" w:space="0" w:color="000000"/>
                                  </w:tcBorders>
                                  <w:vAlign w:val="center"/>
                                </w:tcPr>
                                <w:p w14:paraId="6025DB03"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942" w:type="dxa"/>
                                  <w:tcBorders>
                                    <w:top w:val="single" w:sz="4" w:space="0" w:color="000000"/>
                                    <w:left w:val="single" w:sz="4" w:space="0" w:color="000000"/>
                                    <w:bottom w:val="single" w:sz="4" w:space="0" w:color="000000"/>
                                    <w:right w:val="single" w:sz="4" w:space="0" w:color="000000"/>
                                  </w:tcBorders>
                                  <w:vAlign w:val="center"/>
                                </w:tcPr>
                                <w:p w14:paraId="274FF974"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237" w:type="dxa"/>
                                  <w:tcBorders>
                                    <w:top w:val="single" w:sz="4" w:space="0" w:color="000000"/>
                                    <w:left w:val="single" w:sz="4" w:space="0" w:color="000000"/>
                                    <w:bottom w:val="single" w:sz="4" w:space="0" w:color="000000"/>
                                    <w:right w:val="single" w:sz="4" w:space="0" w:color="000000"/>
                                  </w:tcBorders>
                                  <w:vAlign w:val="center"/>
                                </w:tcPr>
                                <w:p w14:paraId="4221982E"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6550" w:type="dxa"/>
                                  <w:tcBorders>
                                    <w:top w:val="single" w:sz="4" w:space="0" w:color="000000"/>
                                    <w:left w:val="single" w:sz="4" w:space="0" w:color="000000"/>
                                    <w:bottom w:val="single" w:sz="4" w:space="0" w:color="000000"/>
                                    <w:right w:val="single" w:sz="4" w:space="0" w:color="000000"/>
                                  </w:tcBorders>
                                  <w:vAlign w:val="center"/>
                                </w:tcPr>
                                <w:p w14:paraId="1DD7E9AA"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1675" w:type="dxa"/>
                                  <w:tcBorders>
                                    <w:top w:val="single" w:sz="4" w:space="0" w:color="000000"/>
                                    <w:left w:val="single" w:sz="4" w:space="0" w:color="000000"/>
                                    <w:bottom w:val="single" w:sz="4" w:space="0" w:color="000000"/>
                                    <w:right w:val="single" w:sz="4" w:space="0" w:color="000000"/>
                                  </w:tcBorders>
                                </w:tcPr>
                                <w:p w14:paraId="7F2BE723"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541A14" w14:paraId="452BCDE8" w14:textId="77777777">
                              <w:trPr>
                                <w:trHeight w:val="583"/>
                              </w:trPr>
                              <w:tc>
                                <w:tcPr>
                                  <w:tcW w:w="457" w:type="dxa"/>
                                  <w:tcBorders>
                                    <w:top w:val="single" w:sz="4" w:space="0" w:color="000000"/>
                                    <w:left w:val="single" w:sz="4" w:space="0" w:color="000000"/>
                                    <w:bottom w:val="single" w:sz="4" w:space="0" w:color="000000"/>
                                    <w:right w:val="single" w:sz="4" w:space="0" w:color="000000"/>
                                  </w:tcBorders>
                                </w:tcPr>
                                <w:p w14:paraId="3EF4518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c>
                                <w:tcPr>
                                  <w:tcW w:w="1220" w:type="dxa"/>
                                  <w:tcBorders>
                                    <w:top w:val="single" w:sz="4" w:space="0" w:color="000000"/>
                                    <w:left w:val="single" w:sz="4" w:space="0" w:color="000000"/>
                                    <w:bottom w:val="single" w:sz="4" w:space="0" w:color="000000"/>
                                    <w:right w:val="single" w:sz="4" w:space="0" w:color="000000"/>
                                  </w:tcBorders>
                                </w:tcPr>
                                <w:p w14:paraId="3DE97F3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FIXED LIGHT </w:t>
                                  </w:r>
                                </w:p>
                              </w:tc>
                              <w:tc>
                                <w:tcPr>
                                  <w:tcW w:w="942" w:type="dxa"/>
                                  <w:tcBorders>
                                    <w:top w:val="single" w:sz="4" w:space="0" w:color="000000"/>
                                    <w:left w:val="single" w:sz="4" w:space="0" w:color="000000"/>
                                    <w:bottom w:val="single" w:sz="4" w:space="0" w:color="000000"/>
                                    <w:right w:val="single" w:sz="4" w:space="0" w:color="000000"/>
                                  </w:tcBorders>
                                </w:tcPr>
                                <w:p w14:paraId="41C2378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 </w:t>
                                  </w:r>
                                </w:p>
                              </w:tc>
                              <w:tc>
                                <w:tcPr>
                                  <w:tcW w:w="2237" w:type="dxa"/>
                                  <w:tcBorders>
                                    <w:top w:val="single" w:sz="4" w:space="0" w:color="000000"/>
                                    <w:left w:val="single" w:sz="4" w:space="0" w:color="000000"/>
                                    <w:bottom w:val="single" w:sz="4" w:space="0" w:color="000000"/>
                                    <w:right w:val="single" w:sz="4" w:space="0" w:color="000000"/>
                                  </w:tcBorders>
                                </w:tcPr>
                                <w:p w14:paraId="52D8E1A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showingcontinuously and steadily. </w:t>
                                  </w:r>
                                </w:p>
                              </w:tc>
                              <w:tc>
                                <w:tcPr>
                                  <w:tcW w:w="6550" w:type="dxa"/>
                                  <w:tcBorders>
                                    <w:top w:val="single" w:sz="4" w:space="0" w:color="000000"/>
                                    <w:left w:val="single" w:sz="4" w:space="0" w:color="000000"/>
                                    <w:bottom w:val="single" w:sz="4" w:space="0" w:color="000000"/>
                                    <w:right w:val="single" w:sz="4" w:space="0" w:color="000000"/>
                                  </w:tcBorders>
                                </w:tcPr>
                                <w:p w14:paraId="6555929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single fixed light should be used with care because it may not be recognized as an aid to navigation light. </w:t>
                                  </w:r>
                                </w:p>
                              </w:tc>
                              <w:tc>
                                <w:tcPr>
                                  <w:tcW w:w="1675" w:type="dxa"/>
                                  <w:tcBorders>
                                    <w:top w:val="single" w:sz="4" w:space="0" w:color="000000"/>
                                    <w:left w:val="single" w:sz="4" w:space="0" w:color="000000"/>
                                    <w:bottom w:val="single" w:sz="4" w:space="0" w:color="000000"/>
                                    <w:right w:val="single" w:sz="4" w:space="0" w:color="000000"/>
                                  </w:tcBorders>
                                </w:tcPr>
                                <w:p w14:paraId="1EE4A8C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single fixed lightshall not be used. </w:t>
                                  </w:r>
                                </w:p>
                              </w:tc>
                            </w:tr>
                            <w:tr w:rsidR="00541A14" w14:paraId="632CCFBE" w14:textId="77777777">
                              <w:trPr>
                                <w:trHeight w:val="798"/>
                              </w:trPr>
                              <w:tc>
                                <w:tcPr>
                                  <w:tcW w:w="457" w:type="dxa"/>
                                  <w:tcBorders>
                                    <w:top w:val="single" w:sz="4" w:space="0" w:color="000000"/>
                                    <w:left w:val="single" w:sz="4" w:space="0" w:color="000000"/>
                                    <w:bottom w:val="single" w:sz="4" w:space="0" w:color="000000"/>
                                    <w:right w:val="single" w:sz="4" w:space="0" w:color="000000"/>
                                  </w:tcBorders>
                                </w:tcPr>
                                <w:p w14:paraId="3C87218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2 </w:t>
                                  </w:r>
                                </w:p>
                              </w:tc>
                              <w:tc>
                                <w:tcPr>
                                  <w:tcW w:w="1220" w:type="dxa"/>
                                  <w:tcBorders>
                                    <w:top w:val="single" w:sz="4" w:space="0" w:color="000000"/>
                                    <w:left w:val="single" w:sz="4" w:space="0" w:color="000000"/>
                                    <w:bottom w:val="single" w:sz="4" w:space="0" w:color="000000"/>
                                    <w:right w:val="single" w:sz="4" w:space="0" w:color="000000"/>
                                  </w:tcBorders>
                                </w:tcPr>
                                <w:p w14:paraId="271E5FF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OCCULTING LIGHT </w:t>
                                  </w:r>
                                </w:p>
                              </w:tc>
                              <w:tc>
                                <w:tcPr>
                                  <w:tcW w:w="942" w:type="dxa"/>
                                  <w:tcBorders>
                                    <w:top w:val="single" w:sz="4" w:space="0" w:color="000000"/>
                                    <w:left w:val="single" w:sz="4" w:space="0" w:color="000000"/>
                                    <w:bottom w:val="single" w:sz="4" w:space="0" w:color="000000"/>
                                    <w:right w:val="single" w:sz="4" w:space="0" w:color="000000"/>
                                  </w:tcBorders>
                                </w:tcPr>
                                <w:p w14:paraId="53541604" w14:textId="77777777" w:rsidR="00541A14" w:rsidRDefault="00541A14">
                                  <w:pPr>
                                    <w:pStyle w:val="Default"/>
                                    <w:rPr>
                                      <w:rFonts w:cs="Times New Roman"/>
                                      <w:color w:val="auto"/>
                                    </w:rPr>
                                  </w:pPr>
                                </w:p>
                              </w:tc>
                              <w:tc>
                                <w:tcPr>
                                  <w:tcW w:w="2237" w:type="dxa"/>
                                  <w:tcBorders>
                                    <w:top w:val="single" w:sz="4" w:space="0" w:color="000000"/>
                                    <w:left w:val="single" w:sz="4" w:space="0" w:color="000000"/>
                                    <w:bottom w:val="single" w:sz="4" w:space="0" w:color="000000"/>
                                    <w:right w:val="single" w:sz="4" w:space="0" w:color="000000"/>
                                  </w:tcBorders>
                                  <w:vAlign w:val="bottom"/>
                                </w:tcPr>
                                <w:p w14:paraId="5BDD736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the totalduration of light in aperiod is longer than thetotal duration of darknessand the intervals ofdarkness (eclipses) areusually of equal duration. </w:t>
                                  </w:r>
                                </w:p>
                              </w:tc>
                              <w:tc>
                                <w:tcPr>
                                  <w:tcW w:w="6550" w:type="dxa"/>
                                  <w:tcBorders>
                                    <w:top w:val="single" w:sz="4" w:space="0" w:color="000000"/>
                                    <w:left w:val="single" w:sz="4" w:space="0" w:color="000000"/>
                                    <w:bottom w:val="single" w:sz="4" w:space="0" w:color="000000"/>
                                    <w:right w:val="single" w:sz="4" w:space="0" w:color="000000"/>
                                  </w:tcBorders>
                                </w:tcPr>
                                <w:p w14:paraId="59A0984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the total duration of light in a period is clearly longer than thetotal duration of darkness an all the eclipses are of equal duration. </w:t>
                                  </w:r>
                                </w:p>
                              </w:tc>
                              <w:tc>
                                <w:tcPr>
                                  <w:tcW w:w="1675" w:type="dxa"/>
                                  <w:tcBorders>
                                    <w:top w:val="single" w:sz="4" w:space="0" w:color="000000"/>
                                    <w:left w:val="single" w:sz="4" w:space="0" w:color="000000"/>
                                    <w:bottom w:val="single" w:sz="4" w:space="0" w:color="000000"/>
                                    <w:right w:val="single" w:sz="4" w:space="0" w:color="000000"/>
                                  </w:tcBorders>
                                </w:tcPr>
                                <w:p w14:paraId="00FF74B4" w14:textId="77777777" w:rsidR="00541A14" w:rsidRDefault="00541A14">
                                  <w:pPr>
                                    <w:pStyle w:val="Default"/>
                                    <w:rPr>
                                      <w:rFonts w:cs="Times New Roman"/>
                                      <w:color w:val="auto"/>
                                    </w:rPr>
                                  </w:pPr>
                                </w:p>
                              </w:tc>
                            </w:tr>
                            <w:tr w:rsidR="00541A14" w14:paraId="33E30C9B" w14:textId="77777777">
                              <w:trPr>
                                <w:trHeight w:val="843"/>
                              </w:trPr>
                              <w:tc>
                                <w:tcPr>
                                  <w:tcW w:w="457" w:type="dxa"/>
                                  <w:tcBorders>
                                    <w:top w:val="single" w:sz="4" w:space="0" w:color="000000"/>
                                    <w:left w:val="single" w:sz="4" w:space="0" w:color="000000"/>
                                    <w:bottom w:val="single" w:sz="4" w:space="0" w:color="000000"/>
                                    <w:right w:val="single" w:sz="4" w:space="0" w:color="000000"/>
                                  </w:tcBorders>
                                </w:tcPr>
                                <w:p w14:paraId="492A884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2.1 </w:t>
                                  </w:r>
                                </w:p>
                              </w:tc>
                              <w:tc>
                                <w:tcPr>
                                  <w:tcW w:w="1220" w:type="dxa"/>
                                  <w:tcBorders>
                                    <w:top w:val="single" w:sz="4" w:space="0" w:color="000000"/>
                                    <w:left w:val="single" w:sz="4" w:space="0" w:color="000000"/>
                                    <w:bottom w:val="single" w:sz="4" w:space="0" w:color="000000"/>
                                    <w:right w:val="single" w:sz="4" w:space="0" w:color="000000"/>
                                  </w:tcBorders>
                                </w:tcPr>
                                <w:p w14:paraId="7FBA484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Singleoccultinglight </w:t>
                                  </w:r>
                                </w:p>
                              </w:tc>
                              <w:tc>
                                <w:tcPr>
                                  <w:tcW w:w="942" w:type="dxa"/>
                                  <w:tcBorders>
                                    <w:top w:val="single" w:sz="4" w:space="0" w:color="000000"/>
                                    <w:left w:val="single" w:sz="4" w:space="0" w:color="000000"/>
                                    <w:bottom w:val="single" w:sz="4" w:space="0" w:color="000000"/>
                                    <w:right w:val="single" w:sz="4" w:space="0" w:color="000000"/>
                                  </w:tcBorders>
                                </w:tcPr>
                                <w:p w14:paraId="2873D91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 </w:t>
                                  </w:r>
                                </w:p>
                              </w:tc>
                              <w:tc>
                                <w:tcPr>
                                  <w:tcW w:w="2237" w:type="dxa"/>
                                  <w:tcBorders>
                                    <w:top w:val="single" w:sz="4" w:space="0" w:color="000000"/>
                                    <w:left w:val="single" w:sz="4" w:space="0" w:color="000000"/>
                                    <w:bottom w:val="single" w:sz="4" w:space="0" w:color="000000"/>
                                    <w:right w:val="single" w:sz="4" w:space="0" w:color="000000"/>
                                  </w:tcBorders>
                                </w:tcPr>
                                <w:p w14:paraId="7F5CD0D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An occulting light inwhich an eclipse isregularly repeated </w:t>
                                  </w:r>
                                </w:p>
                              </w:tc>
                              <w:tc>
                                <w:tcPr>
                                  <w:tcW w:w="6550" w:type="dxa"/>
                                  <w:tcBorders>
                                    <w:top w:val="single" w:sz="4" w:space="0" w:color="000000"/>
                                    <w:left w:val="single" w:sz="4" w:space="0" w:color="000000"/>
                                    <w:bottom w:val="single" w:sz="4" w:space="0" w:color="000000"/>
                                    <w:right w:val="single" w:sz="4" w:space="0" w:color="000000"/>
                                  </w:tcBorders>
                                </w:tcPr>
                                <w:p w14:paraId="26C41DB3"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The duration of an appearance of light should not be less than three times theduration of an eclipse. The period should not be less than 2 s</w:t>
                                  </w:r>
                                  <w:r>
                                    <w:rPr>
                                      <w:rFonts w:ascii="Helvetica 55 Roman" w:hAnsi="Helvetica 55 Roman" w:cs="Helvetica 55 Roman"/>
                                      <w:sz w:val="12"/>
                                      <w:szCs w:val="12"/>
                                    </w:rPr>
                                    <w:t xml:space="preserve">Example: l = 3 s; d = 1 s; p = 4 s 1  3 d p  2 s </w:t>
                                  </w:r>
                                </w:p>
                              </w:tc>
                              <w:tc>
                                <w:tcPr>
                                  <w:tcW w:w="1675" w:type="dxa"/>
                                  <w:tcBorders>
                                    <w:top w:val="single" w:sz="4" w:space="0" w:color="000000"/>
                                    <w:left w:val="single" w:sz="4" w:space="0" w:color="000000"/>
                                    <w:bottom w:val="single" w:sz="4" w:space="0" w:color="000000"/>
                                    <w:right w:val="single" w:sz="4" w:space="0" w:color="000000"/>
                                  </w:tcBorders>
                                </w:tcPr>
                                <w:p w14:paraId="4CB416F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single occultingWhitelightindicates a safewater mark. </w:t>
                                  </w:r>
                                </w:p>
                              </w:tc>
                            </w:tr>
                            <w:tr w:rsidR="00541A14" w14:paraId="1F802057" w14:textId="77777777">
                              <w:trPr>
                                <w:trHeight w:val="2072"/>
                              </w:trPr>
                              <w:tc>
                                <w:tcPr>
                                  <w:tcW w:w="457" w:type="dxa"/>
                                  <w:tcBorders>
                                    <w:top w:val="single" w:sz="4" w:space="0" w:color="000000"/>
                                    <w:left w:val="single" w:sz="4" w:space="0" w:color="000000"/>
                                    <w:bottom w:val="single" w:sz="4" w:space="0" w:color="000000"/>
                                    <w:right w:val="single" w:sz="4" w:space="0" w:color="000000"/>
                                  </w:tcBorders>
                                </w:tcPr>
                                <w:p w14:paraId="2867533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2.2 </w:t>
                                  </w:r>
                                </w:p>
                              </w:tc>
                              <w:tc>
                                <w:tcPr>
                                  <w:tcW w:w="1220" w:type="dxa"/>
                                  <w:tcBorders>
                                    <w:top w:val="single" w:sz="4" w:space="0" w:color="000000"/>
                                    <w:left w:val="single" w:sz="4" w:space="0" w:color="000000"/>
                                    <w:bottom w:val="single" w:sz="4" w:space="0" w:color="000000"/>
                                    <w:right w:val="single" w:sz="4" w:space="0" w:color="000000"/>
                                  </w:tcBorders>
                                </w:tcPr>
                                <w:p w14:paraId="1EF0A56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Groupoccultinglight </w:t>
                                  </w:r>
                                </w:p>
                              </w:tc>
                              <w:tc>
                                <w:tcPr>
                                  <w:tcW w:w="942" w:type="dxa"/>
                                  <w:tcBorders>
                                    <w:top w:val="single" w:sz="4" w:space="0" w:color="000000"/>
                                    <w:left w:val="single" w:sz="4" w:space="0" w:color="000000"/>
                                    <w:bottom w:val="single" w:sz="4" w:space="0" w:color="000000"/>
                                    <w:right w:val="single" w:sz="4" w:space="0" w:color="000000"/>
                                  </w:tcBorders>
                                </w:tcPr>
                                <w:p w14:paraId="1105FEE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Oc(#)eg. Oc(2) </w:t>
                                  </w:r>
                                </w:p>
                              </w:tc>
                              <w:tc>
                                <w:tcPr>
                                  <w:tcW w:w="2237" w:type="dxa"/>
                                  <w:tcBorders>
                                    <w:top w:val="single" w:sz="4" w:space="0" w:color="000000"/>
                                    <w:left w:val="single" w:sz="4" w:space="0" w:color="000000"/>
                                    <w:bottom w:val="single" w:sz="4" w:space="0" w:color="000000"/>
                                    <w:right w:val="single" w:sz="4" w:space="0" w:color="000000"/>
                                  </w:tcBorders>
                                </w:tcPr>
                                <w:p w14:paraId="2E112E1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An occulting lightin which a group ofeclipses, specified innumber, is regularly repeated. </w:t>
                                  </w:r>
                                </w:p>
                              </w:tc>
                              <w:tc>
                                <w:tcPr>
                                  <w:tcW w:w="6550" w:type="dxa"/>
                                  <w:tcBorders>
                                    <w:top w:val="single" w:sz="4" w:space="0" w:color="000000"/>
                                    <w:left w:val="single" w:sz="4" w:space="0" w:color="000000"/>
                                    <w:bottom w:val="single" w:sz="4" w:space="0" w:color="000000"/>
                                    <w:right w:val="single" w:sz="4" w:space="0" w:color="000000"/>
                                  </w:tcBorders>
                                </w:tcPr>
                                <w:p w14:paraId="64216B49"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The appearances of light between the eclipses in a group are of equal duration,and this duration is clearly shorter than the duration of the appearance of lightbetween successive groups.The number of eclipses in a group should not be greater than four in general, andshould be five only as an exceptionThe duration of an appearance of light within a group should not be less than theduration of an eclipse.The duration of an appearance of light between groups should not be less thanthree times the duration of an appearance of light within a group.In a group of two eclipses, the duration of an eclipse together with the durationof the appearance of light within a, group should not be less than 1 s.In a group of three or more eclipses, the duration of an eclipse together with theduration of an appearance of light within the group should not be less than 2 s.</w:t>
                                  </w:r>
                                  <w:r>
                                    <w:rPr>
                                      <w:rFonts w:ascii="Helvetica 55 Roman" w:hAnsi="Helvetica 55 Roman" w:cs="Helvetica 55 Roman"/>
                                      <w:sz w:val="12"/>
                                      <w:szCs w:val="12"/>
                                    </w:rPr>
                                    <w:t xml:space="preserve">l’  3 l 1  d c  1 sOc(2) Example: l’ = 6 s; l = 2 s; d = 1 s; c = 3 s; p = 10 s </w:t>
                                  </w:r>
                                </w:p>
                              </w:tc>
                              <w:tc>
                                <w:tcPr>
                                  <w:tcW w:w="1675" w:type="dxa"/>
                                  <w:tcBorders>
                                    <w:top w:val="single" w:sz="4" w:space="0" w:color="000000"/>
                                    <w:left w:val="single" w:sz="4" w:space="0" w:color="000000"/>
                                    <w:bottom w:val="single" w:sz="4" w:space="0" w:color="000000"/>
                                    <w:right w:val="single" w:sz="4" w:space="0" w:color="000000"/>
                                  </w:tcBorders>
                                </w:tcPr>
                                <w:p w14:paraId="711DCE4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group occultingYellowlightindicates a specialmark. </w:t>
                                  </w:r>
                                </w:p>
                              </w:tc>
                            </w:tr>
                          </w:tbl>
                          <w:p w14:paraId="35E0A4FF"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2" type="#_x0000_t202" style="position:absolute;margin-left:63.55pt;margin-top:117.55pt;width:694.05pt;height:773.6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32"/>
                        <w:gridCol w:w="473"/>
                        <w:gridCol w:w="115"/>
                        <w:gridCol w:w="42"/>
                        <w:gridCol w:w="33"/>
                        <w:gridCol w:w="120"/>
                        <w:gridCol w:w="182"/>
                        <w:gridCol w:w="5"/>
                        <w:gridCol w:w="28"/>
                        <w:gridCol w:w="70"/>
                        <w:gridCol w:w="65"/>
                        <w:gridCol w:w="87"/>
                        <w:gridCol w:w="30"/>
                        <w:gridCol w:w="50"/>
                        <w:gridCol w:w="10"/>
                        <w:gridCol w:w="110"/>
                        <w:gridCol w:w="15"/>
                        <w:gridCol w:w="55"/>
                        <w:gridCol w:w="20"/>
                        <w:gridCol w:w="50"/>
                        <w:gridCol w:w="50"/>
                        <w:gridCol w:w="118"/>
                        <w:gridCol w:w="95"/>
                        <w:gridCol w:w="2"/>
                        <w:gridCol w:w="33"/>
                        <w:gridCol w:w="155"/>
                        <w:gridCol w:w="20"/>
                        <w:gridCol w:w="129"/>
                        <w:gridCol w:w="68"/>
                        <w:gridCol w:w="112"/>
                        <w:gridCol w:w="5"/>
                        <w:gridCol w:w="65"/>
                        <w:gridCol w:w="58"/>
                        <w:gridCol w:w="22"/>
                        <w:gridCol w:w="8"/>
                        <w:gridCol w:w="7"/>
                        <w:gridCol w:w="73"/>
                        <w:gridCol w:w="120"/>
                        <w:gridCol w:w="72"/>
                        <w:gridCol w:w="235"/>
                        <w:gridCol w:w="5"/>
                        <w:gridCol w:w="60"/>
                        <w:gridCol w:w="237"/>
                        <w:gridCol w:w="38"/>
                        <w:gridCol w:w="15"/>
                        <w:gridCol w:w="25"/>
                        <w:gridCol w:w="50"/>
                        <w:gridCol w:w="103"/>
                        <w:gridCol w:w="33"/>
                        <w:gridCol w:w="234"/>
                        <w:gridCol w:w="5"/>
                        <w:gridCol w:w="5"/>
                        <w:gridCol w:w="12"/>
                        <w:gridCol w:w="47"/>
                        <w:gridCol w:w="168"/>
                        <w:gridCol w:w="48"/>
                        <w:gridCol w:w="4"/>
                        <w:gridCol w:w="110"/>
                        <w:gridCol w:w="12"/>
                        <w:gridCol w:w="108"/>
                        <w:gridCol w:w="4"/>
                        <w:gridCol w:w="69"/>
                        <w:gridCol w:w="123"/>
                        <w:gridCol w:w="170"/>
                        <w:gridCol w:w="30"/>
                        <w:gridCol w:w="18"/>
                        <w:gridCol w:w="89"/>
                        <w:gridCol w:w="47"/>
                        <w:gridCol w:w="166"/>
                        <w:gridCol w:w="189"/>
                        <w:gridCol w:w="10"/>
                        <w:gridCol w:w="207"/>
                        <w:gridCol w:w="86"/>
                        <w:gridCol w:w="70"/>
                        <w:gridCol w:w="8"/>
                        <w:gridCol w:w="78"/>
                        <w:gridCol w:w="152"/>
                        <w:gridCol w:w="122"/>
                        <w:gridCol w:w="157"/>
                        <w:gridCol w:w="183"/>
                        <w:gridCol w:w="55"/>
                        <w:gridCol w:w="2"/>
                        <w:gridCol w:w="283"/>
                        <w:gridCol w:w="254"/>
                        <w:gridCol w:w="76"/>
                        <w:gridCol w:w="119"/>
                        <w:gridCol w:w="23"/>
                        <w:gridCol w:w="1086"/>
                        <w:gridCol w:w="161"/>
                        <w:gridCol w:w="173"/>
                        <w:gridCol w:w="71"/>
                        <w:gridCol w:w="6"/>
                        <w:gridCol w:w="13"/>
                        <w:gridCol w:w="2"/>
                        <w:gridCol w:w="8"/>
                        <w:gridCol w:w="76"/>
                        <w:gridCol w:w="1845"/>
                        <w:gridCol w:w="345"/>
                        <w:gridCol w:w="47"/>
                        <w:gridCol w:w="1670"/>
                        <w:gridCol w:w="13"/>
                      </w:tblGrid>
                      <w:tr w:rsidR="00000000" w14:paraId="524F1563" w14:textId="77777777">
                        <w:tblPrEx>
                          <w:tblCellMar>
                            <w:top w:w="0" w:type="dxa"/>
                            <w:bottom w:w="0" w:type="dxa"/>
                          </w:tblCellMar>
                        </w:tblPrEx>
                        <w:trPr>
                          <w:trHeight w:val="372"/>
                        </w:trPr>
                        <w:tc>
                          <w:tcPr>
                            <w:tcW w:w="457" w:type="dxa"/>
                            <w:gridSpan w:val="2"/>
                            <w:tcBorders>
                              <w:top w:val="single" w:sz="4" w:space="0" w:color="000000"/>
                              <w:left w:val="single" w:sz="4" w:space="0" w:color="000000"/>
                              <w:bottom w:val="single" w:sz="4" w:space="0" w:color="000000"/>
                              <w:right w:val="single" w:sz="4" w:space="0" w:color="000000"/>
                            </w:tcBorders>
                          </w:tcPr>
                          <w:p w14:paraId="1A0580AB" w14:textId="77777777" w:rsidR="00000000" w:rsidRDefault="00A450E1">
                            <w:pPr>
                              <w:pStyle w:val="Default"/>
                              <w:rPr>
                                <w:rFonts w:cs="Times New Roman"/>
                                <w:color w:val="auto"/>
                              </w:rPr>
                            </w:pPr>
                          </w:p>
                        </w:tc>
                        <w:tc>
                          <w:tcPr>
                            <w:tcW w:w="1220" w:type="dxa"/>
                            <w:gridSpan w:val="11"/>
                            <w:tcBorders>
                              <w:top w:val="single" w:sz="4" w:space="0" w:color="000000"/>
                              <w:left w:val="single" w:sz="4" w:space="0" w:color="000000"/>
                              <w:bottom w:val="single" w:sz="4" w:space="0" w:color="000000"/>
                              <w:right w:val="single" w:sz="4" w:space="0" w:color="000000"/>
                            </w:tcBorders>
                            <w:vAlign w:val="center"/>
                          </w:tcPr>
                          <w:p w14:paraId="6025DB03"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942" w:type="dxa"/>
                            <w:gridSpan w:val="16"/>
                            <w:tcBorders>
                              <w:top w:val="single" w:sz="4" w:space="0" w:color="000000"/>
                              <w:left w:val="single" w:sz="4" w:space="0" w:color="000000"/>
                              <w:bottom w:val="single" w:sz="4" w:space="0" w:color="000000"/>
                              <w:right w:val="single" w:sz="4" w:space="0" w:color="000000"/>
                            </w:tcBorders>
                            <w:vAlign w:val="center"/>
                          </w:tcPr>
                          <w:p w14:paraId="274FF974"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237" w:type="dxa"/>
                            <w:gridSpan w:val="34"/>
                            <w:tcBorders>
                              <w:top w:val="single" w:sz="4" w:space="0" w:color="000000"/>
                              <w:left w:val="single" w:sz="4" w:space="0" w:color="000000"/>
                              <w:bottom w:val="single" w:sz="4" w:space="0" w:color="000000"/>
                              <w:right w:val="single" w:sz="4" w:space="0" w:color="000000"/>
                            </w:tcBorders>
                            <w:vAlign w:val="center"/>
                          </w:tcPr>
                          <w:p w14:paraId="4221982E"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6550" w:type="dxa"/>
                            <w:gridSpan w:val="37"/>
                            <w:tcBorders>
                              <w:top w:val="single" w:sz="4" w:space="0" w:color="000000"/>
                              <w:left w:val="single" w:sz="4" w:space="0" w:color="000000"/>
                              <w:bottom w:val="single" w:sz="4" w:space="0" w:color="000000"/>
                              <w:right w:val="single" w:sz="4" w:space="0" w:color="000000"/>
                            </w:tcBorders>
                            <w:vAlign w:val="center"/>
                          </w:tcPr>
                          <w:p w14:paraId="1DD7E9AA"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1675" w:type="dxa"/>
                            <w:gridSpan w:val="2"/>
                            <w:tcBorders>
                              <w:top w:val="single" w:sz="4" w:space="0" w:color="000000"/>
                              <w:left w:val="single" w:sz="4" w:space="0" w:color="000000"/>
                              <w:bottom w:val="single" w:sz="4" w:space="0" w:color="000000"/>
                              <w:right w:val="single" w:sz="4" w:space="0" w:color="000000"/>
                            </w:tcBorders>
                          </w:tcPr>
                          <w:p w14:paraId="7F2BE723"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000000" w14:paraId="452BCDE8" w14:textId="77777777">
                        <w:tblPrEx>
                          <w:tblCellMar>
                            <w:top w:w="0" w:type="dxa"/>
                            <w:bottom w:w="0" w:type="dxa"/>
                          </w:tblCellMar>
                        </w:tblPrEx>
                        <w:trPr>
                          <w:trHeight w:val="583"/>
                        </w:trPr>
                        <w:tc>
                          <w:tcPr>
                            <w:tcW w:w="457" w:type="dxa"/>
                            <w:gridSpan w:val="2"/>
                            <w:tcBorders>
                              <w:top w:val="single" w:sz="4" w:space="0" w:color="000000"/>
                              <w:left w:val="single" w:sz="4" w:space="0" w:color="000000"/>
                              <w:bottom w:val="single" w:sz="4" w:space="0" w:color="000000"/>
                              <w:right w:val="single" w:sz="4" w:space="0" w:color="000000"/>
                            </w:tcBorders>
                          </w:tcPr>
                          <w:p w14:paraId="3EF4518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w:t>
                            </w:r>
                          </w:p>
                        </w:tc>
                        <w:tc>
                          <w:tcPr>
                            <w:tcW w:w="1220" w:type="dxa"/>
                            <w:gridSpan w:val="11"/>
                            <w:tcBorders>
                              <w:top w:val="single" w:sz="4" w:space="0" w:color="000000"/>
                              <w:left w:val="single" w:sz="4" w:space="0" w:color="000000"/>
                              <w:bottom w:val="single" w:sz="4" w:space="0" w:color="000000"/>
                              <w:right w:val="single" w:sz="4" w:space="0" w:color="000000"/>
                            </w:tcBorders>
                          </w:tcPr>
                          <w:p w14:paraId="3DE97F3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FIXED LIGHT </w:t>
                            </w:r>
                          </w:p>
                        </w:tc>
                        <w:tc>
                          <w:tcPr>
                            <w:tcW w:w="942" w:type="dxa"/>
                            <w:gridSpan w:val="16"/>
                            <w:tcBorders>
                              <w:top w:val="single" w:sz="4" w:space="0" w:color="000000"/>
                              <w:left w:val="single" w:sz="4" w:space="0" w:color="000000"/>
                              <w:bottom w:val="single" w:sz="4" w:space="0" w:color="000000"/>
                              <w:right w:val="single" w:sz="4" w:space="0" w:color="000000"/>
                            </w:tcBorders>
                          </w:tcPr>
                          <w:p w14:paraId="41C2378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 </w:t>
                            </w:r>
                          </w:p>
                        </w:tc>
                        <w:tc>
                          <w:tcPr>
                            <w:tcW w:w="2237" w:type="dxa"/>
                            <w:gridSpan w:val="34"/>
                            <w:tcBorders>
                              <w:top w:val="single" w:sz="4" w:space="0" w:color="000000"/>
                              <w:left w:val="single" w:sz="4" w:space="0" w:color="000000"/>
                              <w:bottom w:val="single" w:sz="4" w:space="0" w:color="000000"/>
                              <w:right w:val="single" w:sz="4" w:space="0" w:color="000000"/>
                            </w:tcBorders>
                          </w:tcPr>
                          <w:p w14:paraId="52D8E1A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showingcontinuously and steadily. </w:t>
                            </w:r>
                          </w:p>
                        </w:tc>
                        <w:tc>
                          <w:tcPr>
                            <w:tcW w:w="6550" w:type="dxa"/>
                            <w:gridSpan w:val="37"/>
                            <w:tcBorders>
                              <w:top w:val="single" w:sz="4" w:space="0" w:color="000000"/>
                              <w:left w:val="single" w:sz="4" w:space="0" w:color="000000"/>
                              <w:bottom w:val="single" w:sz="4" w:space="0" w:color="000000"/>
                              <w:right w:val="single" w:sz="4" w:space="0" w:color="000000"/>
                            </w:tcBorders>
                          </w:tcPr>
                          <w:p w14:paraId="6555929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single fixed light should be used with care because it may not be recognized as an aid to navigation light. </w:t>
                            </w:r>
                          </w:p>
                        </w:tc>
                        <w:tc>
                          <w:tcPr>
                            <w:tcW w:w="1675" w:type="dxa"/>
                            <w:gridSpan w:val="2"/>
                            <w:tcBorders>
                              <w:top w:val="single" w:sz="4" w:space="0" w:color="000000"/>
                              <w:left w:val="single" w:sz="4" w:space="0" w:color="000000"/>
                              <w:bottom w:val="single" w:sz="4" w:space="0" w:color="000000"/>
                              <w:right w:val="single" w:sz="4" w:space="0" w:color="000000"/>
                            </w:tcBorders>
                          </w:tcPr>
                          <w:p w14:paraId="1EE4A8C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single fixed lightshall not be used. </w:t>
                            </w:r>
                          </w:p>
                        </w:tc>
                      </w:tr>
                      <w:tr w:rsidR="00000000" w14:paraId="632CCFBE" w14:textId="77777777">
                        <w:tblPrEx>
                          <w:tblCellMar>
                            <w:top w:w="0" w:type="dxa"/>
                            <w:bottom w:w="0" w:type="dxa"/>
                          </w:tblCellMar>
                        </w:tblPrEx>
                        <w:trPr>
                          <w:trHeight w:val="798"/>
                        </w:trPr>
                        <w:tc>
                          <w:tcPr>
                            <w:tcW w:w="457" w:type="dxa"/>
                            <w:gridSpan w:val="2"/>
                            <w:tcBorders>
                              <w:top w:val="single" w:sz="4" w:space="0" w:color="000000"/>
                              <w:left w:val="single" w:sz="4" w:space="0" w:color="000000"/>
                              <w:bottom w:val="single" w:sz="4" w:space="0" w:color="000000"/>
                              <w:right w:val="single" w:sz="4" w:space="0" w:color="000000"/>
                            </w:tcBorders>
                          </w:tcPr>
                          <w:p w14:paraId="3C87218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2 </w:t>
                            </w:r>
                          </w:p>
                        </w:tc>
                        <w:tc>
                          <w:tcPr>
                            <w:tcW w:w="1220" w:type="dxa"/>
                            <w:gridSpan w:val="11"/>
                            <w:tcBorders>
                              <w:top w:val="single" w:sz="4" w:space="0" w:color="000000"/>
                              <w:left w:val="single" w:sz="4" w:space="0" w:color="000000"/>
                              <w:bottom w:val="single" w:sz="4" w:space="0" w:color="000000"/>
                              <w:right w:val="single" w:sz="4" w:space="0" w:color="000000"/>
                            </w:tcBorders>
                          </w:tcPr>
                          <w:p w14:paraId="271E5FF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OCCULTING LIGHT </w:t>
                            </w:r>
                          </w:p>
                        </w:tc>
                        <w:tc>
                          <w:tcPr>
                            <w:tcW w:w="942" w:type="dxa"/>
                            <w:gridSpan w:val="16"/>
                            <w:tcBorders>
                              <w:top w:val="single" w:sz="4" w:space="0" w:color="000000"/>
                              <w:left w:val="single" w:sz="4" w:space="0" w:color="000000"/>
                              <w:bottom w:val="single" w:sz="4" w:space="0" w:color="000000"/>
                              <w:right w:val="single" w:sz="4" w:space="0" w:color="000000"/>
                            </w:tcBorders>
                          </w:tcPr>
                          <w:p w14:paraId="53541604" w14:textId="77777777" w:rsidR="00000000" w:rsidRDefault="00A450E1">
                            <w:pPr>
                              <w:pStyle w:val="Default"/>
                              <w:rPr>
                                <w:rFonts w:cs="Times New Roman"/>
                                <w:color w:val="auto"/>
                              </w:rPr>
                            </w:pPr>
                          </w:p>
                        </w:tc>
                        <w:tc>
                          <w:tcPr>
                            <w:tcW w:w="2237" w:type="dxa"/>
                            <w:gridSpan w:val="34"/>
                            <w:tcBorders>
                              <w:top w:val="single" w:sz="4" w:space="0" w:color="000000"/>
                              <w:left w:val="single" w:sz="4" w:space="0" w:color="000000"/>
                              <w:bottom w:val="single" w:sz="4" w:space="0" w:color="000000"/>
                              <w:right w:val="single" w:sz="4" w:space="0" w:color="000000"/>
                            </w:tcBorders>
                            <w:vAlign w:val="bottom"/>
                          </w:tcPr>
                          <w:p w14:paraId="5BDD736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the totalduration of light in aperiod is longer than thetotal duration of darknessand the intervals ofdarkness (eclipses) areusually of equal duration. </w:t>
                            </w:r>
                          </w:p>
                        </w:tc>
                        <w:tc>
                          <w:tcPr>
                            <w:tcW w:w="6550" w:type="dxa"/>
                            <w:gridSpan w:val="37"/>
                            <w:tcBorders>
                              <w:top w:val="single" w:sz="4" w:space="0" w:color="000000"/>
                              <w:left w:val="single" w:sz="4" w:space="0" w:color="000000"/>
                              <w:bottom w:val="single" w:sz="4" w:space="0" w:color="000000"/>
                              <w:right w:val="single" w:sz="4" w:space="0" w:color="000000"/>
                            </w:tcBorders>
                          </w:tcPr>
                          <w:p w14:paraId="59A0984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light in which the total duration of light in a period is clearly longer than thetot</w:t>
                            </w:r>
                            <w:r>
                              <w:rPr>
                                <w:rFonts w:ascii="Helvetica 55 Roman" w:hAnsi="Helvetica 55 Roman" w:cs="Helvetica 55 Roman"/>
                                <w:sz w:val="18"/>
                                <w:szCs w:val="18"/>
                              </w:rPr>
                              <w:t xml:space="preserve">al duration of darkness an all the eclipses are of equal duration. </w:t>
                            </w:r>
                          </w:p>
                        </w:tc>
                        <w:tc>
                          <w:tcPr>
                            <w:tcW w:w="1675" w:type="dxa"/>
                            <w:gridSpan w:val="2"/>
                            <w:tcBorders>
                              <w:top w:val="single" w:sz="4" w:space="0" w:color="000000"/>
                              <w:left w:val="single" w:sz="4" w:space="0" w:color="000000"/>
                              <w:bottom w:val="single" w:sz="4" w:space="0" w:color="000000"/>
                              <w:right w:val="single" w:sz="4" w:space="0" w:color="000000"/>
                            </w:tcBorders>
                          </w:tcPr>
                          <w:p w14:paraId="00FF74B4" w14:textId="77777777" w:rsidR="00000000" w:rsidRDefault="00A450E1">
                            <w:pPr>
                              <w:pStyle w:val="Default"/>
                              <w:rPr>
                                <w:rFonts w:cs="Times New Roman"/>
                                <w:color w:val="auto"/>
                              </w:rPr>
                            </w:pPr>
                          </w:p>
                        </w:tc>
                      </w:tr>
                      <w:tr w:rsidR="00000000" w14:paraId="33E30C9B" w14:textId="77777777">
                        <w:tblPrEx>
                          <w:tblCellMar>
                            <w:top w:w="0" w:type="dxa"/>
                            <w:bottom w:w="0" w:type="dxa"/>
                          </w:tblCellMar>
                        </w:tblPrEx>
                        <w:trPr>
                          <w:trHeight w:val="843"/>
                        </w:trPr>
                        <w:tc>
                          <w:tcPr>
                            <w:tcW w:w="457" w:type="dxa"/>
                            <w:gridSpan w:val="2"/>
                            <w:tcBorders>
                              <w:top w:val="single" w:sz="4" w:space="0" w:color="000000"/>
                              <w:left w:val="single" w:sz="4" w:space="0" w:color="000000"/>
                              <w:bottom w:val="single" w:sz="4" w:space="0" w:color="000000"/>
                              <w:right w:val="single" w:sz="4" w:space="0" w:color="000000"/>
                            </w:tcBorders>
                          </w:tcPr>
                          <w:p w14:paraId="492A884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2.1 </w:t>
                            </w:r>
                          </w:p>
                        </w:tc>
                        <w:tc>
                          <w:tcPr>
                            <w:tcW w:w="1220" w:type="dxa"/>
                            <w:gridSpan w:val="11"/>
                            <w:tcBorders>
                              <w:top w:val="single" w:sz="4" w:space="0" w:color="000000"/>
                              <w:left w:val="single" w:sz="4" w:space="0" w:color="000000"/>
                              <w:bottom w:val="single" w:sz="4" w:space="0" w:color="000000"/>
                              <w:right w:val="single" w:sz="4" w:space="0" w:color="000000"/>
                            </w:tcBorders>
                          </w:tcPr>
                          <w:p w14:paraId="7FBA484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Singleoccultinglight </w:t>
                            </w:r>
                          </w:p>
                        </w:tc>
                        <w:tc>
                          <w:tcPr>
                            <w:tcW w:w="942" w:type="dxa"/>
                            <w:gridSpan w:val="16"/>
                            <w:tcBorders>
                              <w:top w:val="single" w:sz="4" w:space="0" w:color="000000"/>
                              <w:left w:val="single" w:sz="4" w:space="0" w:color="000000"/>
                              <w:bottom w:val="single" w:sz="4" w:space="0" w:color="000000"/>
                              <w:right w:val="single" w:sz="4" w:space="0" w:color="000000"/>
                            </w:tcBorders>
                          </w:tcPr>
                          <w:p w14:paraId="2873D91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 </w:t>
                            </w:r>
                          </w:p>
                        </w:tc>
                        <w:tc>
                          <w:tcPr>
                            <w:tcW w:w="2237" w:type="dxa"/>
                            <w:gridSpan w:val="34"/>
                            <w:tcBorders>
                              <w:top w:val="single" w:sz="4" w:space="0" w:color="000000"/>
                              <w:left w:val="single" w:sz="4" w:space="0" w:color="000000"/>
                              <w:bottom w:val="single" w:sz="4" w:space="0" w:color="000000"/>
                              <w:right w:val="single" w:sz="4" w:space="0" w:color="000000"/>
                            </w:tcBorders>
                          </w:tcPr>
                          <w:p w14:paraId="7F5CD0D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An occulting light inwhich an eclipse isregularly repeated </w:t>
                            </w:r>
                          </w:p>
                        </w:tc>
                        <w:tc>
                          <w:tcPr>
                            <w:tcW w:w="6550" w:type="dxa"/>
                            <w:gridSpan w:val="37"/>
                            <w:tcBorders>
                              <w:top w:val="single" w:sz="4" w:space="0" w:color="000000"/>
                              <w:left w:val="single" w:sz="4" w:space="0" w:color="000000"/>
                              <w:bottom w:val="single" w:sz="4" w:space="0" w:color="000000"/>
                              <w:right w:val="single" w:sz="4" w:space="0" w:color="000000"/>
                            </w:tcBorders>
                          </w:tcPr>
                          <w:p w14:paraId="26C41DB3"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The duration of an appearance of light should not be less than three times theduration of an eclipse. The period should not be less than 2 s</w:t>
                            </w:r>
                            <w:r>
                              <w:rPr>
                                <w:rFonts w:ascii="Helvetica 55 Roman" w:hAnsi="Helvetica 55 Roman" w:cs="Helvetica 55 Roman"/>
                                <w:sz w:val="12"/>
                                <w:szCs w:val="12"/>
                              </w:rPr>
                              <w:t xml:space="preserve">Example: l = 3 s; d = 1 s; p = 4 s 1  3 d p  2 s </w:t>
                            </w:r>
                          </w:p>
                        </w:tc>
                        <w:tc>
                          <w:tcPr>
                            <w:tcW w:w="1675" w:type="dxa"/>
                            <w:gridSpan w:val="2"/>
                            <w:tcBorders>
                              <w:top w:val="single" w:sz="4" w:space="0" w:color="000000"/>
                              <w:left w:val="single" w:sz="4" w:space="0" w:color="000000"/>
                              <w:bottom w:val="single" w:sz="4" w:space="0" w:color="000000"/>
                              <w:right w:val="single" w:sz="4" w:space="0" w:color="000000"/>
                            </w:tcBorders>
                          </w:tcPr>
                          <w:p w14:paraId="4CB416F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single occultingWhitelightindicates a safewater mark. </w:t>
                            </w:r>
                          </w:p>
                        </w:tc>
                      </w:tr>
                      <w:tr w:rsidR="00000000" w14:paraId="1F802057" w14:textId="77777777">
                        <w:tblPrEx>
                          <w:tblCellMar>
                            <w:top w:w="0" w:type="dxa"/>
                            <w:bottom w:w="0" w:type="dxa"/>
                          </w:tblCellMar>
                        </w:tblPrEx>
                        <w:trPr>
                          <w:trHeight w:val="2072"/>
                        </w:trPr>
                        <w:tc>
                          <w:tcPr>
                            <w:tcW w:w="457" w:type="dxa"/>
                            <w:gridSpan w:val="2"/>
                            <w:tcBorders>
                              <w:top w:val="single" w:sz="4" w:space="0" w:color="000000"/>
                              <w:left w:val="single" w:sz="4" w:space="0" w:color="000000"/>
                              <w:bottom w:val="single" w:sz="4" w:space="0" w:color="000000"/>
                              <w:right w:val="single" w:sz="4" w:space="0" w:color="000000"/>
                            </w:tcBorders>
                          </w:tcPr>
                          <w:p w14:paraId="2867533A"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2.2 </w:t>
                            </w:r>
                          </w:p>
                        </w:tc>
                        <w:tc>
                          <w:tcPr>
                            <w:tcW w:w="1220" w:type="dxa"/>
                            <w:gridSpan w:val="11"/>
                            <w:tcBorders>
                              <w:top w:val="single" w:sz="4" w:space="0" w:color="000000"/>
                              <w:left w:val="single" w:sz="4" w:space="0" w:color="000000"/>
                              <w:bottom w:val="single" w:sz="4" w:space="0" w:color="000000"/>
                              <w:right w:val="single" w:sz="4" w:space="0" w:color="000000"/>
                            </w:tcBorders>
                          </w:tcPr>
                          <w:p w14:paraId="1EF0A56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Groupoccultinglight </w:t>
                            </w:r>
                          </w:p>
                        </w:tc>
                        <w:tc>
                          <w:tcPr>
                            <w:tcW w:w="942" w:type="dxa"/>
                            <w:gridSpan w:val="16"/>
                            <w:tcBorders>
                              <w:top w:val="single" w:sz="4" w:space="0" w:color="000000"/>
                              <w:left w:val="single" w:sz="4" w:space="0" w:color="000000"/>
                              <w:bottom w:val="single" w:sz="4" w:space="0" w:color="000000"/>
                              <w:right w:val="single" w:sz="4" w:space="0" w:color="000000"/>
                            </w:tcBorders>
                          </w:tcPr>
                          <w:p w14:paraId="1105FEE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Oc(#)eg. Oc(2) </w:t>
                            </w:r>
                          </w:p>
                        </w:tc>
                        <w:tc>
                          <w:tcPr>
                            <w:tcW w:w="2237" w:type="dxa"/>
                            <w:gridSpan w:val="34"/>
                            <w:tcBorders>
                              <w:top w:val="single" w:sz="4" w:space="0" w:color="000000"/>
                              <w:left w:val="single" w:sz="4" w:space="0" w:color="000000"/>
                              <w:bottom w:val="single" w:sz="4" w:space="0" w:color="000000"/>
                              <w:right w:val="single" w:sz="4" w:space="0" w:color="000000"/>
                            </w:tcBorders>
                          </w:tcPr>
                          <w:p w14:paraId="2E112E1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An occulting lightin which a group ofeclipses, specified innumber, is regularly repeated. </w:t>
                            </w:r>
                          </w:p>
                        </w:tc>
                        <w:tc>
                          <w:tcPr>
                            <w:tcW w:w="6550" w:type="dxa"/>
                            <w:gridSpan w:val="37"/>
                            <w:tcBorders>
                              <w:top w:val="single" w:sz="4" w:space="0" w:color="000000"/>
                              <w:left w:val="single" w:sz="4" w:space="0" w:color="000000"/>
                              <w:bottom w:val="single" w:sz="4" w:space="0" w:color="000000"/>
                              <w:right w:val="single" w:sz="4" w:space="0" w:color="000000"/>
                            </w:tcBorders>
                          </w:tcPr>
                          <w:p w14:paraId="64216B49"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The appearances of light between the eclipses in a group are of equal duration,and this duration is clearly shorter than the dur</w:t>
                            </w:r>
                            <w:r>
                              <w:rPr>
                                <w:rFonts w:ascii="Helvetica 55 Roman" w:hAnsi="Helvetica 55 Roman" w:cs="Helvetica 55 Roman"/>
                                <w:sz w:val="18"/>
                                <w:szCs w:val="18"/>
                              </w:rPr>
                              <w:t>ation of the appearance of lightbetween successive groups.The number of eclipses in a group should not be greater than four in general, andshould be five only as an exceptionThe duration of an appearance of light within a group should not be less than thed</w:t>
                            </w:r>
                            <w:r>
                              <w:rPr>
                                <w:rFonts w:ascii="Helvetica 55 Roman" w:hAnsi="Helvetica 55 Roman" w:cs="Helvetica 55 Roman"/>
                                <w:sz w:val="18"/>
                                <w:szCs w:val="18"/>
                              </w:rPr>
                              <w:t>uration of an eclipse.The duration of an appearance of light between groups should not be less thanthree times the duration of an appearance of light within a group.In a group of two eclipses, the duration of an eclipse together with the durationof the app</w:t>
                            </w:r>
                            <w:r>
                              <w:rPr>
                                <w:rFonts w:ascii="Helvetica 55 Roman" w:hAnsi="Helvetica 55 Roman" w:cs="Helvetica 55 Roman"/>
                                <w:sz w:val="18"/>
                                <w:szCs w:val="18"/>
                              </w:rPr>
                              <w:t>earance of light within a, group should not be less than 1 s.In a group of three or more eclipses, the duration of an eclipse together with theduration of an appearance of light within the group should not be less than 2 s.</w:t>
                            </w:r>
                            <w:r>
                              <w:rPr>
                                <w:rFonts w:ascii="Helvetica 55 Roman" w:hAnsi="Helvetica 55 Roman" w:cs="Helvetica 55 Roman"/>
                                <w:sz w:val="12"/>
                                <w:szCs w:val="12"/>
                              </w:rPr>
                              <w:t>l’  3 l 1  d c  1 sOc(2) Example:</w:t>
                            </w:r>
                            <w:r>
                              <w:rPr>
                                <w:rFonts w:ascii="Helvetica 55 Roman" w:hAnsi="Helvetica 55 Roman" w:cs="Helvetica 55 Roman"/>
                                <w:sz w:val="12"/>
                                <w:szCs w:val="12"/>
                              </w:rPr>
                              <w:t xml:space="preserve"> l’ = 6 s; l = 2 s; d = 1 s; c = 3 s; p = 10 s </w:t>
                            </w:r>
                          </w:p>
                        </w:tc>
                        <w:tc>
                          <w:tcPr>
                            <w:tcW w:w="1675" w:type="dxa"/>
                            <w:gridSpan w:val="2"/>
                            <w:tcBorders>
                              <w:top w:val="single" w:sz="4" w:space="0" w:color="000000"/>
                              <w:left w:val="single" w:sz="4" w:space="0" w:color="000000"/>
                              <w:bottom w:val="single" w:sz="4" w:space="0" w:color="000000"/>
                              <w:right w:val="single" w:sz="4" w:space="0" w:color="000000"/>
                            </w:tcBorders>
                          </w:tcPr>
                          <w:p w14:paraId="711DCE4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group occultingYellowlightindicates a specialmark. </w:t>
                            </w:r>
                          </w:p>
                        </w:tc>
                      </w:tr>
                    </w:tbl>
                  </w:txbxContent>
                </v:textbox>
                <w10:wrap type="through" anchorx="page" anchory="page"/>
              </v:shape>
            </w:pict>
          </mc:Fallback>
        </mc:AlternateContent>
      </w:r>
    </w:p>
    <w:p w14:paraId="3F134B0A" w14:textId="77777777" w:rsidR="00541A14" w:rsidRDefault="00DD420F">
      <w:pPr>
        <w:pStyle w:val="Default"/>
        <w:framePr w:w="10730" w:wrap="auto" w:vAnchor="page" w:hAnchor="page" w:x="608" w:y="16277"/>
        <w:rPr>
          <w:rFonts w:cs="Times New Roman"/>
          <w:color w:val="auto"/>
        </w:rPr>
      </w:pPr>
      <w:r>
        <w:rPr>
          <w:rFonts w:cs="Times New Roman"/>
          <w:noProof/>
          <w:color w:val="auto"/>
        </w:rPr>
        <w:drawing>
          <wp:inline distT="0" distB="0" distL="0" distR="0" wp14:anchorId="7CD27E27" wp14:editId="323E9109">
            <wp:extent cx="7553960" cy="420370"/>
            <wp:effectExtent l="0" t="0" r="0" b="1143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62329912" w14:textId="77777777" w:rsidR="00541A14" w:rsidRDefault="00DD420F">
      <w:pPr>
        <w:pStyle w:val="Default"/>
        <w:pageBreakBefore/>
        <w:framePr w:w="10739" w:wrap="auto" w:vAnchor="page" w:hAnchor="page" w:x="1434" w:y="16277"/>
        <w:spacing w:after="8340"/>
        <w:rPr>
          <w:rFonts w:cs="Times New Roman"/>
          <w:color w:val="auto"/>
        </w:rPr>
      </w:pPr>
      <w:r>
        <w:rPr>
          <w:rFonts w:cs="Times New Roman"/>
          <w:noProof/>
          <w:color w:val="auto"/>
        </w:rPr>
        <w:drawing>
          <wp:inline distT="0" distB="0" distL="0" distR="0" wp14:anchorId="254ECB48" wp14:editId="5AD947CC">
            <wp:extent cx="7542530" cy="420370"/>
            <wp:effectExtent l="0" t="0" r="1270" b="1143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4A272A98"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65408" behindDoc="0" locked="0" layoutInCell="0" allowOverlap="1" wp14:anchorId="5CA43141" wp14:editId="220263C8">
                <wp:simplePos x="0" y="0"/>
                <wp:positionH relativeFrom="page">
                  <wp:posOffset>654685</wp:posOffset>
                </wp:positionH>
                <wp:positionV relativeFrom="page">
                  <wp:posOffset>1492885</wp:posOffset>
                </wp:positionV>
                <wp:extent cx="8803005" cy="9823450"/>
                <wp:effectExtent l="0" t="0" r="0" b="0"/>
                <wp:wrapThrough wrapText="bothSides">
                  <wp:wrapPolygon edited="0">
                    <wp:start x="0" y="0"/>
                    <wp:lineTo x="21600" y="0"/>
                    <wp:lineTo x="21600" y="21600"/>
                    <wp:lineTo x="0" y="21600"/>
                    <wp:lineTo x="0" y="0"/>
                  </wp:wrapPolygon>
                </wp:wrapThrough>
                <wp:docPr id="54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03005" cy="982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457"/>
                              <w:gridCol w:w="1220"/>
                              <w:gridCol w:w="1192"/>
                              <w:gridCol w:w="2627"/>
                              <w:gridCol w:w="5860"/>
                              <w:gridCol w:w="1707"/>
                            </w:tblGrid>
                            <w:tr w:rsidR="00541A14" w14:paraId="2E15F16B" w14:textId="77777777">
                              <w:trPr>
                                <w:trHeight w:val="372"/>
                              </w:trPr>
                              <w:tc>
                                <w:tcPr>
                                  <w:tcW w:w="457" w:type="dxa"/>
                                  <w:tcBorders>
                                    <w:top w:val="single" w:sz="4" w:space="0" w:color="000000"/>
                                    <w:left w:val="single" w:sz="4" w:space="0" w:color="000000"/>
                                    <w:bottom w:val="single" w:sz="4" w:space="0" w:color="000000"/>
                                    <w:right w:val="single" w:sz="4" w:space="0" w:color="000000"/>
                                  </w:tcBorders>
                                </w:tcPr>
                                <w:p w14:paraId="78DEBE3A" w14:textId="77777777" w:rsidR="00541A14" w:rsidRDefault="00541A14">
                                  <w:pPr>
                                    <w:pStyle w:val="Default"/>
                                    <w:jc w:val="center"/>
                                    <w:rPr>
                                      <w:rFonts w:cs="Times New Roman"/>
                                      <w:color w:val="auto"/>
                                    </w:rPr>
                                  </w:pPr>
                                </w:p>
                              </w:tc>
                              <w:tc>
                                <w:tcPr>
                                  <w:tcW w:w="1220" w:type="dxa"/>
                                  <w:tcBorders>
                                    <w:top w:val="single" w:sz="4" w:space="0" w:color="000000"/>
                                    <w:left w:val="single" w:sz="4" w:space="0" w:color="000000"/>
                                    <w:bottom w:val="single" w:sz="4" w:space="0" w:color="000000"/>
                                    <w:right w:val="single" w:sz="4" w:space="0" w:color="000000"/>
                                  </w:tcBorders>
                                  <w:vAlign w:val="center"/>
                                </w:tcPr>
                                <w:p w14:paraId="1434C19E"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1192" w:type="dxa"/>
                                  <w:tcBorders>
                                    <w:top w:val="single" w:sz="4" w:space="0" w:color="000000"/>
                                    <w:left w:val="single" w:sz="4" w:space="0" w:color="000000"/>
                                    <w:bottom w:val="single" w:sz="4" w:space="0" w:color="000000"/>
                                    <w:right w:val="single" w:sz="4" w:space="0" w:color="000000"/>
                                  </w:tcBorders>
                                  <w:vAlign w:val="center"/>
                                </w:tcPr>
                                <w:p w14:paraId="46F47854"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627" w:type="dxa"/>
                                  <w:tcBorders>
                                    <w:top w:val="single" w:sz="4" w:space="0" w:color="000000"/>
                                    <w:left w:val="single" w:sz="4" w:space="0" w:color="000000"/>
                                    <w:bottom w:val="single" w:sz="4" w:space="0" w:color="000000"/>
                                    <w:right w:val="single" w:sz="4" w:space="0" w:color="000000"/>
                                  </w:tcBorders>
                                  <w:vAlign w:val="center"/>
                                </w:tcPr>
                                <w:p w14:paraId="2BB9159E"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5860" w:type="dxa"/>
                                  <w:tcBorders>
                                    <w:top w:val="single" w:sz="4" w:space="0" w:color="000000"/>
                                    <w:left w:val="single" w:sz="4" w:space="0" w:color="000000"/>
                                    <w:bottom w:val="single" w:sz="4" w:space="0" w:color="000000"/>
                                    <w:right w:val="single" w:sz="4" w:space="0" w:color="000000"/>
                                  </w:tcBorders>
                                  <w:vAlign w:val="center"/>
                                </w:tcPr>
                                <w:p w14:paraId="767F25D6"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1707" w:type="dxa"/>
                                  <w:tcBorders>
                                    <w:top w:val="single" w:sz="4" w:space="0" w:color="000000"/>
                                    <w:left w:val="single" w:sz="4" w:space="0" w:color="000000"/>
                                    <w:bottom w:val="single" w:sz="4" w:space="0" w:color="000000"/>
                                    <w:right w:val="single" w:sz="4" w:space="0" w:color="000000"/>
                                  </w:tcBorders>
                                </w:tcPr>
                                <w:p w14:paraId="06DB81F9"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541A14" w14:paraId="221DFD19" w14:textId="77777777">
                              <w:trPr>
                                <w:trHeight w:val="747"/>
                              </w:trPr>
                              <w:tc>
                                <w:tcPr>
                                  <w:tcW w:w="457" w:type="dxa"/>
                                  <w:tcBorders>
                                    <w:top w:val="single" w:sz="4" w:space="0" w:color="000000"/>
                                    <w:left w:val="single" w:sz="4" w:space="0" w:color="000000"/>
                                    <w:bottom w:val="single" w:sz="4" w:space="0" w:color="000000"/>
                                    <w:right w:val="single" w:sz="4" w:space="0" w:color="000000"/>
                                  </w:tcBorders>
                                </w:tcPr>
                                <w:p w14:paraId="1ADB660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2.3 </w:t>
                                  </w:r>
                                </w:p>
                              </w:tc>
                              <w:tc>
                                <w:tcPr>
                                  <w:tcW w:w="1220" w:type="dxa"/>
                                  <w:tcBorders>
                                    <w:top w:val="single" w:sz="4" w:space="0" w:color="000000"/>
                                    <w:left w:val="single" w:sz="4" w:space="0" w:color="000000"/>
                                    <w:bottom w:val="single" w:sz="4" w:space="0" w:color="000000"/>
                                    <w:right w:val="single" w:sz="4" w:space="0" w:color="000000"/>
                                  </w:tcBorders>
                                </w:tcPr>
                                <w:p w14:paraId="6DE69B7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Compositegroup occultinglight </w:t>
                                  </w:r>
                                </w:p>
                              </w:tc>
                              <w:tc>
                                <w:tcPr>
                                  <w:tcW w:w="1192" w:type="dxa"/>
                                  <w:tcBorders>
                                    <w:top w:val="single" w:sz="4" w:space="0" w:color="000000"/>
                                    <w:left w:val="single" w:sz="4" w:space="0" w:color="000000"/>
                                    <w:bottom w:val="single" w:sz="4" w:space="0" w:color="000000"/>
                                    <w:right w:val="single" w:sz="4" w:space="0" w:color="000000"/>
                                  </w:tcBorders>
                                </w:tcPr>
                                <w:p w14:paraId="42E744E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 + #)eg.Oc(2 + 1) </w:t>
                                  </w:r>
                                </w:p>
                              </w:tc>
                              <w:tc>
                                <w:tcPr>
                                  <w:tcW w:w="2627" w:type="dxa"/>
                                  <w:tcBorders>
                                    <w:top w:val="single" w:sz="4" w:space="0" w:color="000000"/>
                                    <w:left w:val="single" w:sz="4" w:space="0" w:color="000000"/>
                                    <w:bottom w:val="single" w:sz="4" w:space="0" w:color="000000"/>
                                    <w:right w:val="single" w:sz="4" w:space="0" w:color="000000"/>
                                  </w:tcBorders>
                                </w:tcPr>
                                <w:p w14:paraId="3D4A300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similar to a group occulting light except thatsuccessive groups in a period have different numbers of eclipses. </w:t>
                                  </w:r>
                                </w:p>
                              </w:tc>
                              <w:tc>
                                <w:tcPr>
                                  <w:tcW w:w="5860" w:type="dxa"/>
                                  <w:tcBorders>
                                    <w:top w:val="single" w:sz="4" w:space="0" w:color="000000"/>
                                    <w:left w:val="single" w:sz="4" w:space="0" w:color="000000"/>
                                    <w:bottom w:val="single" w:sz="4" w:space="0" w:color="000000"/>
                                    <w:right w:val="single" w:sz="4" w:space="0" w:color="000000"/>
                                  </w:tcBorders>
                                </w:tcPr>
                                <w:p w14:paraId="622035AE"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 xml:space="preserve">This class of light character is not recommended because it is difficult to recognize. </w:t>
                                  </w:r>
                                  <w:r>
                                    <w:rPr>
                                      <w:rFonts w:ascii="Helvetica 55 Roman" w:hAnsi="Helvetica 55 Roman" w:cs="Helvetica 55 Roman"/>
                                      <w:sz w:val="12"/>
                                      <w:szCs w:val="12"/>
                                    </w:rPr>
                                    <w:t xml:space="preserve">1’’   l’ l’  3 l l  d c  1 s Example: l’’ = 9 s;  l’ = 3 s; l = 1 s; d = 1 s; c = 2 s; p = 16 s Oc(2+1) </w:t>
                                  </w:r>
                                </w:p>
                              </w:tc>
                              <w:tc>
                                <w:tcPr>
                                  <w:tcW w:w="1707" w:type="dxa"/>
                                  <w:tcBorders>
                                    <w:top w:val="single" w:sz="4" w:space="0" w:color="000000"/>
                                    <w:left w:val="single" w:sz="4" w:space="0" w:color="000000"/>
                                    <w:bottom w:val="single" w:sz="4" w:space="0" w:color="000000"/>
                                    <w:right w:val="single" w:sz="4" w:space="0" w:color="000000"/>
                                  </w:tcBorders>
                                </w:tcPr>
                                <w:p w14:paraId="08B85192" w14:textId="77777777" w:rsidR="00541A14" w:rsidRDefault="00541A14">
                                  <w:pPr>
                                    <w:pStyle w:val="Default"/>
                                    <w:rPr>
                                      <w:rFonts w:cs="Times New Roman"/>
                                      <w:color w:val="auto"/>
                                    </w:rPr>
                                  </w:pPr>
                                </w:p>
                              </w:tc>
                            </w:tr>
                            <w:tr w:rsidR="00541A14" w14:paraId="0F82DD83" w14:textId="77777777">
                              <w:trPr>
                                <w:trHeight w:val="912"/>
                              </w:trPr>
                              <w:tc>
                                <w:tcPr>
                                  <w:tcW w:w="457" w:type="dxa"/>
                                  <w:tcBorders>
                                    <w:top w:val="single" w:sz="4" w:space="0" w:color="000000"/>
                                    <w:left w:val="single" w:sz="4" w:space="0" w:color="000000"/>
                                    <w:bottom w:val="single" w:sz="4" w:space="0" w:color="000000"/>
                                    <w:right w:val="single" w:sz="4" w:space="0" w:color="000000"/>
                                  </w:tcBorders>
                                </w:tcPr>
                                <w:p w14:paraId="73835E4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 </w:t>
                                  </w:r>
                                </w:p>
                              </w:tc>
                              <w:tc>
                                <w:tcPr>
                                  <w:tcW w:w="1220" w:type="dxa"/>
                                  <w:tcBorders>
                                    <w:top w:val="single" w:sz="4" w:space="0" w:color="000000"/>
                                    <w:left w:val="single" w:sz="4" w:space="0" w:color="000000"/>
                                    <w:bottom w:val="single" w:sz="4" w:space="0" w:color="000000"/>
                                    <w:right w:val="single" w:sz="4" w:space="0" w:color="000000"/>
                                  </w:tcBorders>
                                </w:tcPr>
                                <w:p w14:paraId="11C3C9F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ISOPHASELIGHT </w:t>
                                  </w:r>
                                </w:p>
                              </w:tc>
                              <w:tc>
                                <w:tcPr>
                                  <w:tcW w:w="1192" w:type="dxa"/>
                                  <w:tcBorders>
                                    <w:top w:val="single" w:sz="4" w:space="0" w:color="000000"/>
                                    <w:left w:val="single" w:sz="4" w:space="0" w:color="000000"/>
                                    <w:bottom w:val="single" w:sz="4" w:space="0" w:color="000000"/>
                                    <w:right w:val="single" w:sz="4" w:space="0" w:color="000000"/>
                                  </w:tcBorders>
                                </w:tcPr>
                                <w:p w14:paraId="1F27E75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Iso </w:t>
                                  </w:r>
                                </w:p>
                              </w:tc>
                              <w:tc>
                                <w:tcPr>
                                  <w:tcW w:w="2627" w:type="dxa"/>
                                  <w:tcBorders>
                                    <w:top w:val="single" w:sz="4" w:space="0" w:color="000000"/>
                                    <w:left w:val="single" w:sz="4" w:space="0" w:color="000000"/>
                                    <w:bottom w:val="single" w:sz="4" w:space="0" w:color="000000"/>
                                    <w:right w:val="single" w:sz="4" w:space="0" w:color="000000"/>
                                  </w:tcBorders>
                                </w:tcPr>
                                <w:p w14:paraId="58E3C46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all thedurations of light anddarkness are clearly equal. </w:t>
                                  </w:r>
                                </w:p>
                              </w:tc>
                              <w:tc>
                                <w:tcPr>
                                  <w:tcW w:w="5860" w:type="dxa"/>
                                  <w:tcBorders>
                                    <w:top w:val="single" w:sz="4" w:space="0" w:color="000000"/>
                                    <w:left w:val="single" w:sz="4" w:space="0" w:color="000000"/>
                                    <w:bottom w:val="single" w:sz="4" w:space="0" w:color="000000"/>
                                    <w:right w:val="single" w:sz="4" w:space="0" w:color="000000"/>
                                  </w:tcBorders>
                                </w:tcPr>
                                <w:p w14:paraId="34F3B483"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The period should never be less than 2 s, but preferably it should not be less than 4 s in order to reduce the risk of confusion with occulting or flashing lights of similar periods.</w:t>
                                  </w:r>
                                  <w:r>
                                    <w:rPr>
                                      <w:rFonts w:ascii="Helvetica 55 Roman" w:hAnsi="Helvetica 55 Roman" w:cs="Helvetica 55 Roman"/>
                                      <w:sz w:val="12"/>
                                      <w:szCs w:val="12"/>
                                    </w:rPr>
                                    <w:t xml:space="preserve">Example: l = d = 2 s; p = 4 s l = dp  2 s </w:t>
                                  </w:r>
                                </w:p>
                              </w:tc>
                              <w:tc>
                                <w:tcPr>
                                  <w:tcW w:w="1707" w:type="dxa"/>
                                  <w:tcBorders>
                                    <w:top w:val="single" w:sz="4" w:space="0" w:color="000000"/>
                                    <w:left w:val="single" w:sz="4" w:space="0" w:color="000000"/>
                                    <w:bottom w:val="single" w:sz="4" w:space="0" w:color="000000"/>
                                    <w:right w:val="single" w:sz="4" w:space="0" w:color="000000"/>
                                  </w:tcBorders>
                                </w:tcPr>
                                <w:p w14:paraId="0460C56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An isophase Whitelight indicates asafe water mark. </w:t>
                                  </w:r>
                                </w:p>
                              </w:tc>
                            </w:tr>
                            <w:tr w:rsidR="00541A14" w14:paraId="64CE9CC1" w14:textId="77777777">
                              <w:trPr>
                                <w:trHeight w:val="691"/>
                              </w:trPr>
                              <w:tc>
                                <w:tcPr>
                                  <w:tcW w:w="457" w:type="dxa"/>
                                  <w:tcBorders>
                                    <w:top w:val="single" w:sz="4" w:space="0" w:color="000000"/>
                                    <w:left w:val="single" w:sz="4" w:space="0" w:color="000000"/>
                                    <w:bottom w:val="single" w:sz="4" w:space="0" w:color="000000"/>
                                    <w:right w:val="single" w:sz="4" w:space="0" w:color="000000"/>
                                  </w:tcBorders>
                                </w:tcPr>
                                <w:p w14:paraId="2A78A82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 </w:t>
                                  </w:r>
                                </w:p>
                              </w:tc>
                              <w:tc>
                                <w:tcPr>
                                  <w:tcW w:w="1220" w:type="dxa"/>
                                  <w:tcBorders>
                                    <w:top w:val="single" w:sz="4" w:space="0" w:color="000000"/>
                                    <w:left w:val="single" w:sz="4" w:space="0" w:color="000000"/>
                                    <w:bottom w:val="single" w:sz="4" w:space="0" w:color="000000"/>
                                    <w:right w:val="single" w:sz="4" w:space="0" w:color="000000"/>
                                  </w:tcBorders>
                                </w:tcPr>
                                <w:p w14:paraId="71D8D26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FLASHINGLIGHT </w:t>
                                  </w:r>
                                </w:p>
                              </w:tc>
                              <w:tc>
                                <w:tcPr>
                                  <w:tcW w:w="1192" w:type="dxa"/>
                                  <w:tcBorders>
                                    <w:top w:val="single" w:sz="4" w:space="0" w:color="000000"/>
                                    <w:left w:val="single" w:sz="4" w:space="0" w:color="000000"/>
                                    <w:bottom w:val="single" w:sz="4" w:space="0" w:color="000000"/>
                                    <w:right w:val="single" w:sz="4" w:space="0" w:color="000000"/>
                                  </w:tcBorders>
                                </w:tcPr>
                                <w:p w14:paraId="260C0C77" w14:textId="77777777" w:rsidR="00541A14" w:rsidRDefault="00541A14">
                                  <w:pPr>
                                    <w:pStyle w:val="Default"/>
                                    <w:rPr>
                                      <w:rFonts w:cs="Times New Roman"/>
                                      <w:color w:val="auto"/>
                                    </w:rPr>
                                  </w:pPr>
                                </w:p>
                              </w:tc>
                              <w:tc>
                                <w:tcPr>
                                  <w:tcW w:w="2627" w:type="dxa"/>
                                  <w:tcBorders>
                                    <w:top w:val="single" w:sz="4" w:space="0" w:color="000000"/>
                                    <w:left w:val="single" w:sz="4" w:space="0" w:color="000000"/>
                                    <w:bottom w:val="single" w:sz="4" w:space="0" w:color="000000"/>
                                    <w:right w:val="single" w:sz="4" w:space="0" w:color="000000"/>
                                  </w:tcBorders>
                                </w:tcPr>
                                <w:p w14:paraId="3746E54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the totalduration of light in a periodis shorter than the totalduration of darkness and theappearances of light (flashes)are usually of equal duration. </w:t>
                                  </w:r>
                                </w:p>
                              </w:tc>
                              <w:tc>
                                <w:tcPr>
                                  <w:tcW w:w="5860" w:type="dxa"/>
                                  <w:tcBorders>
                                    <w:top w:val="single" w:sz="4" w:space="0" w:color="000000"/>
                                    <w:left w:val="single" w:sz="4" w:space="0" w:color="000000"/>
                                    <w:bottom w:val="single" w:sz="4" w:space="0" w:color="000000"/>
                                    <w:right w:val="single" w:sz="4" w:space="0" w:color="000000"/>
                                  </w:tcBorders>
                                </w:tcPr>
                                <w:p w14:paraId="35D7C46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the total duration of light in a period is clearly shorter than the total duration of darkness and all the flashes are of equal duration. </w:t>
                                  </w:r>
                                </w:p>
                              </w:tc>
                              <w:tc>
                                <w:tcPr>
                                  <w:tcW w:w="1707" w:type="dxa"/>
                                  <w:tcBorders>
                                    <w:top w:val="single" w:sz="4" w:space="0" w:color="000000"/>
                                    <w:left w:val="single" w:sz="4" w:space="0" w:color="000000"/>
                                    <w:bottom w:val="single" w:sz="4" w:space="0" w:color="000000"/>
                                    <w:right w:val="single" w:sz="4" w:space="0" w:color="000000"/>
                                  </w:tcBorders>
                                </w:tcPr>
                                <w:p w14:paraId="31960F1D" w14:textId="77777777" w:rsidR="00541A14" w:rsidRDefault="00541A14">
                                  <w:pPr>
                                    <w:pStyle w:val="Default"/>
                                    <w:rPr>
                                      <w:rFonts w:cs="Times New Roman"/>
                                      <w:color w:val="auto"/>
                                    </w:rPr>
                                  </w:pPr>
                                </w:p>
                              </w:tc>
                            </w:tr>
                            <w:tr w:rsidR="00541A14" w14:paraId="3BE48FFF" w14:textId="77777777">
                              <w:trPr>
                                <w:trHeight w:val="1123"/>
                              </w:trPr>
                              <w:tc>
                                <w:tcPr>
                                  <w:tcW w:w="457" w:type="dxa"/>
                                  <w:tcBorders>
                                    <w:top w:val="single" w:sz="4" w:space="0" w:color="000000"/>
                                    <w:left w:val="single" w:sz="4" w:space="0" w:color="000000"/>
                                    <w:bottom w:val="single" w:sz="4" w:space="0" w:color="000000"/>
                                    <w:right w:val="single" w:sz="4" w:space="0" w:color="000000"/>
                                  </w:tcBorders>
                                </w:tcPr>
                                <w:p w14:paraId="6560946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4.1 </w:t>
                                  </w:r>
                                </w:p>
                              </w:tc>
                              <w:tc>
                                <w:tcPr>
                                  <w:tcW w:w="1220" w:type="dxa"/>
                                  <w:tcBorders>
                                    <w:top w:val="single" w:sz="4" w:space="0" w:color="000000"/>
                                    <w:left w:val="single" w:sz="4" w:space="0" w:color="000000"/>
                                    <w:bottom w:val="single" w:sz="4" w:space="0" w:color="000000"/>
                                    <w:right w:val="single" w:sz="4" w:space="0" w:color="000000"/>
                                  </w:tcBorders>
                                </w:tcPr>
                                <w:p w14:paraId="452AB3D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Singleflashing light </w:t>
                                  </w:r>
                                </w:p>
                              </w:tc>
                              <w:tc>
                                <w:tcPr>
                                  <w:tcW w:w="1192" w:type="dxa"/>
                                  <w:tcBorders>
                                    <w:top w:val="single" w:sz="4" w:space="0" w:color="000000"/>
                                    <w:left w:val="single" w:sz="4" w:space="0" w:color="000000"/>
                                    <w:bottom w:val="single" w:sz="4" w:space="0" w:color="000000"/>
                                    <w:right w:val="single" w:sz="4" w:space="0" w:color="000000"/>
                                  </w:tcBorders>
                                </w:tcPr>
                                <w:p w14:paraId="12416F2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 </w:t>
                                  </w:r>
                                </w:p>
                              </w:tc>
                              <w:tc>
                                <w:tcPr>
                                  <w:tcW w:w="2627" w:type="dxa"/>
                                  <w:tcBorders>
                                    <w:top w:val="single" w:sz="4" w:space="0" w:color="000000"/>
                                    <w:left w:val="single" w:sz="4" w:space="0" w:color="000000"/>
                                    <w:bottom w:val="single" w:sz="4" w:space="0" w:color="000000"/>
                                    <w:right w:val="single" w:sz="4" w:space="0" w:color="000000"/>
                                  </w:tcBorders>
                                </w:tcPr>
                                <w:p w14:paraId="735232A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flashing light in which a flash is regularly repeated (at a rate of less than 50 flashes perminute). </w:t>
                                  </w:r>
                                </w:p>
                              </w:tc>
                              <w:tc>
                                <w:tcPr>
                                  <w:tcW w:w="5860" w:type="dxa"/>
                                  <w:tcBorders>
                                    <w:top w:val="single" w:sz="4" w:space="0" w:color="000000"/>
                                    <w:left w:val="single" w:sz="4" w:space="0" w:color="000000"/>
                                    <w:bottom w:val="single" w:sz="4" w:space="0" w:color="000000"/>
                                    <w:right w:val="single" w:sz="4" w:space="0" w:color="000000"/>
                                  </w:tcBorders>
                                </w:tcPr>
                                <w:p w14:paraId="336D80A4"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 xml:space="preserve">The duration of the interval of darkness (eclipse) between twosuccessive flashes should not be less than three times the duration of a flash.The period should not be less than 2 s (or not less than 2.5 s in thosecountries where a quick rate of 50 flashes per minute is used). </w:t>
                                  </w:r>
                                  <w:r>
                                    <w:rPr>
                                      <w:rFonts w:ascii="Helvetica 55 Roman" w:hAnsi="Helvetica 55 Roman" w:cs="Helvetica 55 Roman"/>
                                      <w:sz w:val="12"/>
                                      <w:szCs w:val="12"/>
                                    </w:rPr>
                                    <w:t xml:space="preserve">d  3 l p  2 s Example: d = 3 s; l = 1 s; p = 4 s </w:t>
                                  </w:r>
                                </w:p>
                              </w:tc>
                              <w:tc>
                                <w:tcPr>
                                  <w:tcW w:w="1707" w:type="dxa"/>
                                  <w:tcBorders>
                                    <w:top w:val="single" w:sz="4" w:space="0" w:color="000000"/>
                                    <w:left w:val="single" w:sz="4" w:space="0" w:color="000000"/>
                                    <w:bottom w:val="single" w:sz="4" w:space="0" w:color="000000"/>
                                    <w:right w:val="single" w:sz="4" w:space="0" w:color="000000"/>
                                  </w:tcBorders>
                                </w:tcPr>
                                <w:p w14:paraId="0AECDCF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single flashingYellowlightindicates a specialmark. </w:t>
                                  </w:r>
                                </w:p>
                              </w:tc>
                            </w:tr>
                            <w:tr w:rsidR="00541A14" w14:paraId="44BBE132" w14:textId="77777777">
                              <w:trPr>
                                <w:trHeight w:val="583"/>
                              </w:trPr>
                              <w:tc>
                                <w:tcPr>
                                  <w:tcW w:w="457" w:type="dxa"/>
                                  <w:tcBorders>
                                    <w:top w:val="single" w:sz="4" w:space="0" w:color="000000"/>
                                    <w:left w:val="single" w:sz="4" w:space="0" w:color="000000"/>
                                    <w:bottom w:val="single" w:sz="4" w:space="0" w:color="000000"/>
                                    <w:right w:val="single" w:sz="4" w:space="0" w:color="000000"/>
                                  </w:tcBorders>
                                </w:tcPr>
                                <w:p w14:paraId="4A74F4F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4.2 </w:t>
                                  </w:r>
                                </w:p>
                              </w:tc>
                              <w:tc>
                                <w:tcPr>
                                  <w:tcW w:w="1220" w:type="dxa"/>
                                  <w:tcBorders>
                                    <w:top w:val="single" w:sz="4" w:space="0" w:color="000000"/>
                                    <w:left w:val="single" w:sz="4" w:space="0" w:color="000000"/>
                                    <w:bottom w:val="single" w:sz="4" w:space="0" w:color="000000"/>
                                    <w:right w:val="single" w:sz="4" w:space="0" w:color="000000"/>
                                  </w:tcBorders>
                                </w:tcPr>
                                <w:p w14:paraId="03E58A1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Longflashing light </w:t>
                                  </w:r>
                                </w:p>
                              </w:tc>
                              <w:tc>
                                <w:tcPr>
                                  <w:tcW w:w="1192" w:type="dxa"/>
                                  <w:tcBorders>
                                    <w:top w:val="single" w:sz="4" w:space="0" w:color="000000"/>
                                    <w:left w:val="single" w:sz="4" w:space="0" w:color="000000"/>
                                    <w:bottom w:val="single" w:sz="4" w:space="0" w:color="000000"/>
                                    <w:right w:val="single" w:sz="4" w:space="0" w:color="000000"/>
                                  </w:tcBorders>
                                </w:tcPr>
                                <w:p w14:paraId="17EF1AE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LFI </w:t>
                                  </w:r>
                                </w:p>
                              </w:tc>
                              <w:tc>
                                <w:tcPr>
                                  <w:tcW w:w="2627" w:type="dxa"/>
                                  <w:tcBorders>
                                    <w:top w:val="single" w:sz="4" w:space="0" w:color="000000"/>
                                    <w:left w:val="single" w:sz="4" w:space="0" w:color="000000"/>
                                    <w:bottom w:val="single" w:sz="4" w:space="0" w:color="000000"/>
                                    <w:right w:val="single" w:sz="4" w:space="0" w:color="000000"/>
                                  </w:tcBorders>
                                </w:tcPr>
                                <w:p w14:paraId="4AE6D5A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single flashing light in whichan appearance of light of notless than 2 s duration (longflash)</w:t>
                                  </w:r>
                                  <w:r>
                                    <w:rPr>
                                      <w:rFonts w:ascii="Helvetica 55 Roman" w:hAnsi="Helvetica 55 Roman" w:cs="Helvetica 55 Roman"/>
                                      <w:sz w:val="10"/>
                                      <w:szCs w:val="10"/>
                                    </w:rPr>
                                    <w:t>17</w:t>
                                  </w:r>
                                  <w:r>
                                    <w:rPr>
                                      <w:rFonts w:ascii="Helvetica 55 Roman" w:hAnsi="Helvetica 55 Roman" w:cs="Helvetica 55 Roman"/>
                                      <w:sz w:val="18"/>
                                      <w:szCs w:val="18"/>
                                    </w:rPr>
                                    <w:t xml:space="preserve"> is regularly repeated.</w:t>
                                  </w:r>
                                </w:p>
                              </w:tc>
                              <w:tc>
                                <w:tcPr>
                                  <w:tcW w:w="5860" w:type="dxa"/>
                                  <w:tcBorders>
                                    <w:top w:val="single" w:sz="4" w:space="0" w:color="000000"/>
                                    <w:left w:val="single" w:sz="4" w:space="0" w:color="000000"/>
                                    <w:bottom w:val="single" w:sz="4" w:space="0" w:color="000000"/>
                                    <w:right w:val="single" w:sz="4" w:space="0" w:color="000000"/>
                                  </w:tcBorders>
                                  <w:vAlign w:val="bottom"/>
                                </w:tcPr>
                                <w:p w14:paraId="149F05B8"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2"/>
                                      <w:szCs w:val="12"/>
                                    </w:rPr>
                                    <w:t xml:space="preserve">Example: d = 8 s; l = 2 s; p = 10 s d  3 l l  2 s </w:t>
                                  </w:r>
                                </w:p>
                              </w:tc>
                              <w:tc>
                                <w:tcPr>
                                  <w:tcW w:w="1707" w:type="dxa"/>
                                  <w:tcBorders>
                                    <w:top w:val="single" w:sz="4" w:space="0" w:color="000000"/>
                                    <w:left w:val="single" w:sz="4" w:space="0" w:color="000000"/>
                                    <w:bottom w:val="single" w:sz="4" w:space="0" w:color="000000"/>
                                    <w:right w:val="single" w:sz="4" w:space="0" w:color="000000"/>
                                  </w:tcBorders>
                                </w:tcPr>
                                <w:p w14:paraId="33AB111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long flashing</w:t>
                                  </w:r>
                                  <w:r>
                                    <w:rPr>
                                      <w:rFonts w:ascii="Helvetica 65 Medium" w:hAnsi="Helvetica 65 Medium" w:cs="Helvetica 65 Medium"/>
                                      <w:i/>
                                      <w:iCs/>
                                      <w:sz w:val="18"/>
                                      <w:szCs w:val="18"/>
                                    </w:rPr>
                                    <w:t>White</w:t>
                                  </w:r>
                                  <w:r>
                                    <w:rPr>
                                      <w:rFonts w:ascii="Helvetica 55 Roman" w:hAnsi="Helvetica 55 Roman" w:cs="Helvetica 55 Roman"/>
                                      <w:sz w:val="18"/>
                                      <w:szCs w:val="18"/>
                                    </w:rPr>
                                    <w:t xml:space="preserve"> light witha period of 10 sindicates a safewater mark. </w:t>
                                  </w:r>
                                </w:p>
                              </w:tc>
                            </w:tr>
                          </w:tbl>
                          <w:p w14:paraId="1338D13A"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3" type="#_x0000_t202" style="position:absolute;margin-left:51.55pt;margin-top:117.55pt;width:693.15pt;height:773.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32"/>
                        <w:gridCol w:w="473"/>
                        <w:gridCol w:w="115"/>
                        <w:gridCol w:w="42"/>
                        <w:gridCol w:w="33"/>
                        <w:gridCol w:w="120"/>
                        <w:gridCol w:w="182"/>
                        <w:gridCol w:w="5"/>
                        <w:gridCol w:w="28"/>
                        <w:gridCol w:w="70"/>
                        <w:gridCol w:w="65"/>
                        <w:gridCol w:w="87"/>
                        <w:gridCol w:w="30"/>
                        <w:gridCol w:w="50"/>
                        <w:gridCol w:w="10"/>
                        <w:gridCol w:w="110"/>
                        <w:gridCol w:w="15"/>
                        <w:gridCol w:w="55"/>
                        <w:gridCol w:w="20"/>
                        <w:gridCol w:w="50"/>
                        <w:gridCol w:w="50"/>
                        <w:gridCol w:w="118"/>
                        <w:gridCol w:w="95"/>
                        <w:gridCol w:w="2"/>
                        <w:gridCol w:w="33"/>
                        <w:gridCol w:w="155"/>
                        <w:gridCol w:w="20"/>
                        <w:gridCol w:w="197"/>
                        <w:gridCol w:w="112"/>
                        <w:gridCol w:w="5"/>
                        <w:gridCol w:w="65"/>
                        <w:gridCol w:w="58"/>
                        <w:gridCol w:w="22"/>
                        <w:gridCol w:w="8"/>
                        <w:gridCol w:w="7"/>
                        <w:gridCol w:w="73"/>
                        <w:gridCol w:w="120"/>
                        <w:gridCol w:w="72"/>
                        <w:gridCol w:w="235"/>
                        <w:gridCol w:w="5"/>
                        <w:gridCol w:w="60"/>
                        <w:gridCol w:w="237"/>
                        <w:gridCol w:w="38"/>
                        <w:gridCol w:w="15"/>
                        <w:gridCol w:w="25"/>
                        <w:gridCol w:w="50"/>
                        <w:gridCol w:w="103"/>
                        <w:gridCol w:w="33"/>
                        <w:gridCol w:w="234"/>
                        <w:gridCol w:w="5"/>
                        <w:gridCol w:w="5"/>
                        <w:gridCol w:w="12"/>
                        <w:gridCol w:w="47"/>
                        <w:gridCol w:w="168"/>
                        <w:gridCol w:w="48"/>
                        <w:gridCol w:w="4"/>
                        <w:gridCol w:w="110"/>
                        <w:gridCol w:w="12"/>
                        <w:gridCol w:w="108"/>
                        <w:gridCol w:w="4"/>
                        <w:gridCol w:w="192"/>
                        <w:gridCol w:w="170"/>
                        <w:gridCol w:w="30"/>
                        <w:gridCol w:w="18"/>
                        <w:gridCol w:w="89"/>
                        <w:gridCol w:w="47"/>
                        <w:gridCol w:w="166"/>
                        <w:gridCol w:w="189"/>
                        <w:gridCol w:w="10"/>
                        <w:gridCol w:w="207"/>
                        <w:gridCol w:w="86"/>
                        <w:gridCol w:w="70"/>
                        <w:gridCol w:w="8"/>
                        <w:gridCol w:w="78"/>
                        <w:gridCol w:w="152"/>
                        <w:gridCol w:w="122"/>
                        <w:gridCol w:w="157"/>
                        <w:gridCol w:w="183"/>
                        <w:gridCol w:w="55"/>
                        <w:gridCol w:w="2"/>
                        <w:gridCol w:w="283"/>
                        <w:gridCol w:w="254"/>
                        <w:gridCol w:w="76"/>
                        <w:gridCol w:w="119"/>
                        <w:gridCol w:w="23"/>
                        <w:gridCol w:w="1086"/>
                        <w:gridCol w:w="161"/>
                        <w:gridCol w:w="173"/>
                        <w:gridCol w:w="71"/>
                        <w:gridCol w:w="6"/>
                        <w:gridCol w:w="13"/>
                        <w:gridCol w:w="2"/>
                        <w:gridCol w:w="8"/>
                        <w:gridCol w:w="76"/>
                        <w:gridCol w:w="1845"/>
                        <w:gridCol w:w="345"/>
                        <w:gridCol w:w="1717"/>
                        <w:gridCol w:w="13"/>
                      </w:tblGrid>
                      <w:tr w:rsidR="00000000" w14:paraId="2E15F16B" w14:textId="77777777">
                        <w:tblPrEx>
                          <w:tblCellMar>
                            <w:top w:w="0" w:type="dxa"/>
                            <w:bottom w:w="0" w:type="dxa"/>
                          </w:tblCellMar>
                        </w:tblPrEx>
                        <w:trPr>
                          <w:gridAfter w:val="1"/>
                          <w:wAfter w:w="9" w:type="dxa"/>
                          <w:trHeight w:val="372"/>
                        </w:trPr>
                        <w:tc>
                          <w:tcPr>
                            <w:tcW w:w="457" w:type="dxa"/>
                            <w:gridSpan w:val="2"/>
                            <w:tcBorders>
                              <w:top w:val="single" w:sz="4" w:space="0" w:color="000000"/>
                              <w:left w:val="single" w:sz="4" w:space="0" w:color="000000"/>
                              <w:bottom w:val="single" w:sz="4" w:space="0" w:color="000000"/>
                              <w:right w:val="single" w:sz="4" w:space="0" w:color="000000"/>
                            </w:tcBorders>
                          </w:tcPr>
                          <w:p w14:paraId="78DEBE3A" w14:textId="77777777" w:rsidR="00000000" w:rsidRDefault="00A450E1">
                            <w:pPr>
                              <w:pStyle w:val="Default"/>
                              <w:jc w:val="center"/>
                              <w:rPr>
                                <w:rFonts w:cs="Times New Roman"/>
                                <w:color w:val="auto"/>
                              </w:rPr>
                            </w:pPr>
                          </w:p>
                        </w:tc>
                        <w:tc>
                          <w:tcPr>
                            <w:tcW w:w="1220" w:type="dxa"/>
                            <w:gridSpan w:val="11"/>
                            <w:tcBorders>
                              <w:top w:val="single" w:sz="4" w:space="0" w:color="000000"/>
                              <w:left w:val="single" w:sz="4" w:space="0" w:color="000000"/>
                              <w:bottom w:val="single" w:sz="4" w:space="0" w:color="000000"/>
                              <w:right w:val="single" w:sz="4" w:space="0" w:color="000000"/>
                            </w:tcBorders>
                            <w:vAlign w:val="center"/>
                          </w:tcPr>
                          <w:p w14:paraId="1434C19E"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1192" w:type="dxa"/>
                            <w:gridSpan w:val="19"/>
                            <w:tcBorders>
                              <w:top w:val="single" w:sz="4" w:space="0" w:color="000000"/>
                              <w:left w:val="single" w:sz="4" w:space="0" w:color="000000"/>
                              <w:bottom w:val="single" w:sz="4" w:space="0" w:color="000000"/>
                              <w:right w:val="single" w:sz="4" w:space="0" w:color="000000"/>
                            </w:tcBorders>
                            <w:vAlign w:val="center"/>
                          </w:tcPr>
                          <w:p w14:paraId="46F47854"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627" w:type="dxa"/>
                            <w:gridSpan w:val="36"/>
                            <w:tcBorders>
                              <w:top w:val="single" w:sz="4" w:space="0" w:color="000000"/>
                              <w:left w:val="single" w:sz="4" w:space="0" w:color="000000"/>
                              <w:bottom w:val="single" w:sz="4" w:space="0" w:color="000000"/>
                              <w:right w:val="single" w:sz="4" w:space="0" w:color="000000"/>
                            </w:tcBorders>
                            <w:vAlign w:val="center"/>
                          </w:tcPr>
                          <w:p w14:paraId="2BB9159E"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5860" w:type="dxa"/>
                            <w:gridSpan w:val="29"/>
                            <w:tcBorders>
                              <w:top w:val="single" w:sz="4" w:space="0" w:color="000000"/>
                              <w:left w:val="single" w:sz="4" w:space="0" w:color="000000"/>
                              <w:bottom w:val="single" w:sz="4" w:space="0" w:color="000000"/>
                              <w:right w:val="single" w:sz="4" w:space="0" w:color="000000"/>
                            </w:tcBorders>
                            <w:vAlign w:val="center"/>
                          </w:tcPr>
                          <w:p w14:paraId="767F25D6"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1707" w:type="dxa"/>
                            <w:tcBorders>
                              <w:top w:val="single" w:sz="4" w:space="0" w:color="000000"/>
                              <w:left w:val="single" w:sz="4" w:space="0" w:color="000000"/>
                              <w:bottom w:val="single" w:sz="4" w:space="0" w:color="000000"/>
                              <w:right w:val="single" w:sz="4" w:space="0" w:color="000000"/>
                            </w:tcBorders>
                          </w:tcPr>
                          <w:p w14:paraId="06DB81F9"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000000" w14:paraId="221DFD19" w14:textId="77777777">
                        <w:tblPrEx>
                          <w:tblCellMar>
                            <w:top w:w="0" w:type="dxa"/>
                            <w:bottom w:w="0" w:type="dxa"/>
                          </w:tblCellMar>
                        </w:tblPrEx>
                        <w:trPr>
                          <w:gridAfter w:val="1"/>
                          <w:wAfter w:w="9" w:type="dxa"/>
                          <w:trHeight w:val="747"/>
                        </w:trPr>
                        <w:tc>
                          <w:tcPr>
                            <w:tcW w:w="457" w:type="dxa"/>
                            <w:gridSpan w:val="2"/>
                            <w:tcBorders>
                              <w:top w:val="single" w:sz="4" w:space="0" w:color="000000"/>
                              <w:left w:val="single" w:sz="4" w:space="0" w:color="000000"/>
                              <w:bottom w:val="single" w:sz="4" w:space="0" w:color="000000"/>
                              <w:right w:val="single" w:sz="4" w:space="0" w:color="000000"/>
                            </w:tcBorders>
                          </w:tcPr>
                          <w:p w14:paraId="1ADB660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2.3 </w:t>
                            </w:r>
                          </w:p>
                        </w:tc>
                        <w:tc>
                          <w:tcPr>
                            <w:tcW w:w="1220" w:type="dxa"/>
                            <w:gridSpan w:val="11"/>
                            <w:tcBorders>
                              <w:top w:val="single" w:sz="4" w:space="0" w:color="000000"/>
                              <w:left w:val="single" w:sz="4" w:space="0" w:color="000000"/>
                              <w:bottom w:val="single" w:sz="4" w:space="0" w:color="000000"/>
                              <w:right w:val="single" w:sz="4" w:space="0" w:color="000000"/>
                            </w:tcBorders>
                          </w:tcPr>
                          <w:p w14:paraId="6DE69B7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Compositegroup occultinglight </w:t>
                            </w:r>
                          </w:p>
                        </w:tc>
                        <w:tc>
                          <w:tcPr>
                            <w:tcW w:w="1192" w:type="dxa"/>
                            <w:gridSpan w:val="19"/>
                            <w:tcBorders>
                              <w:top w:val="single" w:sz="4" w:space="0" w:color="000000"/>
                              <w:left w:val="single" w:sz="4" w:space="0" w:color="000000"/>
                              <w:bottom w:val="single" w:sz="4" w:space="0" w:color="000000"/>
                              <w:right w:val="single" w:sz="4" w:space="0" w:color="000000"/>
                            </w:tcBorders>
                          </w:tcPr>
                          <w:p w14:paraId="42E744E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Oc(# + #)eg.Oc(2 + 1) </w:t>
                            </w:r>
                          </w:p>
                        </w:tc>
                        <w:tc>
                          <w:tcPr>
                            <w:tcW w:w="2627" w:type="dxa"/>
                            <w:gridSpan w:val="36"/>
                            <w:tcBorders>
                              <w:top w:val="single" w:sz="4" w:space="0" w:color="000000"/>
                              <w:left w:val="single" w:sz="4" w:space="0" w:color="000000"/>
                              <w:bottom w:val="single" w:sz="4" w:space="0" w:color="000000"/>
                              <w:right w:val="single" w:sz="4" w:space="0" w:color="000000"/>
                            </w:tcBorders>
                          </w:tcPr>
                          <w:p w14:paraId="3D4A300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similar to a group occulting light except thatsuccessive groups in a period have different numbers of eclipses. </w:t>
                            </w:r>
                          </w:p>
                        </w:tc>
                        <w:tc>
                          <w:tcPr>
                            <w:tcW w:w="5860" w:type="dxa"/>
                            <w:gridSpan w:val="29"/>
                            <w:tcBorders>
                              <w:top w:val="single" w:sz="4" w:space="0" w:color="000000"/>
                              <w:left w:val="single" w:sz="4" w:space="0" w:color="000000"/>
                              <w:bottom w:val="single" w:sz="4" w:space="0" w:color="000000"/>
                              <w:right w:val="single" w:sz="4" w:space="0" w:color="000000"/>
                            </w:tcBorders>
                          </w:tcPr>
                          <w:p w14:paraId="622035AE"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This class of light character is not recommended because it is difficult to recog</w:t>
                            </w:r>
                            <w:r>
                              <w:rPr>
                                <w:rFonts w:ascii="Helvetica 55 Roman" w:hAnsi="Helvetica 55 Roman" w:cs="Helvetica 55 Roman"/>
                                <w:sz w:val="18"/>
                                <w:szCs w:val="18"/>
                              </w:rPr>
                              <w:t xml:space="preserve">nize. </w:t>
                            </w:r>
                            <w:r>
                              <w:rPr>
                                <w:rFonts w:ascii="Helvetica 55 Roman" w:hAnsi="Helvetica 55 Roman" w:cs="Helvetica 55 Roman"/>
                                <w:sz w:val="12"/>
                                <w:szCs w:val="12"/>
                              </w:rPr>
                              <w:t xml:space="preserve">1’’   l’ l’  3 l l  d c  1 s Example: l’’ = 9 s;  l’ = 3 s; l = 1 s; d = 1 s; c = 2 s; p = 16 s Oc(2+1) </w:t>
                            </w:r>
                          </w:p>
                        </w:tc>
                        <w:tc>
                          <w:tcPr>
                            <w:tcW w:w="1707" w:type="dxa"/>
                            <w:tcBorders>
                              <w:top w:val="single" w:sz="4" w:space="0" w:color="000000"/>
                              <w:left w:val="single" w:sz="4" w:space="0" w:color="000000"/>
                              <w:bottom w:val="single" w:sz="4" w:space="0" w:color="000000"/>
                              <w:right w:val="single" w:sz="4" w:space="0" w:color="000000"/>
                            </w:tcBorders>
                          </w:tcPr>
                          <w:p w14:paraId="08B85192" w14:textId="77777777" w:rsidR="00000000" w:rsidRDefault="00A450E1">
                            <w:pPr>
                              <w:pStyle w:val="Default"/>
                              <w:rPr>
                                <w:rFonts w:cs="Times New Roman"/>
                                <w:color w:val="auto"/>
                              </w:rPr>
                            </w:pPr>
                          </w:p>
                        </w:tc>
                      </w:tr>
                      <w:tr w:rsidR="00000000" w14:paraId="0F82DD83" w14:textId="77777777">
                        <w:tblPrEx>
                          <w:tblCellMar>
                            <w:top w:w="0" w:type="dxa"/>
                            <w:bottom w:w="0" w:type="dxa"/>
                          </w:tblCellMar>
                        </w:tblPrEx>
                        <w:trPr>
                          <w:gridAfter w:val="1"/>
                          <w:wAfter w:w="9" w:type="dxa"/>
                          <w:trHeight w:val="912"/>
                        </w:trPr>
                        <w:tc>
                          <w:tcPr>
                            <w:tcW w:w="457" w:type="dxa"/>
                            <w:gridSpan w:val="2"/>
                            <w:tcBorders>
                              <w:top w:val="single" w:sz="4" w:space="0" w:color="000000"/>
                              <w:left w:val="single" w:sz="4" w:space="0" w:color="000000"/>
                              <w:bottom w:val="single" w:sz="4" w:space="0" w:color="000000"/>
                              <w:right w:val="single" w:sz="4" w:space="0" w:color="000000"/>
                            </w:tcBorders>
                          </w:tcPr>
                          <w:p w14:paraId="73835E4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 </w:t>
                            </w:r>
                          </w:p>
                        </w:tc>
                        <w:tc>
                          <w:tcPr>
                            <w:tcW w:w="1220" w:type="dxa"/>
                            <w:gridSpan w:val="11"/>
                            <w:tcBorders>
                              <w:top w:val="single" w:sz="4" w:space="0" w:color="000000"/>
                              <w:left w:val="single" w:sz="4" w:space="0" w:color="000000"/>
                              <w:bottom w:val="single" w:sz="4" w:space="0" w:color="000000"/>
                              <w:right w:val="single" w:sz="4" w:space="0" w:color="000000"/>
                            </w:tcBorders>
                          </w:tcPr>
                          <w:p w14:paraId="11C3C9F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ISOPHASELIGHT </w:t>
                            </w:r>
                          </w:p>
                        </w:tc>
                        <w:tc>
                          <w:tcPr>
                            <w:tcW w:w="1192" w:type="dxa"/>
                            <w:gridSpan w:val="19"/>
                            <w:tcBorders>
                              <w:top w:val="single" w:sz="4" w:space="0" w:color="000000"/>
                              <w:left w:val="single" w:sz="4" w:space="0" w:color="000000"/>
                              <w:bottom w:val="single" w:sz="4" w:space="0" w:color="000000"/>
                              <w:right w:val="single" w:sz="4" w:space="0" w:color="000000"/>
                            </w:tcBorders>
                          </w:tcPr>
                          <w:p w14:paraId="1F27E75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Iso </w:t>
                            </w:r>
                          </w:p>
                        </w:tc>
                        <w:tc>
                          <w:tcPr>
                            <w:tcW w:w="2627" w:type="dxa"/>
                            <w:gridSpan w:val="36"/>
                            <w:tcBorders>
                              <w:top w:val="single" w:sz="4" w:space="0" w:color="000000"/>
                              <w:left w:val="single" w:sz="4" w:space="0" w:color="000000"/>
                              <w:bottom w:val="single" w:sz="4" w:space="0" w:color="000000"/>
                              <w:right w:val="single" w:sz="4" w:space="0" w:color="000000"/>
                            </w:tcBorders>
                          </w:tcPr>
                          <w:p w14:paraId="58E3C46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all thedurations of light anddarkness are clearly equal. </w:t>
                            </w:r>
                          </w:p>
                        </w:tc>
                        <w:tc>
                          <w:tcPr>
                            <w:tcW w:w="5860" w:type="dxa"/>
                            <w:gridSpan w:val="29"/>
                            <w:tcBorders>
                              <w:top w:val="single" w:sz="4" w:space="0" w:color="000000"/>
                              <w:left w:val="single" w:sz="4" w:space="0" w:color="000000"/>
                              <w:bottom w:val="single" w:sz="4" w:space="0" w:color="000000"/>
                              <w:right w:val="single" w:sz="4" w:space="0" w:color="000000"/>
                            </w:tcBorders>
                          </w:tcPr>
                          <w:p w14:paraId="34F3B483"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The period should never be less than 2 s, but preferably it should not be less than 4 s in order to reduce the risk of confusion with occulting or flashing lights of similar periods.</w:t>
                            </w:r>
                            <w:r>
                              <w:rPr>
                                <w:rFonts w:ascii="Helvetica 55 Roman" w:hAnsi="Helvetica 55 Roman" w:cs="Helvetica 55 Roman"/>
                                <w:sz w:val="12"/>
                                <w:szCs w:val="12"/>
                              </w:rPr>
                              <w:t xml:space="preserve">Example: l = d = 2 s; p = 4 s l = dp  2 s </w:t>
                            </w:r>
                          </w:p>
                        </w:tc>
                        <w:tc>
                          <w:tcPr>
                            <w:tcW w:w="1707" w:type="dxa"/>
                            <w:tcBorders>
                              <w:top w:val="single" w:sz="4" w:space="0" w:color="000000"/>
                              <w:left w:val="single" w:sz="4" w:space="0" w:color="000000"/>
                              <w:bottom w:val="single" w:sz="4" w:space="0" w:color="000000"/>
                              <w:right w:val="single" w:sz="4" w:space="0" w:color="000000"/>
                            </w:tcBorders>
                          </w:tcPr>
                          <w:p w14:paraId="0460C56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An isophase Whitelight indicate</w:t>
                            </w:r>
                            <w:r>
                              <w:rPr>
                                <w:rFonts w:ascii="Helvetica 55 Roman" w:hAnsi="Helvetica 55 Roman" w:cs="Helvetica 55 Roman"/>
                                <w:sz w:val="18"/>
                                <w:szCs w:val="18"/>
                              </w:rPr>
                              <w:t xml:space="preserve">s asafe water mark. </w:t>
                            </w:r>
                          </w:p>
                        </w:tc>
                      </w:tr>
                      <w:tr w:rsidR="00000000" w14:paraId="64CE9CC1" w14:textId="77777777">
                        <w:tblPrEx>
                          <w:tblCellMar>
                            <w:top w:w="0" w:type="dxa"/>
                            <w:bottom w:w="0" w:type="dxa"/>
                          </w:tblCellMar>
                        </w:tblPrEx>
                        <w:trPr>
                          <w:gridAfter w:val="1"/>
                          <w:wAfter w:w="9" w:type="dxa"/>
                          <w:trHeight w:val="691"/>
                        </w:trPr>
                        <w:tc>
                          <w:tcPr>
                            <w:tcW w:w="457" w:type="dxa"/>
                            <w:gridSpan w:val="2"/>
                            <w:tcBorders>
                              <w:top w:val="single" w:sz="4" w:space="0" w:color="000000"/>
                              <w:left w:val="single" w:sz="4" w:space="0" w:color="000000"/>
                              <w:bottom w:val="single" w:sz="4" w:space="0" w:color="000000"/>
                              <w:right w:val="single" w:sz="4" w:space="0" w:color="000000"/>
                            </w:tcBorders>
                          </w:tcPr>
                          <w:p w14:paraId="2A78A82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 </w:t>
                            </w:r>
                          </w:p>
                        </w:tc>
                        <w:tc>
                          <w:tcPr>
                            <w:tcW w:w="1220" w:type="dxa"/>
                            <w:gridSpan w:val="11"/>
                            <w:tcBorders>
                              <w:top w:val="single" w:sz="4" w:space="0" w:color="000000"/>
                              <w:left w:val="single" w:sz="4" w:space="0" w:color="000000"/>
                              <w:bottom w:val="single" w:sz="4" w:space="0" w:color="000000"/>
                              <w:right w:val="single" w:sz="4" w:space="0" w:color="000000"/>
                            </w:tcBorders>
                          </w:tcPr>
                          <w:p w14:paraId="71D8D26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FLASHINGLIGHT </w:t>
                            </w:r>
                          </w:p>
                        </w:tc>
                        <w:tc>
                          <w:tcPr>
                            <w:tcW w:w="1192" w:type="dxa"/>
                            <w:gridSpan w:val="19"/>
                            <w:tcBorders>
                              <w:top w:val="single" w:sz="4" w:space="0" w:color="000000"/>
                              <w:left w:val="single" w:sz="4" w:space="0" w:color="000000"/>
                              <w:bottom w:val="single" w:sz="4" w:space="0" w:color="000000"/>
                              <w:right w:val="single" w:sz="4" w:space="0" w:color="000000"/>
                            </w:tcBorders>
                          </w:tcPr>
                          <w:p w14:paraId="260C0C77" w14:textId="77777777" w:rsidR="00000000" w:rsidRDefault="00A450E1">
                            <w:pPr>
                              <w:pStyle w:val="Default"/>
                              <w:rPr>
                                <w:rFonts w:cs="Times New Roman"/>
                                <w:color w:val="auto"/>
                              </w:rPr>
                            </w:pPr>
                          </w:p>
                        </w:tc>
                        <w:tc>
                          <w:tcPr>
                            <w:tcW w:w="2627" w:type="dxa"/>
                            <w:gridSpan w:val="36"/>
                            <w:tcBorders>
                              <w:top w:val="single" w:sz="4" w:space="0" w:color="000000"/>
                              <w:left w:val="single" w:sz="4" w:space="0" w:color="000000"/>
                              <w:bottom w:val="single" w:sz="4" w:space="0" w:color="000000"/>
                              <w:right w:val="single" w:sz="4" w:space="0" w:color="000000"/>
                            </w:tcBorders>
                          </w:tcPr>
                          <w:p w14:paraId="3746E54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the totalduration of light in a periodis shorter than the totalduration of darkness and theappearances of light (flashes)are usually of equal duration. </w:t>
                            </w:r>
                          </w:p>
                        </w:tc>
                        <w:tc>
                          <w:tcPr>
                            <w:tcW w:w="5860" w:type="dxa"/>
                            <w:gridSpan w:val="29"/>
                            <w:tcBorders>
                              <w:top w:val="single" w:sz="4" w:space="0" w:color="000000"/>
                              <w:left w:val="single" w:sz="4" w:space="0" w:color="000000"/>
                              <w:bottom w:val="single" w:sz="4" w:space="0" w:color="000000"/>
                              <w:right w:val="single" w:sz="4" w:space="0" w:color="000000"/>
                            </w:tcBorders>
                          </w:tcPr>
                          <w:p w14:paraId="35D7C46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the total duration of light in a period is clearly shorter than the total duration of darkness and all the flashes are of equal duration. </w:t>
                            </w:r>
                          </w:p>
                        </w:tc>
                        <w:tc>
                          <w:tcPr>
                            <w:tcW w:w="1707" w:type="dxa"/>
                            <w:tcBorders>
                              <w:top w:val="single" w:sz="4" w:space="0" w:color="000000"/>
                              <w:left w:val="single" w:sz="4" w:space="0" w:color="000000"/>
                              <w:bottom w:val="single" w:sz="4" w:space="0" w:color="000000"/>
                              <w:right w:val="single" w:sz="4" w:space="0" w:color="000000"/>
                            </w:tcBorders>
                          </w:tcPr>
                          <w:p w14:paraId="31960F1D" w14:textId="77777777" w:rsidR="00000000" w:rsidRDefault="00A450E1">
                            <w:pPr>
                              <w:pStyle w:val="Default"/>
                              <w:rPr>
                                <w:rFonts w:cs="Times New Roman"/>
                                <w:color w:val="auto"/>
                              </w:rPr>
                            </w:pPr>
                          </w:p>
                        </w:tc>
                      </w:tr>
                      <w:tr w:rsidR="00000000" w14:paraId="3BE48FFF" w14:textId="77777777">
                        <w:tblPrEx>
                          <w:tblCellMar>
                            <w:top w:w="0" w:type="dxa"/>
                            <w:bottom w:w="0" w:type="dxa"/>
                          </w:tblCellMar>
                        </w:tblPrEx>
                        <w:trPr>
                          <w:gridAfter w:val="1"/>
                          <w:wAfter w:w="9" w:type="dxa"/>
                          <w:trHeight w:val="1123"/>
                        </w:trPr>
                        <w:tc>
                          <w:tcPr>
                            <w:tcW w:w="457" w:type="dxa"/>
                            <w:gridSpan w:val="2"/>
                            <w:tcBorders>
                              <w:top w:val="single" w:sz="4" w:space="0" w:color="000000"/>
                              <w:left w:val="single" w:sz="4" w:space="0" w:color="000000"/>
                              <w:bottom w:val="single" w:sz="4" w:space="0" w:color="000000"/>
                              <w:right w:val="single" w:sz="4" w:space="0" w:color="000000"/>
                            </w:tcBorders>
                          </w:tcPr>
                          <w:p w14:paraId="6560946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4.1 </w:t>
                            </w:r>
                          </w:p>
                        </w:tc>
                        <w:tc>
                          <w:tcPr>
                            <w:tcW w:w="1220" w:type="dxa"/>
                            <w:gridSpan w:val="11"/>
                            <w:tcBorders>
                              <w:top w:val="single" w:sz="4" w:space="0" w:color="000000"/>
                              <w:left w:val="single" w:sz="4" w:space="0" w:color="000000"/>
                              <w:bottom w:val="single" w:sz="4" w:space="0" w:color="000000"/>
                              <w:right w:val="single" w:sz="4" w:space="0" w:color="000000"/>
                            </w:tcBorders>
                          </w:tcPr>
                          <w:p w14:paraId="452AB3D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Singleflashing light </w:t>
                            </w:r>
                          </w:p>
                        </w:tc>
                        <w:tc>
                          <w:tcPr>
                            <w:tcW w:w="1192" w:type="dxa"/>
                            <w:gridSpan w:val="19"/>
                            <w:tcBorders>
                              <w:top w:val="single" w:sz="4" w:space="0" w:color="000000"/>
                              <w:left w:val="single" w:sz="4" w:space="0" w:color="000000"/>
                              <w:bottom w:val="single" w:sz="4" w:space="0" w:color="000000"/>
                              <w:right w:val="single" w:sz="4" w:space="0" w:color="000000"/>
                            </w:tcBorders>
                          </w:tcPr>
                          <w:p w14:paraId="12416F2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 </w:t>
                            </w:r>
                          </w:p>
                        </w:tc>
                        <w:tc>
                          <w:tcPr>
                            <w:tcW w:w="2627" w:type="dxa"/>
                            <w:gridSpan w:val="36"/>
                            <w:tcBorders>
                              <w:top w:val="single" w:sz="4" w:space="0" w:color="000000"/>
                              <w:left w:val="single" w:sz="4" w:space="0" w:color="000000"/>
                              <w:bottom w:val="single" w:sz="4" w:space="0" w:color="000000"/>
                              <w:right w:val="single" w:sz="4" w:space="0" w:color="000000"/>
                            </w:tcBorders>
                          </w:tcPr>
                          <w:p w14:paraId="735232A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flashing light in which a flash is regularly repeated (at a rate of less than 50 flashes perminute). </w:t>
                            </w:r>
                          </w:p>
                        </w:tc>
                        <w:tc>
                          <w:tcPr>
                            <w:tcW w:w="5860" w:type="dxa"/>
                            <w:gridSpan w:val="29"/>
                            <w:tcBorders>
                              <w:top w:val="single" w:sz="4" w:space="0" w:color="000000"/>
                              <w:left w:val="single" w:sz="4" w:space="0" w:color="000000"/>
                              <w:bottom w:val="single" w:sz="4" w:space="0" w:color="000000"/>
                              <w:right w:val="single" w:sz="4" w:space="0" w:color="000000"/>
                            </w:tcBorders>
                          </w:tcPr>
                          <w:p w14:paraId="336D80A4"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 xml:space="preserve">The duration of the interval of darkness (eclipse) between twosuccessive flashes should not be less than three times the duration of a flash.The period </w:t>
                            </w:r>
                            <w:r>
                              <w:rPr>
                                <w:rFonts w:ascii="Helvetica 55 Roman" w:hAnsi="Helvetica 55 Roman" w:cs="Helvetica 55 Roman"/>
                                <w:sz w:val="18"/>
                                <w:szCs w:val="18"/>
                              </w:rPr>
                              <w:t xml:space="preserve">should not be less than 2 s (or not less than 2.5 s in thosecountries where a quick rate of 50 flashes per minute is used). </w:t>
                            </w:r>
                            <w:r>
                              <w:rPr>
                                <w:rFonts w:ascii="Helvetica 55 Roman" w:hAnsi="Helvetica 55 Roman" w:cs="Helvetica 55 Roman"/>
                                <w:sz w:val="12"/>
                                <w:szCs w:val="12"/>
                              </w:rPr>
                              <w:t xml:space="preserve">d  3 l p  2 s Example: d = 3 s; l = 1 s; p = 4 s </w:t>
                            </w:r>
                          </w:p>
                        </w:tc>
                        <w:tc>
                          <w:tcPr>
                            <w:tcW w:w="1707" w:type="dxa"/>
                            <w:tcBorders>
                              <w:top w:val="single" w:sz="4" w:space="0" w:color="000000"/>
                              <w:left w:val="single" w:sz="4" w:space="0" w:color="000000"/>
                              <w:bottom w:val="single" w:sz="4" w:space="0" w:color="000000"/>
                              <w:right w:val="single" w:sz="4" w:space="0" w:color="000000"/>
                            </w:tcBorders>
                          </w:tcPr>
                          <w:p w14:paraId="0AECDCF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single flashingYellowlightindicates a specialmark. </w:t>
                            </w:r>
                          </w:p>
                        </w:tc>
                      </w:tr>
                      <w:tr w:rsidR="00000000" w14:paraId="44BBE132" w14:textId="77777777">
                        <w:tblPrEx>
                          <w:tblCellMar>
                            <w:top w:w="0" w:type="dxa"/>
                            <w:bottom w:w="0" w:type="dxa"/>
                          </w:tblCellMar>
                        </w:tblPrEx>
                        <w:trPr>
                          <w:gridAfter w:val="1"/>
                          <w:wAfter w:w="9" w:type="dxa"/>
                          <w:trHeight w:val="583"/>
                        </w:trPr>
                        <w:tc>
                          <w:tcPr>
                            <w:tcW w:w="457" w:type="dxa"/>
                            <w:gridSpan w:val="2"/>
                            <w:tcBorders>
                              <w:top w:val="single" w:sz="4" w:space="0" w:color="000000"/>
                              <w:left w:val="single" w:sz="4" w:space="0" w:color="000000"/>
                              <w:bottom w:val="single" w:sz="4" w:space="0" w:color="000000"/>
                              <w:right w:val="single" w:sz="4" w:space="0" w:color="000000"/>
                            </w:tcBorders>
                          </w:tcPr>
                          <w:p w14:paraId="4A74F4F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4.2 </w:t>
                            </w:r>
                          </w:p>
                        </w:tc>
                        <w:tc>
                          <w:tcPr>
                            <w:tcW w:w="1220" w:type="dxa"/>
                            <w:gridSpan w:val="11"/>
                            <w:tcBorders>
                              <w:top w:val="single" w:sz="4" w:space="0" w:color="000000"/>
                              <w:left w:val="single" w:sz="4" w:space="0" w:color="000000"/>
                              <w:bottom w:val="single" w:sz="4" w:space="0" w:color="000000"/>
                              <w:right w:val="single" w:sz="4" w:space="0" w:color="000000"/>
                            </w:tcBorders>
                          </w:tcPr>
                          <w:p w14:paraId="03E58A1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Longflashing light </w:t>
                            </w:r>
                          </w:p>
                        </w:tc>
                        <w:tc>
                          <w:tcPr>
                            <w:tcW w:w="1192" w:type="dxa"/>
                            <w:gridSpan w:val="19"/>
                            <w:tcBorders>
                              <w:top w:val="single" w:sz="4" w:space="0" w:color="000000"/>
                              <w:left w:val="single" w:sz="4" w:space="0" w:color="000000"/>
                              <w:bottom w:val="single" w:sz="4" w:space="0" w:color="000000"/>
                              <w:right w:val="single" w:sz="4" w:space="0" w:color="000000"/>
                            </w:tcBorders>
                          </w:tcPr>
                          <w:p w14:paraId="17EF1AE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LFI </w:t>
                            </w:r>
                          </w:p>
                        </w:tc>
                        <w:tc>
                          <w:tcPr>
                            <w:tcW w:w="2627" w:type="dxa"/>
                            <w:gridSpan w:val="36"/>
                            <w:tcBorders>
                              <w:top w:val="single" w:sz="4" w:space="0" w:color="000000"/>
                              <w:left w:val="single" w:sz="4" w:space="0" w:color="000000"/>
                              <w:bottom w:val="single" w:sz="4" w:space="0" w:color="000000"/>
                              <w:right w:val="single" w:sz="4" w:space="0" w:color="000000"/>
                            </w:tcBorders>
                          </w:tcPr>
                          <w:p w14:paraId="4AE6D5A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single flashing light in whichan appearance of light of notless than 2 s duration (longflash)</w:t>
                            </w:r>
                            <w:r>
                              <w:rPr>
                                <w:rFonts w:ascii="Helvetica 55 Roman" w:hAnsi="Helvetica 55 Roman" w:cs="Helvetica 55 Roman"/>
                                <w:sz w:val="10"/>
                                <w:szCs w:val="10"/>
                              </w:rPr>
                              <w:t>17</w:t>
                            </w:r>
                            <w:r>
                              <w:rPr>
                                <w:rFonts w:ascii="Helvetica 55 Roman" w:hAnsi="Helvetica 55 Roman" w:cs="Helvetica 55 Roman"/>
                                <w:sz w:val="18"/>
                                <w:szCs w:val="18"/>
                              </w:rPr>
                              <w:t xml:space="preserve"> is regularly repeated.</w:t>
                            </w:r>
                          </w:p>
                        </w:tc>
                        <w:tc>
                          <w:tcPr>
                            <w:tcW w:w="5860" w:type="dxa"/>
                            <w:gridSpan w:val="29"/>
                            <w:tcBorders>
                              <w:top w:val="single" w:sz="4" w:space="0" w:color="000000"/>
                              <w:left w:val="single" w:sz="4" w:space="0" w:color="000000"/>
                              <w:bottom w:val="single" w:sz="4" w:space="0" w:color="000000"/>
                              <w:right w:val="single" w:sz="4" w:space="0" w:color="000000"/>
                            </w:tcBorders>
                            <w:vAlign w:val="bottom"/>
                          </w:tcPr>
                          <w:p w14:paraId="149F05B8"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2"/>
                                <w:szCs w:val="12"/>
                              </w:rPr>
                              <w:t xml:space="preserve">Example: d = 8 s; l = 2 s; p = 10 s d  3 l l  2 s </w:t>
                            </w:r>
                          </w:p>
                        </w:tc>
                        <w:tc>
                          <w:tcPr>
                            <w:tcW w:w="1707" w:type="dxa"/>
                            <w:tcBorders>
                              <w:top w:val="single" w:sz="4" w:space="0" w:color="000000"/>
                              <w:left w:val="single" w:sz="4" w:space="0" w:color="000000"/>
                              <w:bottom w:val="single" w:sz="4" w:space="0" w:color="000000"/>
                              <w:right w:val="single" w:sz="4" w:space="0" w:color="000000"/>
                            </w:tcBorders>
                          </w:tcPr>
                          <w:p w14:paraId="33AB111A"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long flashing</w:t>
                            </w:r>
                            <w:r>
                              <w:rPr>
                                <w:rFonts w:ascii="Helvetica 65 Medium" w:hAnsi="Helvetica 65 Medium" w:cs="Helvetica 65 Medium"/>
                                <w:i/>
                                <w:iCs/>
                                <w:sz w:val="18"/>
                                <w:szCs w:val="18"/>
                              </w:rPr>
                              <w:t>White</w:t>
                            </w:r>
                            <w:r>
                              <w:rPr>
                                <w:rFonts w:ascii="Helvetica 55 Roman" w:hAnsi="Helvetica 55 Roman" w:cs="Helvetica 55 Roman"/>
                                <w:sz w:val="18"/>
                                <w:szCs w:val="18"/>
                              </w:rPr>
                              <w:t xml:space="preserve"> light witha period of 10 sindicates a safewater mark. </w:t>
                            </w:r>
                          </w:p>
                        </w:tc>
                      </w:tr>
                    </w:tbl>
                  </w:txbxContent>
                </v:textbox>
                <w10:wrap type="through" anchorx="page" anchory="page"/>
              </v:shape>
            </w:pict>
          </mc:Fallback>
        </mc:AlternateContent>
      </w:r>
    </w:p>
    <w:p w14:paraId="5B99E800" w14:textId="77777777" w:rsidR="00541A14" w:rsidRDefault="00DD420F">
      <w:pPr>
        <w:pStyle w:val="Default"/>
        <w:framePr w:w="12857" w:wrap="auto" w:vAnchor="page" w:hAnchor="page" w:x="101" w:y="1"/>
        <w:spacing w:after="8340"/>
        <w:rPr>
          <w:rFonts w:cs="Times New Roman"/>
          <w:color w:val="auto"/>
        </w:rPr>
      </w:pPr>
      <w:r>
        <w:rPr>
          <w:rFonts w:cs="Times New Roman"/>
          <w:noProof/>
          <w:color w:val="auto"/>
        </w:rPr>
        <w:drawing>
          <wp:inline distT="0" distB="0" distL="0" distR="0" wp14:anchorId="50BAA8FA" wp14:editId="23F156F0">
            <wp:extent cx="7553960" cy="115316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3A663F96" w14:textId="77777777" w:rsidR="00541A14" w:rsidRDefault="00A450E1">
      <w:pPr>
        <w:pStyle w:val="CM81"/>
        <w:rPr>
          <w:rFonts w:ascii="Palatino" w:hAnsi="Palatino" w:cs="Palatino"/>
          <w:sz w:val="20"/>
          <w:szCs w:val="20"/>
        </w:rPr>
      </w:pPr>
      <w:r>
        <w:rPr>
          <w:rFonts w:ascii="Palatino" w:hAnsi="Palatino" w:cs="Palatino"/>
          <w:position w:val="6"/>
          <w:sz w:val="9"/>
          <w:szCs w:val="9"/>
          <w:vertAlign w:val="superscript"/>
        </w:rPr>
        <w:t xml:space="preserve">17 </w:t>
      </w:r>
      <w:r>
        <w:rPr>
          <w:rFonts w:ascii="Palatino" w:hAnsi="Palatino" w:cs="Palatino"/>
          <w:sz w:val="20"/>
          <w:szCs w:val="20"/>
        </w:rPr>
        <w:t xml:space="preserve">The term “long flash”, which is used in the descriptions of the long-flashing light and of the light characters reserved for south cardinal marks, means an appearance of light of not less than 2 seconds duration. The term “short flash” is not commonly used and does not appear in the Classification. If an Authority requires discrimination between two flashing lights that only differ in having flashes of different durations, then the longer flash should be described as “long flash” and be of not less than 2 seconds duration, and the shorter flash may be described as “short flash” and should be of not more rhythmic character of such a light is than one third of the duration of the longer flash. </w:t>
      </w:r>
    </w:p>
    <w:p w14:paraId="7FA2336E" w14:textId="77777777" w:rsidR="00541A14" w:rsidRDefault="00DD420F">
      <w:pPr>
        <w:pStyle w:val="Default"/>
        <w:pageBreakBefore/>
        <w:framePr w:w="24763" w:wrap="auto" w:vAnchor="page" w:hAnchor="page" w:x="101" w:y="1"/>
        <w:spacing w:after="180"/>
        <w:rPr>
          <w:rFonts w:ascii="Palatino" w:hAnsi="Palatino" w:cs="Palatino"/>
          <w:color w:val="auto"/>
          <w:sz w:val="20"/>
          <w:szCs w:val="20"/>
        </w:rPr>
      </w:pPr>
      <w:r>
        <w:rPr>
          <w:rFonts w:ascii="Palatino" w:hAnsi="Palatino" w:cs="Palatino"/>
          <w:noProof/>
          <w:color w:val="auto"/>
          <w:sz w:val="20"/>
          <w:szCs w:val="20"/>
        </w:rPr>
        <w:drawing>
          <wp:inline distT="0" distB="0" distL="0" distR="0" wp14:anchorId="7CA1000A" wp14:editId="478B6B14">
            <wp:extent cx="7553960" cy="115316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0C9C1047"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66432" behindDoc="0" locked="0" layoutInCell="0" allowOverlap="1" wp14:anchorId="4A97CA63" wp14:editId="3C3C15ED">
                <wp:simplePos x="0" y="0"/>
                <wp:positionH relativeFrom="page">
                  <wp:posOffset>819150</wp:posOffset>
                </wp:positionH>
                <wp:positionV relativeFrom="page">
                  <wp:posOffset>1454150</wp:posOffset>
                </wp:positionV>
                <wp:extent cx="8801100" cy="9852660"/>
                <wp:effectExtent l="0" t="0" r="0" b="0"/>
                <wp:wrapThrough wrapText="bothSides">
                  <wp:wrapPolygon edited="0">
                    <wp:start x="0" y="0"/>
                    <wp:lineTo x="21600" y="0"/>
                    <wp:lineTo x="21600" y="21600"/>
                    <wp:lineTo x="0" y="21600"/>
                    <wp:lineTo x="0" y="0"/>
                  </wp:wrapPolygon>
                </wp:wrapThrough>
                <wp:docPr id="54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01100" cy="9852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457"/>
                              <w:gridCol w:w="1217"/>
                              <w:gridCol w:w="1192"/>
                              <w:gridCol w:w="2630"/>
                              <w:gridCol w:w="5857"/>
                              <w:gridCol w:w="1707"/>
                            </w:tblGrid>
                            <w:tr w:rsidR="00541A14" w14:paraId="5F464E2F" w14:textId="77777777">
                              <w:trPr>
                                <w:trHeight w:val="372"/>
                              </w:trPr>
                              <w:tc>
                                <w:tcPr>
                                  <w:tcW w:w="457" w:type="dxa"/>
                                  <w:tcBorders>
                                    <w:top w:val="single" w:sz="4" w:space="0" w:color="000000"/>
                                    <w:left w:val="single" w:sz="4" w:space="0" w:color="000000"/>
                                    <w:bottom w:val="single" w:sz="4" w:space="0" w:color="000000"/>
                                    <w:right w:val="single" w:sz="4" w:space="0" w:color="000000"/>
                                  </w:tcBorders>
                                </w:tcPr>
                                <w:p w14:paraId="0194BF60" w14:textId="77777777" w:rsidR="00541A14" w:rsidRDefault="00541A14">
                                  <w:pPr>
                                    <w:pStyle w:val="Default"/>
                                    <w:jc w:val="center"/>
                                    <w:rPr>
                                      <w:rFonts w:cs="Times New Roman"/>
                                      <w:color w:val="auto"/>
                                    </w:rPr>
                                  </w:pPr>
                                </w:p>
                              </w:tc>
                              <w:tc>
                                <w:tcPr>
                                  <w:tcW w:w="1217" w:type="dxa"/>
                                  <w:tcBorders>
                                    <w:top w:val="single" w:sz="4" w:space="0" w:color="000000"/>
                                    <w:left w:val="single" w:sz="4" w:space="0" w:color="000000"/>
                                    <w:bottom w:val="single" w:sz="4" w:space="0" w:color="000000"/>
                                    <w:right w:val="single" w:sz="4" w:space="0" w:color="000000"/>
                                  </w:tcBorders>
                                  <w:vAlign w:val="center"/>
                                </w:tcPr>
                                <w:p w14:paraId="427E8317"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1192" w:type="dxa"/>
                                  <w:tcBorders>
                                    <w:top w:val="single" w:sz="4" w:space="0" w:color="000000"/>
                                    <w:left w:val="single" w:sz="4" w:space="0" w:color="000000"/>
                                    <w:bottom w:val="single" w:sz="4" w:space="0" w:color="000000"/>
                                    <w:right w:val="single" w:sz="4" w:space="0" w:color="000000"/>
                                  </w:tcBorders>
                                  <w:vAlign w:val="center"/>
                                </w:tcPr>
                                <w:p w14:paraId="0A77F28F"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630" w:type="dxa"/>
                                  <w:tcBorders>
                                    <w:top w:val="single" w:sz="4" w:space="0" w:color="000000"/>
                                    <w:left w:val="single" w:sz="4" w:space="0" w:color="000000"/>
                                    <w:bottom w:val="single" w:sz="4" w:space="0" w:color="000000"/>
                                    <w:right w:val="single" w:sz="4" w:space="0" w:color="000000"/>
                                  </w:tcBorders>
                                  <w:vAlign w:val="center"/>
                                </w:tcPr>
                                <w:p w14:paraId="36A117CA"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5857" w:type="dxa"/>
                                  <w:tcBorders>
                                    <w:top w:val="single" w:sz="4" w:space="0" w:color="000000"/>
                                    <w:left w:val="single" w:sz="4" w:space="0" w:color="000000"/>
                                    <w:bottom w:val="single" w:sz="4" w:space="0" w:color="000000"/>
                                    <w:right w:val="single" w:sz="4" w:space="0" w:color="000000"/>
                                  </w:tcBorders>
                                  <w:vAlign w:val="center"/>
                                </w:tcPr>
                                <w:p w14:paraId="5D1A70EE"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1707" w:type="dxa"/>
                                  <w:tcBorders>
                                    <w:top w:val="single" w:sz="4" w:space="0" w:color="000000"/>
                                    <w:left w:val="single" w:sz="4" w:space="0" w:color="000000"/>
                                    <w:bottom w:val="single" w:sz="4" w:space="0" w:color="000000"/>
                                    <w:right w:val="single" w:sz="4" w:space="0" w:color="000000"/>
                                  </w:tcBorders>
                                </w:tcPr>
                                <w:p w14:paraId="5A6B3E6A"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541A14" w14:paraId="08A03974" w14:textId="77777777">
                              <w:trPr>
                                <w:trHeight w:val="2335"/>
                              </w:trPr>
                              <w:tc>
                                <w:tcPr>
                                  <w:tcW w:w="457" w:type="dxa"/>
                                  <w:tcBorders>
                                    <w:top w:val="single" w:sz="4" w:space="0" w:color="000000"/>
                                    <w:left w:val="single" w:sz="4" w:space="0" w:color="000000"/>
                                    <w:bottom w:val="single" w:sz="4" w:space="0" w:color="000000"/>
                                    <w:right w:val="single" w:sz="4" w:space="0" w:color="000000"/>
                                  </w:tcBorders>
                                </w:tcPr>
                                <w:p w14:paraId="27324D9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4.3 </w:t>
                                  </w:r>
                                </w:p>
                              </w:tc>
                              <w:tc>
                                <w:tcPr>
                                  <w:tcW w:w="1217" w:type="dxa"/>
                                  <w:tcBorders>
                                    <w:top w:val="single" w:sz="4" w:space="0" w:color="000000"/>
                                    <w:left w:val="single" w:sz="4" w:space="0" w:color="000000"/>
                                    <w:bottom w:val="single" w:sz="4" w:space="0" w:color="000000"/>
                                    <w:right w:val="single" w:sz="4" w:space="0" w:color="000000"/>
                                  </w:tcBorders>
                                </w:tcPr>
                                <w:p w14:paraId="4FD6B47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Groupflashing light </w:t>
                                  </w:r>
                                </w:p>
                              </w:tc>
                              <w:tc>
                                <w:tcPr>
                                  <w:tcW w:w="1192" w:type="dxa"/>
                                  <w:tcBorders>
                                    <w:top w:val="single" w:sz="4" w:space="0" w:color="000000"/>
                                    <w:left w:val="single" w:sz="4" w:space="0" w:color="000000"/>
                                    <w:bottom w:val="single" w:sz="4" w:space="0" w:color="000000"/>
                                    <w:right w:val="single" w:sz="4" w:space="0" w:color="000000"/>
                                  </w:tcBorders>
                                </w:tcPr>
                                <w:p w14:paraId="7AD68F5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Fl(#)eg. Fl(2) </w:t>
                                  </w:r>
                                </w:p>
                              </w:tc>
                              <w:tc>
                                <w:tcPr>
                                  <w:tcW w:w="2630" w:type="dxa"/>
                                  <w:tcBorders>
                                    <w:top w:val="single" w:sz="4" w:space="0" w:color="000000"/>
                                    <w:left w:val="single" w:sz="4" w:space="0" w:color="000000"/>
                                    <w:bottom w:val="single" w:sz="4" w:space="0" w:color="000000"/>
                                    <w:right w:val="single" w:sz="4" w:space="0" w:color="000000"/>
                                  </w:tcBorders>
                                </w:tcPr>
                                <w:p w14:paraId="144734A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flashing light in which agroup of flashes, specified innumber, is regularly repeated. </w:t>
                                  </w:r>
                                </w:p>
                              </w:tc>
                              <w:tc>
                                <w:tcPr>
                                  <w:tcW w:w="5857" w:type="dxa"/>
                                  <w:tcBorders>
                                    <w:top w:val="single" w:sz="4" w:space="0" w:color="000000"/>
                                    <w:left w:val="single" w:sz="4" w:space="0" w:color="000000"/>
                                    <w:bottom w:val="single" w:sz="4" w:space="0" w:color="000000"/>
                                    <w:right w:val="single" w:sz="4" w:space="0" w:color="000000"/>
                                  </w:tcBorders>
                                </w:tcPr>
                                <w:p w14:paraId="0ABC08B2"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 xml:space="preserve">The eclipses between the flashes in a group are of equal duration, andthis duration is clearly shorter than the duration of the eclipse between successive groups.The number of flashes in a group should not be greater than five ingeneral, and should be six only as an exception.The duration of an eclipse within a group should not be less than theduration of a flash.The duration of an eclipse between groups should not be less thanthree times the duration of an eclipse within a group.In a group of two flashes, the duration of a flash together with theduration of the eclipse within the group should not be less than 1 s.In a group of three or more flashes, the duration of a flash togetherwith the duration of an eclipse within a group should not be less than2 s (or not less than 2.5 s in those countries where a quick rate of 50flashes per minute is used). </w:t>
                                  </w:r>
                                  <w:r>
                                    <w:rPr>
                                      <w:rFonts w:ascii="Helvetica 55 Roman" w:hAnsi="Helvetica 55 Roman" w:cs="Helvetica 55 Roman"/>
                                      <w:sz w:val="12"/>
                                      <w:szCs w:val="12"/>
                                    </w:rPr>
                                    <w:t xml:space="preserve">d’  3 d d  l c  1 sFl(2) Example: d’ = 6 s; d = 2 s; l = 1 s; c = 3 s; p = 10 s </w:t>
                                  </w:r>
                                </w:p>
                              </w:tc>
                              <w:tc>
                                <w:tcPr>
                                  <w:tcW w:w="1707" w:type="dxa"/>
                                  <w:tcBorders>
                                    <w:top w:val="single" w:sz="4" w:space="0" w:color="000000"/>
                                    <w:left w:val="single" w:sz="4" w:space="0" w:color="000000"/>
                                    <w:bottom w:val="single" w:sz="4" w:space="0" w:color="000000"/>
                                    <w:right w:val="single" w:sz="4" w:space="0" w:color="000000"/>
                                  </w:tcBorders>
                                </w:tcPr>
                                <w:p w14:paraId="6AA64B3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group flashingWhitelight with a group of twoflashes, in aperiod of 5 s or10 s, indicates anisolated dangermark.A group flashingYellowlight with agroup of four, fiveor (exceptionally)six flashesindicates a specialmark </w:t>
                                  </w:r>
                                </w:p>
                              </w:tc>
                            </w:tr>
                            <w:tr w:rsidR="00541A14" w14:paraId="441B3EEE" w14:textId="77777777">
                              <w:trPr>
                                <w:trHeight w:val="1338"/>
                              </w:trPr>
                              <w:tc>
                                <w:tcPr>
                                  <w:tcW w:w="457" w:type="dxa"/>
                                  <w:tcBorders>
                                    <w:top w:val="single" w:sz="4" w:space="0" w:color="000000"/>
                                    <w:left w:val="single" w:sz="4" w:space="0" w:color="000000"/>
                                    <w:bottom w:val="single" w:sz="4" w:space="0" w:color="000000"/>
                                    <w:right w:val="single" w:sz="4" w:space="0" w:color="000000"/>
                                  </w:tcBorders>
                                </w:tcPr>
                                <w:p w14:paraId="05C8BAA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4.4 </w:t>
                                  </w:r>
                                </w:p>
                              </w:tc>
                              <w:tc>
                                <w:tcPr>
                                  <w:tcW w:w="1217" w:type="dxa"/>
                                  <w:tcBorders>
                                    <w:top w:val="single" w:sz="4" w:space="0" w:color="000000"/>
                                    <w:left w:val="single" w:sz="4" w:space="0" w:color="000000"/>
                                    <w:bottom w:val="single" w:sz="4" w:space="0" w:color="000000"/>
                                    <w:right w:val="single" w:sz="4" w:space="0" w:color="000000"/>
                                  </w:tcBorders>
                                </w:tcPr>
                                <w:p w14:paraId="00AD9C9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Compositegroupflashing light </w:t>
                                  </w:r>
                                </w:p>
                              </w:tc>
                              <w:tc>
                                <w:tcPr>
                                  <w:tcW w:w="1192" w:type="dxa"/>
                                  <w:tcBorders>
                                    <w:top w:val="single" w:sz="4" w:space="0" w:color="000000"/>
                                    <w:left w:val="single" w:sz="4" w:space="0" w:color="000000"/>
                                    <w:bottom w:val="single" w:sz="4" w:space="0" w:color="000000"/>
                                    <w:right w:val="single" w:sz="4" w:space="0" w:color="000000"/>
                                  </w:tcBorders>
                                </w:tcPr>
                                <w:p w14:paraId="1F5E2E3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 + #)eg Fl(2 + 1) </w:t>
                                  </w:r>
                                </w:p>
                              </w:tc>
                              <w:tc>
                                <w:tcPr>
                                  <w:tcW w:w="2630" w:type="dxa"/>
                                  <w:tcBorders>
                                    <w:top w:val="single" w:sz="4" w:space="0" w:color="000000"/>
                                    <w:left w:val="single" w:sz="4" w:space="0" w:color="000000"/>
                                    <w:bottom w:val="single" w:sz="4" w:space="0" w:color="000000"/>
                                    <w:right w:val="single" w:sz="4" w:space="0" w:color="000000"/>
                                  </w:tcBorders>
                                </w:tcPr>
                                <w:p w14:paraId="7B1FE57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similar to a groupflashing light except thatsuccessive groups in a periodhave different numbers offlashes. </w:t>
                                  </w:r>
                                </w:p>
                              </w:tc>
                              <w:tc>
                                <w:tcPr>
                                  <w:tcW w:w="5857" w:type="dxa"/>
                                  <w:tcBorders>
                                    <w:top w:val="single" w:sz="4" w:space="0" w:color="000000"/>
                                    <w:left w:val="single" w:sz="4" w:space="0" w:color="000000"/>
                                    <w:bottom w:val="single" w:sz="4" w:space="0" w:color="000000"/>
                                    <w:right w:val="single" w:sz="4" w:space="0" w:color="000000"/>
                                  </w:tcBorders>
                                </w:tcPr>
                                <w:p w14:paraId="11B42599"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 xml:space="preserve">Light characters should be restricted to (2 + 1) flashes in general, andshould be (3 + 1) flashes only as an exception. </w:t>
                                  </w:r>
                                  <w:r>
                                    <w:rPr>
                                      <w:rFonts w:ascii="Helvetica 55 Roman" w:hAnsi="Helvetica 55 Roman" w:cs="Helvetica 55 Roman"/>
                                      <w:sz w:val="12"/>
                                      <w:szCs w:val="12"/>
                                    </w:rPr>
                                    <w:t xml:space="preserve">d’’  d’ d’  3 d d  l c  1 s Fl(2+1) Example: d’’ = 9 s; d’ = 3 s; d = 1 s; l = 1 s; c = 2 s; p = 16 s </w:t>
                                  </w:r>
                                </w:p>
                              </w:tc>
                              <w:tc>
                                <w:tcPr>
                                  <w:tcW w:w="1707" w:type="dxa"/>
                                  <w:tcBorders>
                                    <w:top w:val="single" w:sz="4" w:space="0" w:color="000000"/>
                                    <w:left w:val="single" w:sz="4" w:space="0" w:color="000000"/>
                                    <w:bottom w:val="single" w:sz="4" w:space="0" w:color="000000"/>
                                    <w:right w:val="single" w:sz="4" w:space="0" w:color="000000"/>
                                  </w:tcBorders>
                                </w:tcPr>
                                <w:p w14:paraId="4713226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composite group flashing Red orGreenlight with a group of (2 + 1)flashes indicatesa modified lateral(preferred channel)mark.A composite group flashing Yellowlight indicates aspecial mark. </w:t>
                                  </w:r>
                                </w:p>
                              </w:tc>
                            </w:tr>
                          </w:tbl>
                          <w:p w14:paraId="1B87ECEB"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4" type="#_x0000_t202" style="position:absolute;margin-left:64.5pt;margin-top:114.5pt;width:693pt;height:775.8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32"/>
                        <w:gridCol w:w="473"/>
                        <w:gridCol w:w="115"/>
                        <w:gridCol w:w="42"/>
                        <w:gridCol w:w="33"/>
                        <w:gridCol w:w="120"/>
                        <w:gridCol w:w="182"/>
                        <w:gridCol w:w="5"/>
                        <w:gridCol w:w="28"/>
                        <w:gridCol w:w="70"/>
                        <w:gridCol w:w="65"/>
                        <w:gridCol w:w="87"/>
                        <w:gridCol w:w="30"/>
                        <w:gridCol w:w="50"/>
                        <w:gridCol w:w="10"/>
                        <w:gridCol w:w="110"/>
                        <w:gridCol w:w="15"/>
                        <w:gridCol w:w="55"/>
                        <w:gridCol w:w="20"/>
                        <w:gridCol w:w="50"/>
                        <w:gridCol w:w="50"/>
                        <w:gridCol w:w="118"/>
                        <w:gridCol w:w="95"/>
                        <w:gridCol w:w="2"/>
                        <w:gridCol w:w="33"/>
                        <w:gridCol w:w="155"/>
                        <w:gridCol w:w="20"/>
                        <w:gridCol w:w="197"/>
                        <w:gridCol w:w="112"/>
                        <w:gridCol w:w="5"/>
                        <w:gridCol w:w="65"/>
                        <w:gridCol w:w="58"/>
                        <w:gridCol w:w="22"/>
                        <w:gridCol w:w="8"/>
                        <w:gridCol w:w="7"/>
                        <w:gridCol w:w="73"/>
                        <w:gridCol w:w="120"/>
                        <w:gridCol w:w="72"/>
                        <w:gridCol w:w="235"/>
                        <w:gridCol w:w="5"/>
                        <w:gridCol w:w="60"/>
                        <w:gridCol w:w="237"/>
                        <w:gridCol w:w="38"/>
                        <w:gridCol w:w="15"/>
                        <w:gridCol w:w="25"/>
                        <w:gridCol w:w="50"/>
                        <w:gridCol w:w="103"/>
                        <w:gridCol w:w="33"/>
                        <w:gridCol w:w="234"/>
                        <w:gridCol w:w="5"/>
                        <w:gridCol w:w="5"/>
                        <w:gridCol w:w="12"/>
                        <w:gridCol w:w="47"/>
                        <w:gridCol w:w="168"/>
                        <w:gridCol w:w="48"/>
                        <w:gridCol w:w="4"/>
                        <w:gridCol w:w="110"/>
                        <w:gridCol w:w="12"/>
                        <w:gridCol w:w="108"/>
                        <w:gridCol w:w="4"/>
                        <w:gridCol w:w="192"/>
                        <w:gridCol w:w="170"/>
                        <w:gridCol w:w="30"/>
                        <w:gridCol w:w="18"/>
                        <w:gridCol w:w="89"/>
                        <w:gridCol w:w="47"/>
                        <w:gridCol w:w="166"/>
                        <w:gridCol w:w="189"/>
                        <w:gridCol w:w="10"/>
                        <w:gridCol w:w="207"/>
                        <w:gridCol w:w="86"/>
                        <w:gridCol w:w="70"/>
                        <w:gridCol w:w="8"/>
                        <w:gridCol w:w="78"/>
                        <w:gridCol w:w="152"/>
                        <w:gridCol w:w="122"/>
                        <w:gridCol w:w="157"/>
                        <w:gridCol w:w="183"/>
                        <w:gridCol w:w="55"/>
                        <w:gridCol w:w="2"/>
                        <w:gridCol w:w="283"/>
                        <w:gridCol w:w="254"/>
                        <w:gridCol w:w="76"/>
                        <w:gridCol w:w="119"/>
                        <w:gridCol w:w="23"/>
                        <w:gridCol w:w="1086"/>
                        <w:gridCol w:w="161"/>
                        <w:gridCol w:w="173"/>
                        <w:gridCol w:w="71"/>
                        <w:gridCol w:w="6"/>
                        <w:gridCol w:w="13"/>
                        <w:gridCol w:w="2"/>
                        <w:gridCol w:w="8"/>
                        <w:gridCol w:w="76"/>
                        <w:gridCol w:w="1845"/>
                        <w:gridCol w:w="345"/>
                        <w:gridCol w:w="1717"/>
                        <w:gridCol w:w="13"/>
                      </w:tblGrid>
                      <w:tr w:rsidR="00000000" w14:paraId="5F464E2F" w14:textId="77777777">
                        <w:tblPrEx>
                          <w:tblCellMar>
                            <w:top w:w="0" w:type="dxa"/>
                            <w:bottom w:w="0" w:type="dxa"/>
                          </w:tblCellMar>
                        </w:tblPrEx>
                        <w:trPr>
                          <w:gridAfter w:val="1"/>
                          <w:wAfter w:w="11" w:type="dxa"/>
                          <w:trHeight w:val="372"/>
                        </w:trPr>
                        <w:tc>
                          <w:tcPr>
                            <w:tcW w:w="457" w:type="dxa"/>
                            <w:gridSpan w:val="2"/>
                            <w:tcBorders>
                              <w:top w:val="single" w:sz="4" w:space="0" w:color="000000"/>
                              <w:left w:val="single" w:sz="4" w:space="0" w:color="000000"/>
                              <w:bottom w:val="single" w:sz="4" w:space="0" w:color="000000"/>
                              <w:right w:val="single" w:sz="4" w:space="0" w:color="000000"/>
                            </w:tcBorders>
                          </w:tcPr>
                          <w:p w14:paraId="0194BF60" w14:textId="77777777" w:rsidR="00000000" w:rsidRDefault="00A450E1">
                            <w:pPr>
                              <w:pStyle w:val="Default"/>
                              <w:jc w:val="center"/>
                              <w:rPr>
                                <w:rFonts w:cs="Times New Roman"/>
                                <w:color w:val="auto"/>
                              </w:rPr>
                            </w:pPr>
                          </w:p>
                        </w:tc>
                        <w:tc>
                          <w:tcPr>
                            <w:tcW w:w="1217" w:type="dxa"/>
                            <w:gridSpan w:val="11"/>
                            <w:tcBorders>
                              <w:top w:val="single" w:sz="4" w:space="0" w:color="000000"/>
                              <w:left w:val="single" w:sz="4" w:space="0" w:color="000000"/>
                              <w:bottom w:val="single" w:sz="4" w:space="0" w:color="000000"/>
                              <w:right w:val="single" w:sz="4" w:space="0" w:color="000000"/>
                            </w:tcBorders>
                            <w:vAlign w:val="center"/>
                          </w:tcPr>
                          <w:p w14:paraId="427E8317"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1192" w:type="dxa"/>
                            <w:gridSpan w:val="19"/>
                            <w:tcBorders>
                              <w:top w:val="single" w:sz="4" w:space="0" w:color="000000"/>
                              <w:left w:val="single" w:sz="4" w:space="0" w:color="000000"/>
                              <w:bottom w:val="single" w:sz="4" w:space="0" w:color="000000"/>
                              <w:right w:val="single" w:sz="4" w:space="0" w:color="000000"/>
                            </w:tcBorders>
                            <w:vAlign w:val="center"/>
                          </w:tcPr>
                          <w:p w14:paraId="0A77F28F"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630" w:type="dxa"/>
                            <w:gridSpan w:val="36"/>
                            <w:tcBorders>
                              <w:top w:val="single" w:sz="4" w:space="0" w:color="000000"/>
                              <w:left w:val="single" w:sz="4" w:space="0" w:color="000000"/>
                              <w:bottom w:val="single" w:sz="4" w:space="0" w:color="000000"/>
                              <w:right w:val="single" w:sz="4" w:space="0" w:color="000000"/>
                            </w:tcBorders>
                            <w:vAlign w:val="center"/>
                          </w:tcPr>
                          <w:p w14:paraId="36A117CA"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5857" w:type="dxa"/>
                            <w:gridSpan w:val="29"/>
                            <w:tcBorders>
                              <w:top w:val="single" w:sz="4" w:space="0" w:color="000000"/>
                              <w:left w:val="single" w:sz="4" w:space="0" w:color="000000"/>
                              <w:bottom w:val="single" w:sz="4" w:space="0" w:color="000000"/>
                              <w:right w:val="single" w:sz="4" w:space="0" w:color="000000"/>
                            </w:tcBorders>
                            <w:vAlign w:val="center"/>
                          </w:tcPr>
                          <w:p w14:paraId="5D1A70EE"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1707" w:type="dxa"/>
                            <w:tcBorders>
                              <w:top w:val="single" w:sz="4" w:space="0" w:color="000000"/>
                              <w:left w:val="single" w:sz="4" w:space="0" w:color="000000"/>
                              <w:bottom w:val="single" w:sz="4" w:space="0" w:color="000000"/>
                              <w:right w:val="single" w:sz="4" w:space="0" w:color="000000"/>
                            </w:tcBorders>
                          </w:tcPr>
                          <w:p w14:paraId="5A6B3E6A"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000000" w14:paraId="08A03974" w14:textId="77777777">
                        <w:tblPrEx>
                          <w:tblCellMar>
                            <w:top w:w="0" w:type="dxa"/>
                            <w:bottom w:w="0" w:type="dxa"/>
                          </w:tblCellMar>
                        </w:tblPrEx>
                        <w:trPr>
                          <w:gridAfter w:val="1"/>
                          <w:wAfter w:w="11" w:type="dxa"/>
                          <w:trHeight w:val="2335"/>
                        </w:trPr>
                        <w:tc>
                          <w:tcPr>
                            <w:tcW w:w="457" w:type="dxa"/>
                            <w:gridSpan w:val="2"/>
                            <w:tcBorders>
                              <w:top w:val="single" w:sz="4" w:space="0" w:color="000000"/>
                              <w:left w:val="single" w:sz="4" w:space="0" w:color="000000"/>
                              <w:bottom w:val="single" w:sz="4" w:space="0" w:color="000000"/>
                              <w:right w:val="single" w:sz="4" w:space="0" w:color="000000"/>
                            </w:tcBorders>
                          </w:tcPr>
                          <w:p w14:paraId="27324D9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4.3 </w:t>
                            </w:r>
                          </w:p>
                        </w:tc>
                        <w:tc>
                          <w:tcPr>
                            <w:tcW w:w="1217" w:type="dxa"/>
                            <w:gridSpan w:val="11"/>
                            <w:tcBorders>
                              <w:top w:val="single" w:sz="4" w:space="0" w:color="000000"/>
                              <w:left w:val="single" w:sz="4" w:space="0" w:color="000000"/>
                              <w:bottom w:val="single" w:sz="4" w:space="0" w:color="000000"/>
                              <w:right w:val="single" w:sz="4" w:space="0" w:color="000000"/>
                            </w:tcBorders>
                          </w:tcPr>
                          <w:p w14:paraId="4FD6B47A"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Groupflashing light </w:t>
                            </w:r>
                          </w:p>
                        </w:tc>
                        <w:tc>
                          <w:tcPr>
                            <w:tcW w:w="1192" w:type="dxa"/>
                            <w:gridSpan w:val="19"/>
                            <w:tcBorders>
                              <w:top w:val="single" w:sz="4" w:space="0" w:color="000000"/>
                              <w:left w:val="single" w:sz="4" w:space="0" w:color="000000"/>
                              <w:bottom w:val="single" w:sz="4" w:space="0" w:color="000000"/>
                              <w:right w:val="single" w:sz="4" w:space="0" w:color="000000"/>
                            </w:tcBorders>
                          </w:tcPr>
                          <w:p w14:paraId="7AD68F5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Fl(#)eg. Fl(2) </w:t>
                            </w:r>
                          </w:p>
                        </w:tc>
                        <w:tc>
                          <w:tcPr>
                            <w:tcW w:w="2630" w:type="dxa"/>
                            <w:gridSpan w:val="36"/>
                            <w:tcBorders>
                              <w:top w:val="single" w:sz="4" w:space="0" w:color="000000"/>
                              <w:left w:val="single" w:sz="4" w:space="0" w:color="000000"/>
                              <w:bottom w:val="single" w:sz="4" w:space="0" w:color="000000"/>
                              <w:right w:val="single" w:sz="4" w:space="0" w:color="000000"/>
                            </w:tcBorders>
                          </w:tcPr>
                          <w:p w14:paraId="144734AA"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flashing light in which agroup of flashes, specified innumber, is regularly repeated. </w:t>
                            </w:r>
                          </w:p>
                        </w:tc>
                        <w:tc>
                          <w:tcPr>
                            <w:tcW w:w="5857" w:type="dxa"/>
                            <w:gridSpan w:val="29"/>
                            <w:tcBorders>
                              <w:top w:val="single" w:sz="4" w:space="0" w:color="000000"/>
                              <w:left w:val="single" w:sz="4" w:space="0" w:color="000000"/>
                              <w:bottom w:val="single" w:sz="4" w:space="0" w:color="000000"/>
                              <w:right w:val="single" w:sz="4" w:space="0" w:color="000000"/>
                            </w:tcBorders>
                          </w:tcPr>
                          <w:p w14:paraId="0ABC08B2"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The eclipses between the flashes in a group are of equal duration, andthis duration is clearly shorter than the duration of the eclipse between successive groups.The n</w:t>
                            </w:r>
                            <w:r>
                              <w:rPr>
                                <w:rFonts w:ascii="Helvetica 55 Roman" w:hAnsi="Helvetica 55 Roman" w:cs="Helvetica 55 Roman"/>
                                <w:sz w:val="18"/>
                                <w:szCs w:val="18"/>
                              </w:rPr>
                              <w:t>umber of flashes in a group should not be greater than five ingeneral, and should be six only as an exception.The duration of an eclipse within a group should not be less than theduration of a flash.The duration of an eclipse between groups should not be l</w:t>
                            </w:r>
                            <w:r>
                              <w:rPr>
                                <w:rFonts w:ascii="Helvetica 55 Roman" w:hAnsi="Helvetica 55 Roman" w:cs="Helvetica 55 Roman"/>
                                <w:sz w:val="18"/>
                                <w:szCs w:val="18"/>
                              </w:rPr>
                              <w:t>ess thanthree times the duration of an eclipse within a group.In a group of two flashes, the duration of a flash together with theduration of the eclipse within the group should not be less than 1 s.In a group of three or more flashes, the duration of a fl</w:t>
                            </w:r>
                            <w:r>
                              <w:rPr>
                                <w:rFonts w:ascii="Helvetica 55 Roman" w:hAnsi="Helvetica 55 Roman" w:cs="Helvetica 55 Roman"/>
                                <w:sz w:val="18"/>
                                <w:szCs w:val="18"/>
                              </w:rPr>
                              <w:t xml:space="preserve">ash togetherwith the duration of an eclipse within a group should not be less than2 s (or not less than 2.5 s in those countries where a quick rate of 50flashes per minute is used). </w:t>
                            </w:r>
                            <w:r>
                              <w:rPr>
                                <w:rFonts w:ascii="Helvetica 55 Roman" w:hAnsi="Helvetica 55 Roman" w:cs="Helvetica 55 Roman"/>
                                <w:sz w:val="12"/>
                                <w:szCs w:val="12"/>
                              </w:rPr>
                              <w:t>d’  3 d d  l c  1 sFl(2) Example: d’ = 6 s; d = 2 s; l = 1 s; c = 3 s; p =</w:t>
                            </w:r>
                            <w:r>
                              <w:rPr>
                                <w:rFonts w:ascii="Helvetica 55 Roman" w:hAnsi="Helvetica 55 Roman" w:cs="Helvetica 55 Roman"/>
                                <w:sz w:val="12"/>
                                <w:szCs w:val="12"/>
                              </w:rPr>
                              <w:t xml:space="preserve"> 10 s </w:t>
                            </w:r>
                          </w:p>
                        </w:tc>
                        <w:tc>
                          <w:tcPr>
                            <w:tcW w:w="1707" w:type="dxa"/>
                            <w:tcBorders>
                              <w:top w:val="single" w:sz="4" w:space="0" w:color="000000"/>
                              <w:left w:val="single" w:sz="4" w:space="0" w:color="000000"/>
                              <w:bottom w:val="single" w:sz="4" w:space="0" w:color="000000"/>
                              <w:right w:val="single" w:sz="4" w:space="0" w:color="000000"/>
                            </w:tcBorders>
                          </w:tcPr>
                          <w:p w14:paraId="6AA64B3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group flashingWhitelight with a group of twoflashes, in aperiod of 5 s or10 s, indicates anisolated dangermark.A group flashingYellowlight with agroup of four, fiveor (exceptionally)six flashesindicates a specialmark </w:t>
                            </w:r>
                          </w:p>
                        </w:tc>
                      </w:tr>
                      <w:tr w:rsidR="00000000" w14:paraId="441B3EEE" w14:textId="77777777">
                        <w:tblPrEx>
                          <w:tblCellMar>
                            <w:top w:w="0" w:type="dxa"/>
                            <w:bottom w:w="0" w:type="dxa"/>
                          </w:tblCellMar>
                        </w:tblPrEx>
                        <w:trPr>
                          <w:gridAfter w:val="1"/>
                          <w:wAfter w:w="11" w:type="dxa"/>
                          <w:trHeight w:val="1338"/>
                        </w:trPr>
                        <w:tc>
                          <w:tcPr>
                            <w:tcW w:w="457" w:type="dxa"/>
                            <w:gridSpan w:val="2"/>
                            <w:tcBorders>
                              <w:top w:val="single" w:sz="4" w:space="0" w:color="000000"/>
                              <w:left w:val="single" w:sz="4" w:space="0" w:color="000000"/>
                              <w:bottom w:val="single" w:sz="4" w:space="0" w:color="000000"/>
                              <w:right w:val="single" w:sz="4" w:space="0" w:color="000000"/>
                            </w:tcBorders>
                          </w:tcPr>
                          <w:p w14:paraId="05C8BAA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4.4 </w:t>
                            </w:r>
                          </w:p>
                        </w:tc>
                        <w:tc>
                          <w:tcPr>
                            <w:tcW w:w="1217" w:type="dxa"/>
                            <w:gridSpan w:val="11"/>
                            <w:tcBorders>
                              <w:top w:val="single" w:sz="4" w:space="0" w:color="000000"/>
                              <w:left w:val="single" w:sz="4" w:space="0" w:color="000000"/>
                              <w:bottom w:val="single" w:sz="4" w:space="0" w:color="000000"/>
                              <w:right w:val="single" w:sz="4" w:space="0" w:color="000000"/>
                            </w:tcBorders>
                          </w:tcPr>
                          <w:p w14:paraId="00AD9C9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Compositegroupflashing light </w:t>
                            </w:r>
                          </w:p>
                        </w:tc>
                        <w:tc>
                          <w:tcPr>
                            <w:tcW w:w="1192" w:type="dxa"/>
                            <w:gridSpan w:val="19"/>
                            <w:tcBorders>
                              <w:top w:val="single" w:sz="4" w:space="0" w:color="000000"/>
                              <w:left w:val="single" w:sz="4" w:space="0" w:color="000000"/>
                              <w:bottom w:val="single" w:sz="4" w:space="0" w:color="000000"/>
                              <w:right w:val="single" w:sz="4" w:space="0" w:color="000000"/>
                            </w:tcBorders>
                          </w:tcPr>
                          <w:p w14:paraId="1F5E2E3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 + #)eg Fl(2 + 1) </w:t>
                            </w:r>
                          </w:p>
                        </w:tc>
                        <w:tc>
                          <w:tcPr>
                            <w:tcW w:w="2630" w:type="dxa"/>
                            <w:gridSpan w:val="36"/>
                            <w:tcBorders>
                              <w:top w:val="single" w:sz="4" w:space="0" w:color="000000"/>
                              <w:left w:val="single" w:sz="4" w:space="0" w:color="000000"/>
                              <w:bottom w:val="single" w:sz="4" w:space="0" w:color="000000"/>
                              <w:right w:val="single" w:sz="4" w:space="0" w:color="000000"/>
                            </w:tcBorders>
                          </w:tcPr>
                          <w:p w14:paraId="7B1FE57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similar to a groupflashing light except thatsuccessive groups in a periodhave different numbers offlashes. </w:t>
                            </w:r>
                          </w:p>
                        </w:tc>
                        <w:tc>
                          <w:tcPr>
                            <w:tcW w:w="5857" w:type="dxa"/>
                            <w:gridSpan w:val="29"/>
                            <w:tcBorders>
                              <w:top w:val="single" w:sz="4" w:space="0" w:color="000000"/>
                              <w:left w:val="single" w:sz="4" w:space="0" w:color="000000"/>
                              <w:bottom w:val="single" w:sz="4" w:space="0" w:color="000000"/>
                              <w:right w:val="single" w:sz="4" w:space="0" w:color="000000"/>
                            </w:tcBorders>
                          </w:tcPr>
                          <w:p w14:paraId="11B42599"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 xml:space="preserve">Light characters should be restricted to (2 + 1) flashes in general, andshould be (3 + </w:t>
                            </w:r>
                            <w:r>
                              <w:rPr>
                                <w:rFonts w:ascii="Helvetica 55 Roman" w:hAnsi="Helvetica 55 Roman" w:cs="Helvetica 55 Roman"/>
                                <w:sz w:val="18"/>
                                <w:szCs w:val="18"/>
                              </w:rPr>
                              <w:t xml:space="preserve">1) flashes only as an exception. </w:t>
                            </w:r>
                            <w:r>
                              <w:rPr>
                                <w:rFonts w:ascii="Helvetica 55 Roman" w:hAnsi="Helvetica 55 Roman" w:cs="Helvetica 55 Roman"/>
                                <w:sz w:val="12"/>
                                <w:szCs w:val="12"/>
                              </w:rPr>
                              <w:t xml:space="preserve">d’’  d’ d’  3 d d  l c  1 s Fl(2+1) Example: d’’ = 9 s; d’ = 3 s; d = 1 s; l = 1 s; c = 2 s; p = 16 s </w:t>
                            </w:r>
                          </w:p>
                        </w:tc>
                        <w:tc>
                          <w:tcPr>
                            <w:tcW w:w="1707" w:type="dxa"/>
                            <w:tcBorders>
                              <w:top w:val="single" w:sz="4" w:space="0" w:color="000000"/>
                              <w:left w:val="single" w:sz="4" w:space="0" w:color="000000"/>
                              <w:bottom w:val="single" w:sz="4" w:space="0" w:color="000000"/>
                              <w:right w:val="single" w:sz="4" w:space="0" w:color="000000"/>
                            </w:tcBorders>
                          </w:tcPr>
                          <w:p w14:paraId="4713226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composite group flashing Red orGreenlight with a group of (2 + 1)flashes indicatesa modified lateral(preferred channel</w:t>
                            </w:r>
                            <w:r>
                              <w:rPr>
                                <w:rFonts w:ascii="Helvetica 55 Roman" w:hAnsi="Helvetica 55 Roman" w:cs="Helvetica 55 Roman"/>
                                <w:sz w:val="18"/>
                                <w:szCs w:val="18"/>
                              </w:rPr>
                              <w:t xml:space="preserve">)mark.A composite group flashing Yellowlight indicates aspecial mark. </w:t>
                            </w:r>
                          </w:p>
                        </w:tc>
                      </w:tr>
                    </w:tbl>
                  </w:txbxContent>
                </v:textbox>
                <w10:wrap type="through" anchorx="page" anchory="page"/>
              </v:shape>
            </w:pict>
          </mc:Fallback>
        </mc:AlternateContent>
      </w:r>
    </w:p>
    <w:p w14:paraId="5A293D72" w14:textId="77777777" w:rsidR="00541A14" w:rsidRDefault="00DD420F">
      <w:pPr>
        <w:pStyle w:val="Default"/>
        <w:framePr w:w="10730" w:wrap="auto" w:vAnchor="page" w:hAnchor="page" w:x="608" w:y="16277"/>
        <w:rPr>
          <w:rFonts w:cs="Times New Roman"/>
          <w:color w:val="auto"/>
        </w:rPr>
      </w:pPr>
      <w:r>
        <w:rPr>
          <w:rFonts w:cs="Times New Roman"/>
          <w:noProof/>
          <w:color w:val="auto"/>
        </w:rPr>
        <w:drawing>
          <wp:inline distT="0" distB="0" distL="0" distR="0" wp14:anchorId="6821F665" wp14:editId="79F65D99">
            <wp:extent cx="7553960" cy="420370"/>
            <wp:effectExtent l="0" t="0" r="0" b="1143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7B272D74" w14:textId="77777777" w:rsidR="00541A14" w:rsidRDefault="00DD420F">
      <w:pPr>
        <w:pStyle w:val="Default"/>
        <w:pageBreakBefore/>
        <w:framePr w:w="12857" w:wrap="auto" w:vAnchor="page" w:hAnchor="page" w:x="101" w:y="1"/>
        <w:spacing w:after="180"/>
        <w:rPr>
          <w:rFonts w:cs="Times New Roman"/>
          <w:color w:val="auto"/>
        </w:rPr>
      </w:pPr>
      <w:r>
        <w:rPr>
          <w:rFonts w:cs="Times New Roman"/>
          <w:noProof/>
          <w:color w:val="auto"/>
        </w:rPr>
        <w:drawing>
          <wp:inline distT="0" distB="0" distL="0" distR="0" wp14:anchorId="7B71BFC6" wp14:editId="55D6FF3F">
            <wp:extent cx="7553960" cy="115316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2907C2B0"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67456" behindDoc="0" locked="0" layoutInCell="0" allowOverlap="1" wp14:anchorId="340AF884" wp14:editId="23ECB79F">
                <wp:simplePos x="0" y="0"/>
                <wp:positionH relativeFrom="page">
                  <wp:posOffset>807085</wp:posOffset>
                </wp:positionH>
                <wp:positionV relativeFrom="page">
                  <wp:posOffset>1462405</wp:posOffset>
                </wp:positionV>
                <wp:extent cx="8804275" cy="9864090"/>
                <wp:effectExtent l="0" t="0" r="0" b="0"/>
                <wp:wrapThrough wrapText="bothSides">
                  <wp:wrapPolygon edited="0">
                    <wp:start x="0" y="0"/>
                    <wp:lineTo x="21600" y="0"/>
                    <wp:lineTo x="21600" y="21600"/>
                    <wp:lineTo x="0" y="21600"/>
                    <wp:lineTo x="0" y="0"/>
                  </wp:wrapPolygon>
                </wp:wrapThrough>
                <wp:docPr id="54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04275" cy="9864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457"/>
                              <w:gridCol w:w="1217"/>
                              <w:gridCol w:w="1192"/>
                              <w:gridCol w:w="2277"/>
                              <w:gridCol w:w="5860"/>
                              <w:gridCol w:w="2062"/>
                            </w:tblGrid>
                            <w:tr w:rsidR="00541A14" w14:paraId="67382DB6" w14:textId="77777777">
                              <w:trPr>
                                <w:trHeight w:val="372"/>
                              </w:trPr>
                              <w:tc>
                                <w:tcPr>
                                  <w:tcW w:w="457" w:type="dxa"/>
                                  <w:tcBorders>
                                    <w:top w:val="single" w:sz="4" w:space="0" w:color="000000"/>
                                    <w:left w:val="single" w:sz="4" w:space="0" w:color="000000"/>
                                    <w:bottom w:val="single" w:sz="4" w:space="0" w:color="000000"/>
                                    <w:right w:val="single" w:sz="4" w:space="0" w:color="000000"/>
                                  </w:tcBorders>
                                </w:tcPr>
                                <w:p w14:paraId="05019A1A" w14:textId="77777777" w:rsidR="00541A14" w:rsidRDefault="00541A14">
                                  <w:pPr>
                                    <w:pStyle w:val="Default"/>
                                    <w:jc w:val="center"/>
                                    <w:rPr>
                                      <w:rFonts w:cs="Times New Roman"/>
                                      <w:color w:val="auto"/>
                                    </w:rPr>
                                  </w:pPr>
                                </w:p>
                              </w:tc>
                              <w:tc>
                                <w:tcPr>
                                  <w:tcW w:w="1217" w:type="dxa"/>
                                  <w:tcBorders>
                                    <w:top w:val="single" w:sz="4" w:space="0" w:color="000000"/>
                                    <w:left w:val="single" w:sz="4" w:space="0" w:color="000000"/>
                                    <w:bottom w:val="single" w:sz="4" w:space="0" w:color="000000"/>
                                    <w:right w:val="single" w:sz="4" w:space="0" w:color="000000"/>
                                  </w:tcBorders>
                                  <w:vAlign w:val="center"/>
                                </w:tcPr>
                                <w:p w14:paraId="29817C63"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1192" w:type="dxa"/>
                                  <w:tcBorders>
                                    <w:top w:val="single" w:sz="4" w:space="0" w:color="000000"/>
                                    <w:left w:val="single" w:sz="4" w:space="0" w:color="000000"/>
                                    <w:bottom w:val="single" w:sz="4" w:space="0" w:color="000000"/>
                                    <w:right w:val="single" w:sz="4" w:space="0" w:color="000000"/>
                                  </w:tcBorders>
                                  <w:vAlign w:val="center"/>
                                </w:tcPr>
                                <w:p w14:paraId="678DAA7E"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277" w:type="dxa"/>
                                  <w:tcBorders>
                                    <w:top w:val="single" w:sz="4" w:space="0" w:color="000000"/>
                                    <w:left w:val="single" w:sz="4" w:space="0" w:color="000000"/>
                                    <w:bottom w:val="single" w:sz="4" w:space="0" w:color="000000"/>
                                    <w:right w:val="single" w:sz="4" w:space="0" w:color="000000"/>
                                  </w:tcBorders>
                                  <w:vAlign w:val="center"/>
                                </w:tcPr>
                                <w:p w14:paraId="40D29D62"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5860" w:type="dxa"/>
                                  <w:tcBorders>
                                    <w:top w:val="single" w:sz="4" w:space="0" w:color="000000"/>
                                    <w:left w:val="single" w:sz="4" w:space="0" w:color="000000"/>
                                    <w:bottom w:val="single" w:sz="4" w:space="0" w:color="000000"/>
                                    <w:right w:val="single" w:sz="4" w:space="0" w:color="000000"/>
                                  </w:tcBorders>
                                  <w:vAlign w:val="center"/>
                                </w:tcPr>
                                <w:p w14:paraId="6AEC8ADF"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2062" w:type="dxa"/>
                                  <w:tcBorders>
                                    <w:top w:val="single" w:sz="4" w:space="0" w:color="000000"/>
                                    <w:left w:val="single" w:sz="4" w:space="0" w:color="000000"/>
                                    <w:bottom w:val="single" w:sz="4" w:space="0" w:color="000000"/>
                                    <w:right w:val="single" w:sz="4" w:space="0" w:color="000000"/>
                                  </w:tcBorders>
                                </w:tcPr>
                                <w:p w14:paraId="0F9877CA"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541A14" w14:paraId="4F2BA5FF" w14:textId="77777777">
                              <w:trPr>
                                <w:trHeight w:val="583"/>
                              </w:trPr>
                              <w:tc>
                                <w:tcPr>
                                  <w:tcW w:w="457" w:type="dxa"/>
                                  <w:tcBorders>
                                    <w:top w:val="single" w:sz="4" w:space="0" w:color="000000"/>
                                    <w:left w:val="single" w:sz="4" w:space="0" w:color="000000"/>
                                    <w:bottom w:val="single" w:sz="4" w:space="0" w:color="000000"/>
                                    <w:right w:val="single" w:sz="4" w:space="0" w:color="000000"/>
                                  </w:tcBorders>
                                </w:tcPr>
                                <w:p w14:paraId="713E9B3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 </w:t>
                                  </w:r>
                                </w:p>
                              </w:tc>
                              <w:tc>
                                <w:tcPr>
                                  <w:tcW w:w="1217" w:type="dxa"/>
                                  <w:tcBorders>
                                    <w:top w:val="single" w:sz="4" w:space="0" w:color="000000"/>
                                    <w:left w:val="single" w:sz="4" w:space="0" w:color="000000"/>
                                    <w:bottom w:val="single" w:sz="4" w:space="0" w:color="000000"/>
                                    <w:right w:val="single" w:sz="4" w:space="0" w:color="000000"/>
                                  </w:tcBorders>
                                </w:tcPr>
                                <w:p w14:paraId="09D4C59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QUICKLIGHT </w:t>
                                  </w:r>
                                </w:p>
                              </w:tc>
                              <w:tc>
                                <w:tcPr>
                                  <w:tcW w:w="1192" w:type="dxa"/>
                                  <w:tcBorders>
                                    <w:top w:val="single" w:sz="4" w:space="0" w:color="000000"/>
                                    <w:left w:val="single" w:sz="4" w:space="0" w:color="000000"/>
                                    <w:bottom w:val="single" w:sz="4" w:space="0" w:color="000000"/>
                                    <w:right w:val="single" w:sz="4" w:space="0" w:color="000000"/>
                                  </w:tcBorders>
                                </w:tcPr>
                                <w:p w14:paraId="42AC6E58" w14:textId="77777777" w:rsidR="00541A14" w:rsidRDefault="00541A14">
                                  <w:pPr>
                                    <w:pStyle w:val="Default"/>
                                    <w:rPr>
                                      <w:rFonts w:cs="Times New Roman"/>
                                      <w:color w:val="auto"/>
                                    </w:rPr>
                                  </w:pPr>
                                </w:p>
                              </w:tc>
                              <w:tc>
                                <w:tcPr>
                                  <w:tcW w:w="2277" w:type="dxa"/>
                                  <w:tcBorders>
                                    <w:top w:val="single" w:sz="4" w:space="0" w:color="000000"/>
                                    <w:left w:val="single" w:sz="4" w:space="0" w:color="000000"/>
                                    <w:bottom w:val="single" w:sz="4" w:space="0" w:color="000000"/>
                                    <w:right w:val="single" w:sz="4" w:space="0" w:color="000000"/>
                                  </w:tcBorders>
                                </w:tcPr>
                                <w:p w14:paraId="6C120CE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flashesare repeated at a rate of not less than 50 flashesper minute but less than80 flashes per minute. </w:t>
                                  </w:r>
                                </w:p>
                              </w:tc>
                              <w:tc>
                                <w:tcPr>
                                  <w:tcW w:w="5860" w:type="dxa"/>
                                  <w:tcBorders>
                                    <w:top w:val="single" w:sz="4" w:space="0" w:color="000000"/>
                                    <w:left w:val="single" w:sz="4" w:space="0" w:color="000000"/>
                                    <w:bottom w:val="single" w:sz="4" w:space="0" w:color="000000"/>
                                    <w:right w:val="single" w:sz="4" w:space="0" w:color="000000"/>
                                  </w:tcBorders>
                                </w:tcPr>
                                <w:p w14:paraId="0B86833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light in which identical flashes are repeated at the rate of 60 (or 50) flashes per minute. The higher rate of flashing is preferred.</w:t>
                                  </w:r>
                                </w:p>
                              </w:tc>
                              <w:tc>
                                <w:tcPr>
                                  <w:tcW w:w="2062" w:type="dxa"/>
                                  <w:tcBorders>
                                    <w:top w:val="single" w:sz="4" w:space="0" w:color="000000"/>
                                    <w:left w:val="single" w:sz="4" w:space="0" w:color="000000"/>
                                    <w:bottom w:val="single" w:sz="4" w:space="0" w:color="000000"/>
                                    <w:right w:val="single" w:sz="4" w:space="0" w:color="000000"/>
                                  </w:tcBorders>
                                </w:tcPr>
                                <w:p w14:paraId="42659C58" w14:textId="77777777" w:rsidR="00541A14" w:rsidRDefault="00541A14">
                                  <w:pPr>
                                    <w:pStyle w:val="Default"/>
                                    <w:rPr>
                                      <w:rFonts w:cs="Times New Roman"/>
                                      <w:color w:val="auto"/>
                                    </w:rPr>
                                  </w:pPr>
                                </w:p>
                              </w:tc>
                            </w:tr>
                            <w:tr w:rsidR="00541A14" w14:paraId="0638517C" w14:textId="77777777">
                              <w:trPr>
                                <w:trHeight w:val="691"/>
                              </w:trPr>
                              <w:tc>
                                <w:tcPr>
                                  <w:tcW w:w="457" w:type="dxa"/>
                                  <w:tcBorders>
                                    <w:top w:val="single" w:sz="4" w:space="0" w:color="000000"/>
                                    <w:left w:val="single" w:sz="4" w:space="0" w:color="000000"/>
                                    <w:bottom w:val="single" w:sz="4" w:space="0" w:color="000000"/>
                                    <w:right w:val="single" w:sz="4" w:space="0" w:color="000000"/>
                                  </w:tcBorders>
                                </w:tcPr>
                                <w:p w14:paraId="588C132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5.1 </w:t>
                                  </w:r>
                                </w:p>
                              </w:tc>
                              <w:tc>
                                <w:tcPr>
                                  <w:tcW w:w="1217" w:type="dxa"/>
                                  <w:tcBorders>
                                    <w:top w:val="single" w:sz="4" w:space="0" w:color="000000"/>
                                    <w:left w:val="single" w:sz="4" w:space="0" w:color="000000"/>
                                    <w:bottom w:val="single" w:sz="4" w:space="0" w:color="000000"/>
                                    <w:right w:val="single" w:sz="4" w:space="0" w:color="000000"/>
                                  </w:tcBorders>
                                </w:tcPr>
                                <w:p w14:paraId="10C7D87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Continuousquick light </w:t>
                                  </w:r>
                                </w:p>
                              </w:tc>
                              <w:tc>
                                <w:tcPr>
                                  <w:tcW w:w="1192" w:type="dxa"/>
                                  <w:tcBorders>
                                    <w:top w:val="single" w:sz="4" w:space="0" w:color="000000"/>
                                    <w:left w:val="single" w:sz="4" w:space="0" w:color="000000"/>
                                    <w:bottom w:val="single" w:sz="4" w:space="0" w:color="000000"/>
                                    <w:right w:val="single" w:sz="4" w:space="0" w:color="000000"/>
                                  </w:tcBorders>
                                </w:tcPr>
                                <w:p w14:paraId="5DC865D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Q </w:t>
                                  </w:r>
                                </w:p>
                              </w:tc>
                              <w:tc>
                                <w:tcPr>
                                  <w:tcW w:w="2277" w:type="dxa"/>
                                  <w:tcBorders>
                                    <w:top w:val="single" w:sz="4" w:space="0" w:color="000000"/>
                                    <w:left w:val="single" w:sz="4" w:space="0" w:color="000000"/>
                                    <w:bottom w:val="single" w:sz="4" w:space="0" w:color="000000"/>
                                    <w:right w:val="single" w:sz="4" w:space="0" w:color="000000"/>
                                  </w:tcBorders>
                                </w:tcPr>
                                <w:p w14:paraId="6BF882D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quick light in which aflash is regularly repeated.</w:t>
                                  </w:r>
                                </w:p>
                              </w:tc>
                              <w:tc>
                                <w:tcPr>
                                  <w:tcW w:w="5860" w:type="dxa"/>
                                  <w:tcBorders>
                                    <w:top w:val="single" w:sz="4" w:space="0" w:color="000000"/>
                                    <w:left w:val="single" w:sz="4" w:space="0" w:color="000000"/>
                                    <w:bottom w:val="single" w:sz="4" w:space="0" w:color="000000"/>
                                    <w:right w:val="single" w:sz="4" w:space="0" w:color="000000"/>
                                  </w:tcBorders>
                                  <w:vAlign w:val="center"/>
                                </w:tcPr>
                                <w:p w14:paraId="37C02462"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2"/>
                                      <w:szCs w:val="12"/>
                                    </w:rPr>
                                    <w:t xml:space="preserve">Example: l = d = 0.5 s; p = 1 s d l l s  p </w:t>
                                  </w:r>
                                  <w:r>
                                    <w:rPr>
                                      <w:rFonts w:ascii="Menlo Regular" w:hAnsi="Menlo Regular" w:cs="Menlo Regular"/>
                                      <w:sz w:val="12"/>
                                      <w:szCs w:val="12"/>
                                    </w:rPr>
                                    <w:t>�</w:t>
                                  </w:r>
                                  <w:r>
                                    <w:rPr>
                                      <w:rFonts w:ascii="Mshtakan" w:hAnsi="Mshtakan" w:cs="Mshtakan"/>
                                      <w:sz w:val="12"/>
                                      <w:szCs w:val="12"/>
                                    </w:rPr>
                                    <w:t xml:space="preserve"> </w:t>
                                  </w:r>
                                  <w:r>
                                    <w:rPr>
                                      <w:rFonts w:ascii="Helvetica 55 Roman" w:hAnsi="Helvetica 55 Roman" w:cs="Helvetica 55 Roman"/>
                                      <w:sz w:val="12"/>
                                      <w:szCs w:val="12"/>
                                    </w:rPr>
                                    <w:t xml:space="preserve">1.2 s </w:t>
                                  </w:r>
                                </w:p>
                              </w:tc>
                              <w:tc>
                                <w:tcPr>
                                  <w:tcW w:w="2062" w:type="dxa"/>
                                  <w:tcBorders>
                                    <w:top w:val="single" w:sz="4" w:space="0" w:color="000000"/>
                                    <w:left w:val="single" w:sz="4" w:space="0" w:color="000000"/>
                                    <w:bottom w:val="single" w:sz="4" w:space="0" w:color="000000"/>
                                    <w:right w:val="single" w:sz="4" w:space="0" w:color="000000"/>
                                  </w:tcBorders>
                                </w:tcPr>
                                <w:p w14:paraId="614098F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continuous quickWhitelight indicates anorth cardinal mark. </w:t>
                                  </w:r>
                                </w:p>
                              </w:tc>
                            </w:tr>
                            <w:tr w:rsidR="00541A14" w14:paraId="7EBFAAF1" w14:textId="77777777">
                              <w:trPr>
                                <w:trHeight w:val="2151"/>
                              </w:trPr>
                              <w:tc>
                                <w:tcPr>
                                  <w:tcW w:w="457" w:type="dxa"/>
                                  <w:tcBorders>
                                    <w:top w:val="single" w:sz="4" w:space="0" w:color="000000"/>
                                    <w:left w:val="single" w:sz="4" w:space="0" w:color="000000"/>
                                    <w:bottom w:val="single" w:sz="4" w:space="0" w:color="000000"/>
                                    <w:right w:val="single" w:sz="4" w:space="0" w:color="000000"/>
                                  </w:tcBorders>
                                </w:tcPr>
                                <w:p w14:paraId="399AC62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5.2 </w:t>
                                  </w:r>
                                </w:p>
                              </w:tc>
                              <w:tc>
                                <w:tcPr>
                                  <w:tcW w:w="1217" w:type="dxa"/>
                                  <w:tcBorders>
                                    <w:top w:val="single" w:sz="4" w:space="0" w:color="000000"/>
                                    <w:left w:val="single" w:sz="4" w:space="0" w:color="000000"/>
                                    <w:bottom w:val="single" w:sz="4" w:space="0" w:color="000000"/>
                                    <w:right w:val="single" w:sz="4" w:space="0" w:color="000000"/>
                                  </w:tcBorders>
                                </w:tcPr>
                                <w:p w14:paraId="01B0CAA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 quick light </w:t>
                                  </w:r>
                                </w:p>
                              </w:tc>
                              <w:tc>
                                <w:tcPr>
                                  <w:tcW w:w="1192" w:type="dxa"/>
                                  <w:tcBorders>
                                    <w:top w:val="single" w:sz="4" w:space="0" w:color="000000"/>
                                    <w:left w:val="single" w:sz="4" w:space="0" w:color="000000"/>
                                    <w:bottom w:val="single" w:sz="4" w:space="0" w:color="000000"/>
                                    <w:right w:val="single" w:sz="4" w:space="0" w:color="000000"/>
                                  </w:tcBorders>
                                </w:tcPr>
                                <w:p w14:paraId="765AD4C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Q(#)eg Q(3)eg Q(9)eg Q(6) +LFl </w:t>
                                  </w:r>
                                </w:p>
                              </w:tc>
                              <w:tc>
                                <w:tcPr>
                                  <w:tcW w:w="2277" w:type="dxa"/>
                                  <w:tcBorders>
                                    <w:top w:val="single" w:sz="4" w:space="0" w:color="000000"/>
                                    <w:left w:val="single" w:sz="4" w:space="0" w:color="000000"/>
                                    <w:bottom w:val="single" w:sz="4" w:space="0" w:color="000000"/>
                                    <w:right w:val="single" w:sz="4" w:space="0" w:color="000000"/>
                                  </w:tcBorders>
                                </w:tcPr>
                                <w:p w14:paraId="15A3043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quick light in which aspecified group of flashes is regularly repeated. </w:t>
                                  </w:r>
                                </w:p>
                              </w:tc>
                              <w:tc>
                                <w:tcPr>
                                  <w:tcW w:w="5860" w:type="dxa"/>
                                  <w:tcBorders>
                                    <w:top w:val="single" w:sz="4" w:space="0" w:color="000000"/>
                                    <w:left w:val="single" w:sz="4" w:space="0" w:color="000000"/>
                                    <w:bottom w:val="single" w:sz="4" w:space="0" w:color="000000"/>
                                    <w:right w:val="single" w:sz="4" w:space="0" w:color="000000"/>
                                  </w:tcBorders>
                                </w:tcPr>
                                <w:p w14:paraId="29E64618"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 xml:space="preserve">The number of flashes in a group should be three or nine. An exceptional light character is reserved for use in the IALA Maritime Buoyage System to indicate a south cardinal mark. </w:t>
                                  </w:r>
                                  <w:r>
                                    <w:rPr>
                                      <w:rFonts w:ascii="Helvetica 55 Roman" w:hAnsi="Helvetica 55 Roman" w:cs="Helvetica 55 Roman"/>
                                      <w:sz w:val="12"/>
                                      <w:szCs w:val="12"/>
                                    </w:rPr>
                                    <w:t xml:space="preserve">Q(3) d  ld’&gt;d1 s  c  1.2 s Example: d’ = 7 s; l’ = 2 s; l = d = 0.5 s; c = 1 s.; p = 15 s Q(9) d  ld’&gt;d1 s  c  1.2 s d’  3 l’ l’  2 s d  l 1 s  c  1.2 s Q(6)+LF1 </w:t>
                                  </w:r>
                                </w:p>
                              </w:tc>
                              <w:tc>
                                <w:tcPr>
                                  <w:tcW w:w="2062" w:type="dxa"/>
                                  <w:tcBorders>
                                    <w:top w:val="single" w:sz="4" w:space="0" w:color="000000"/>
                                    <w:left w:val="single" w:sz="4" w:space="0" w:color="000000"/>
                                    <w:bottom w:val="single" w:sz="4" w:space="0" w:color="000000"/>
                                    <w:right w:val="single" w:sz="4" w:space="0" w:color="000000"/>
                                  </w:tcBorders>
                                </w:tcPr>
                                <w:p w14:paraId="021BC77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group quick Whitelight with a group of three flashes, in a period of 10 s,indicates an eastcardinal mark.A group quick Whitelight with a group of nine flashes, in a period of 15 s, indicates awest cardinal mark.A group quick Whitelight with a group of six flashes followedby a long flash of notless than 2 s duration,in a period of 15 s,indicates a southcardinal mark. </w:t>
                                  </w:r>
                                </w:p>
                              </w:tc>
                            </w:tr>
                          </w:tbl>
                          <w:p w14:paraId="22DB494B"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5" type="#_x0000_t202" style="position:absolute;margin-left:63.55pt;margin-top:115.15pt;width:693.25pt;height:776.7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32"/>
                        <w:gridCol w:w="473"/>
                        <w:gridCol w:w="115"/>
                        <w:gridCol w:w="42"/>
                        <w:gridCol w:w="33"/>
                        <w:gridCol w:w="120"/>
                        <w:gridCol w:w="182"/>
                        <w:gridCol w:w="5"/>
                        <w:gridCol w:w="28"/>
                        <w:gridCol w:w="70"/>
                        <w:gridCol w:w="65"/>
                        <w:gridCol w:w="87"/>
                        <w:gridCol w:w="30"/>
                        <w:gridCol w:w="50"/>
                        <w:gridCol w:w="10"/>
                        <w:gridCol w:w="110"/>
                        <w:gridCol w:w="15"/>
                        <w:gridCol w:w="55"/>
                        <w:gridCol w:w="20"/>
                        <w:gridCol w:w="50"/>
                        <w:gridCol w:w="50"/>
                        <w:gridCol w:w="118"/>
                        <w:gridCol w:w="95"/>
                        <w:gridCol w:w="2"/>
                        <w:gridCol w:w="33"/>
                        <w:gridCol w:w="155"/>
                        <w:gridCol w:w="20"/>
                        <w:gridCol w:w="197"/>
                        <w:gridCol w:w="112"/>
                        <w:gridCol w:w="5"/>
                        <w:gridCol w:w="65"/>
                        <w:gridCol w:w="58"/>
                        <w:gridCol w:w="22"/>
                        <w:gridCol w:w="8"/>
                        <w:gridCol w:w="7"/>
                        <w:gridCol w:w="73"/>
                        <w:gridCol w:w="120"/>
                        <w:gridCol w:w="72"/>
                        <w:gridCol w:w="235"/>
                        <w:gridCol w:w="5"/>
                        <w:gridCol w:w="60"/>
                        <w:gridCol w:w="237"/>
                        <w:gridCol w:w="38"/>
                        <w:gridCol w:w="15"/>
                        <w:gridCol w:w="25"/>
                        <w:gridCol w:w="50"/>
                        <w:gridCol w:w="103"/>
                        <w:gridCol w:w="33"/>
                        <w:gridCol w:w="234"/>
                        <w:gridCol w:w="5"/>
                        <w:gridCol w:w="5"/>
                        <w:gridCol w:w="12"/>
                        <w:gridCol w:w="47"/>
                        <w:gridCol w:w="168"/>
                        <w:gridCol w:w="48"/>
                        <w:gridCol w:w="4"/>
                        <w:gridCol w:w="110"/>
                        <w:gridCol w:w="12"/>
                        <w:gridCol w:w="108"/>
                        <w:gridCol w:w="4"/>
                        <w:gridCol w:w="192"/>
                        <w:gridCol w:w="170"/>
                        <w:gridCol w:w="30"/>
                        <w:gridCol w:w="18"/>
                        <w:gridCol w:w="89"/>
                        <w:gridCol w:w="47"/>
                        <w:gridCol w:w="355"/>
                        <w:gridCol w:w="10"/>
                        <w:gridCol w:w="207"/>
                        <w:gridCol w:w="86"/>
                        <w:gridCol w:w="70"/>
                        <w:gridCol w:w="8"/>
                        <w:gridCol w:w="78"/>
                        <w:gridCol w:w="152"/>
                        <w:gridCol w:w="122"/>
                        <w:gridCol w:w="157"/>
                        <w:gridCol w:w="183"/>
                        <w:gridCol w:w="55"/>
                        <w:gridCol w:w="2"/>
                        <w:gridCol w:w="283"/>
                        <w:gridCol w:w="254"/>
                        <w:gridCol w:w="76"/>
                        <w:gridCol w:w="119"/>
                        <w:gridCol w:w="23"/>
                        <w:gridCol w:w="1086"/>
                        <w:gridCol w:w="161"/>
                        <w:gridCol w:w="173"/>
                        <w:gridCol w:w="71"/>
                        <w:gridCol w:w="6"/>
                        <w:gridCol w:w="13"/>
                        <w:gridCol w:w="2"/>
                        <w:gridCol w:w="8"/>
                        <w:gridCol w:w="76"/>
                        <w:gridCol w:w="1845"/>
                        <w:gridCol w:w="2062"/>
                        <w:gridCol w:w="13"/>
                      </w:tblGrid>
                      <w:tr w:rsidR="00000000" w14:paraId="67382DB6" w14:textId="77777777">
                        <w:tblPrEx>
                          <w:tblCellMar>
                            <w:top w:w="0" w:type="dxa"/>
                            <w:bottom w:w="0" w:type="dxa"/>
                          </w:tblCellMar>
                        </w:tblPrEx>
                        <w:trPr>
                          <w:gridAfter w:val="1"/>
                          <w:wAfter w:w="8" w:type="dxa"/>
                          <w:trHeight w:val="372"/>
                        </w:trPr>
                        <w:tc>
                          <w:tcPr>
                            <w:tcW w:w="457" w:type="dxa"/>
                            <w:gridSpan w:val="2"/>
                            <w:tcBorders>
                              <w:top w:val="single" w:sz="4" w:space="0" w:color="000000"/>
                              <w:left w:val="single" w:sz="4" w:space="0" w:color="000000"/>
                              <w:bottom w:val="single" w:sz="4" w:space="0" w:color="000000"/>
                              <w:right w:val="single" w:sz="4" w:space="0" w:color="000000"/>
                            </w:tcBorders>
                          </w:tcPr>
                          <w:p w14:paraId="05019A1A" w14:textId="77777777" w:rsidR="00000000" w:rsidRDefault="00A450E1">
                            <w:pPr>
                              <w:pStyle w:val="Default"/>
                              <w:jc w:val="center"/>
                              <w:rPr>
                                <w:rFonts w:cs="Times New Roman"/>
                                <w:color w:val="auto"/>
                              </w:rPr>
                            </w:pPr>
                          </w:p>
                        </w:tc>
                        <w:tc>
                          <w:tcPr>
                            <w:tcW w:w="1217" w:type="dxa"/>
                            <w:gridSpan w:val="11"/>
                            <w:tcBorders>
                              <w:top w:val="single" w:sz="4" w:space="0" w:color="000000"/>
                              <w:left w:val="single" w:sz="4" w:space="0" w:color="000000"/>
                              <w:bottom w:val="single" w:sz="4" w:space="0" w:color="000000"/>
                              <w:right w:val="single" w:sz="4" w:space="0" w:color="000000"/>
                            </w:tcBorders>
                            <w:vAlign w:val="center"/>
                          </w:tcPr>
                          <w:p w14:paraId="29817C63"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1192" w:type="dxa"/>
                            <w:gridSpan w:val="19"/>
                            <w:tcBorders>
                              <w:top w:val="single" w:sz="4" w:space="0" w:color="000000"/>
                              <w:left w:val="single" w:sz="4" w:space="0" w:color="000000"/>
                              <w:bottom w:val="single" w:sz="4" w:space="0" w:color="000000"/>
                              <w:right w:val="single" w:sz="4" w:space="0" w:color="000000"/>
                            </w:tcBorders>
                            <w:vAlign w:val="center"/>
                          </w:tcPr>
                          <w:p w14:paraId="678DAA7E"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277" w:type="dxa"/>
                            <w:gridSpan w:val="31"/>
                            <w:tcBorders>
                              <w:top w:val="single" w:sz="4" w:space="0" w:color="000000"/>
                              <w:left w:val="single" w:sz="4" w:space="0" w:color="000000"/>
                              <w:bottom w:val="single" w:sz="4" w:space="0" w:color="000000"/>
                              <w:right w:val="single" w:sz="4" w:space="0" w:color="000000"/>
                            </w:tcBorders>
                            <w:vAlign w:val="center"/>
                          </w:tcPr>
                          <w:p w14:paraId="40D29D62"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5860" w:type="dxa"/>
                            <w:gridSpan w:val="32"/>
                            <w:tcBorders>
                              <w:top w:val="single" w:sz="4" w:space="0" w:color="000000"/>
                              <w:left w:val="single" w:sz="4" w:space="0" w:color="000000"/>
                              <w:bottom w:val="single" w:sz="4" w:space="0" w:color="000000"/>
                              <w:right w:val="single" w:sz="4" w:space="0" w:color="000000"/>
                            </w:tcBorders>
                            <w:vAlign w:val="center"/>
                          </w:tcPr>
                          <w:p w14:paraId="6AEC8ADF"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2062" w:type="dxa"/>
                            <w:tcBorders>
                              <w:top w:val="single" w:sz="4" w:space="0" w:color="000000"/>
                              <w:left w:val="single" w:sz="4" w:space="0" w:color="000000"/>
                              <w:bottom w:val="single" w:sz="4" w:space="0" w:color="000000"/>
                              <w:right w:val="single" w:sz="4" w:space="0" w:color="000000"/>
                            </w:tcBorders>
                          </w:tcPr>
                          <w:p w14:paraId="0F9877CA"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000000" w14:paraId="4F2BA5FF" w14:textId="77777777">
                        <w:tblPrEx>
                          <w:tblCellMar>
                            <w:top w:w="0" w:type="dxa"/>
                            <w:bottom w:w="0" w:type="dxa"/>
                          </w:tblCellMar>
                        </w:tblPrEx>
                        <w:trPr>
                          <w:gridAfter w:val="1"/>
                          <w:wAfter w:w="8" w:type="dxa"/>
                          <w:trHeight w:val="583"/>
                        </w:trPr>
                        <w:tc>
                          <w:tcPr>
                            <w:tcW w:w="457" w:type="dxa"/>
                            <w:gridSpan w:val="2"/>
                            <w:tcBorders>
                              <w:top w:val="single" w:sz="4" w:space="0" w:color="000000"/>
                              <w:left w:val="single" w:sz="4" w:space="0" w:color="000000"/>
                              <w:bottom w:val="single" w:sz="4" w:space="0" w:color="000000"/>
                              <w:right w:val="single" w:sz="4" w:space="0" w:color="000000"/>
                            </w:tcBorders>
                          </w:tcPr>
                          <w:p w14:paraId="713E9B3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 </w:t>
                            </w:r>
                          </w:p>
                        </w:tc>
                        <w:tc>
                          <w:tcPr>
                            <w:tcW w:w="1217" w:type="dxa"/>
                            <w:gridSpan w:val="11"/>
                            <w:tcBorders>
                              <w:top w:val="single" w:sz="4" w:space="0" w:color="000000"/>
                              <w:left w:val="single" w:sz="4" w:space="0" w:color="000000"/>
                              <w:bottom w:val="single" w:sz="4" w:space="0" w:color="000000"/>
                              <w:right w:val="single" w:sz="4" w:space="0" w:color="000000"/>
                            </w:tcBorders>
                          </w:tcPr>
                          <w:p w14:paraId="09D4C59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QUICKLIGHT </w:t>
                            </w:r>
                          </w:p>
                        </w:tc>
                        <w:tc>
                          <w:tcPr>
                            <w:tcW w:w="1192" w:type="dxa"/>
                            <w:gridSpan w:val="19"/>
                            <w:tcBorders>
                              <w:top w:val="single" w:sz="4" w:space="0" w:color="000000"/>
                              <w:left w:val="single" w:sz="4" w:space="0" w:color="000000"/>
                              <w:bottom w:val="single" w:sz="4" w:space="0" w:color="000000"/>
                              <w:right w:val="single" w:sz="4" w:space="0" w:color="000000"/>
                            </w:tcBorders>
                          </w:tcPr>
                          <w:p w14:paraId="42AC6E58" w14:textId="77777777" w:rsidR="00000000" w:rsidRDefault="00A450E1">
                            <w:pPr>
                              <w:pStyle w:val="Default"/>
                              <w:rPr>
                                <w:rFonts w:cs="Times New Roman"/>
                                <w:color w:val="auto"/>
                              </w:rPr>
                            </w:pPr>
                          </w:p>
                        </w:tc>
                        <w:tc>
                          <w:tcPr>
                            <w:tcW w:w="2277" w:type="dxa"/>
                            <w:gridSpan w:val="31"/>
                            <w:tcBorders>
                              <w:top w:val="single" w:sz="4" w:space="0" w:color="000000"/>
                              <w:left w:val="single" w:sz="4" w:space="0" w:color="000000"/>
                              <w:bottom w:val="single" w:sz="4" w:space="0" w:color="000000"/>
                              <w:right w:val="single" w:sz="4" w:space="0" w:color="000000"/>
                            </w:tcBorders>
                          </w:tcPr>
                          <w:p w14:paraId="6C120CE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flashesare repeated at a rate of not less than 50 flashesper minute but less than80 flashes per minute. </w:t>
                            </w:r>
                          </w:p>
                        </w:tc>
                        <w:tc>
                          <w:tcPr>
                            <w:tcW w:w="5860" w:type="dxa"/>
                            <w:gridSpan w:val="32"/>
                            <w:tcBorders>
                              <w:top w:val="single" w:sz="4" w:space="0" w:color="000000"/>
                              <w:left w:val="single" w:sz="4" w:space="0" w:color="000000"/>
                              <w:bottom w:val="single" w:sz="4" w:space="0" w:color="000000"/>
                              <w:right w:val="single" w:sz="4" w:space="0" w:color="000000"/>
                            </w:tcBorders>
                          </w:tcPr>
                          <w:p w14:paraId="0B86833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light in which identical flashes are repeated at the rate of 60 (or 50) flashes per minute. The higher rate of flashing is preferred</w:t>
                            </w:r>
                            <w:r>
                              <w:rPr>
                                <w:rFonts w:ascii="Helvetica 55 Roman" w:hAnsi="Helvetica 55 Roman" w:cs="Helvetica 55 Roman"/>
                                <w:sz w:val="18"/>
                                <w:szCs w:val="18"/>
                              </w:rPr>
                              <w:t>.</w:t>
                            </w:r>
                          </w:p>
                        </w:tc>
                        <w:tc>
                          <w:tcPr>
                            <w:tcW w:w="2062" w:type="dxa"/>
                            <w:tcBorders>
                              <w:top w:val="single" w:sz="4" w:space="0" w:color="000000"/>
                              <w:left w:val="single" w:sz="4" w:space="0" w:color="000000"/>
                              <w:bottom w:val="single" w:sz="4" w:space="0" w:color="000000"/>
                              <w:right w:val="single" w:sz="4" w:space="0" w:color="000000"/>
                            </w:tcBorders>
                          </w:tcPr>
                          <w:p w14:paraId="42659C58" w14:textId="77777777" w:rsidR="00000000" w:rsidRDefault="00A450E1">
                            <w:pPr>
                              <w:pStyle w:val="Default"/>
                              <w:rPr>
                                <w:rFonts w:cs="Times New Roman"/>
                                <w:color w:val="auto"/>
                              </w:rPr>
                            </w:pPr>
                          </w:p>
                        </w:tc>
                      </w:tr>
                      <w:tr w:rsidR="00000000" w14:paraId="0638517C" w14:textId="77777777">
                        <w:tblPrEx>
                          <w:tblCellMar>
                            <w:top w:w="0" w:type="dxa"/>
                            <w:bottom w:w="0" w:type="dxa"/>
                          </w:tblCellMar>
                        </w:tblPrEx>
                        <w:trPr>
                          <w:gridAfter w:val="1"/>
                          <w:wAfter w:w="8" w:type="dxa"/>
                          <w:trHeight w:val="691"/>
                        </w:trPr>
                        <w:tc>
                          <w:tcPr>
                            <w:tcW w:w="457" w:type="dxa"/>
                            <w:gridSpan w:val="2"/>
                            <w:tcBorders>
                              <w:top w:val="single" w:sz="4" w:space="0" w:color="000000"/>
                              <w:left w:val="single" w:sz="4" w:space="0" w:color="000000"/>
                              <w:bottom w:val="single" w:sz="4" w:space="0" w:color="000000"/>
                              <w:right w:val="single" w:sz="4" w:space="0" w:color="000000"/>
                            </w:tcBorders>
                          </w:tcPr>
                          <w:p w14:paraId="588C132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5.1 </w:t>
                            </w:r>
                          </w:p>
                        </w:tc>
                        <w:tc>
                          <w:tcPr>
                            <w:tcW w:w="1217" w:type="dxa"/>
                            <w:gridSpan w:val="11"/>
                            <w:tcBorders>
                              <w:top w:val="single" w:sz="4" w:space="0" w:color="000000"/>
                              <w:left w:val="single" w:sz="4" w:space="0" w:color="000000"/>
                              <w:bottom w:val="single" w:sz="4" w:space="0" w:color="000000"/>
                              <w:right w:val="single" w:sz="4" w:space="0" w:color="000000"/>
                            </w:tcBorders>
                          </w:tcPr>
                          <w:p w14:paraId="10C7D87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Continuousquick light </w:t>
                            </w:r>
                          </w:p>
                        </w:tc>
                        <w:tc>
                          <w:tcPr>
                            <w:tcW w:w="1192" w:type="dxa"/>
                            <w:gridSpan w:val="19"/>
                            <w:tcBorders>
                              <w:top w:val="single" w:sz="4" w:space="0" w:color="000000"/>
                              <w:left w:val="single" w:sz="4" w:space="0" w:color="000000"/>
                              <w:bottom w:val="single" w:sz="4" w:space="0" w:color="000000"/>
                              <w:right w:val="single" w:sz="4" w:space="0" w:color="000000"/>
                            </w:tcBorders>
                          </w:tcPr>
                          <w:p w14:paraId="5DC865D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Q </w:t>
                            </w:r>
                          </w:p>
                        </w:tc>
                        <w:tc>
                          <w:tcPr>
                            <w:tcW w:w="2277" w:type="dxa"/>
                            <w:gridSpan w:val="31"/>
                            <w:tcBorders>
                              <w:top w:val="single" w:sz="4" w:space="0" w:color="000000"/>
                              <w:left w:val="single" w:sz="4" w:space="0" w:color="000000"/>
                              <w:bottom w:val="single" w:sz="4" w:space="0" w:color="000000"/>
                              <w:right w:val="single" w:sz="4" w:space="0" w:color="000000"/>
                            </w:tcBorders>
                          </w:tcPr>
                          <w:p w14:paraId="6BF882D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quick light in which aflash is regularly repeated.</w:t>
                            </w:r>
                          </w:p>
                        </w:tc>
                        <w:tc>
                          <w:tcPr>
                            <w:tcW w:w="5860" w:type="dxa"/>
                            <w:gridSpan w:val="32"/>
                            <w:tcBorders>
                              <w:top w:val="single" w:sz="4" w:space="0" w:color="000000"/>
                              <w:left w:val="single" w:sz="4" w:space="0" w:color="000000"/>
                              <w:bottom w:val="single" w:sz="4" w:space="0" w:color="000000"/>
                              <w:right w:val="single" w:sz="4" w:space="0" w:color="000000"/>
                            </w:tcBorders>
                            <w:vAlign w:val="center"/>
                          </w:tcPr>
                          <w:p w14:paraId="37C02462"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2"/>
                                <w:szCs w:val="12"/>
                              </w:rPr>
                              <w:t xml:space="preserve">Example: l = d = 0.5 s; p = 1 s d l l s  p </w:t>
                            </w:r>
                            <w:r>
                              <w:rPr>
                                <w:rFonts w:ascii="Menlo Regular" w:hAnsi="Menlo Regular" w:cs="Menlo Regular"/>
                                <w:sz w:val="12"/>
                                <w:szCs w:val="12"/>
                              </w:rPr>
                              <w:t>�</w:t>
                            </w:r>
                            <w:r>
                              <w:rPr>
                                <w:rFonts w:ascii="Mshtakan" w:hAnsi="Mshtakan" w:cs="Mshtakan"/>
                                <w:sz w:val="12"/>
                                <w:szCs w:val="12"/>
                              </w:rPr>
                              <w:t xml:space="preserve"> </w:t>
                            </w:r>
                            <w:r>
                              <w:rPr>
                                <w:rFonts w:ascii="Helvetica 55 Roman" w:hAnsi="Helvetica 55 Roman" w:cs="Helvetica 55 Roman"/>
                                <w:sz w:val="12"/>
                                <w:szCs w:val="12"/>
                              </w:rPr>
                              <w:t xml:space="preserve">1.2 s </w:t>
                            </w:r>
                          </w:p>
                        </w:tc>
                        <w:tc>
                          <w:tcPr>
                            <w:tcW w:w="2062" w:type="dxa"/>
                            <w:tcBorders>
                              <w:top w:val="single" w:sz="4" w:space="0" w:color="000000"/>
                              <w:left w:val="single" w:sz="4" w:space="0" w:color="000000"/>
                              <w:bottom w:val="single" w:sz="4" w:space="0" w:color="000000"/>
                              <w:right w:val="single" w:sz="4" w:space="0" w:color="000000"/>
                            </w:tcBorders>
                          </w:tcPr>
                          <w:p w14:paraId="614098F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continuous quickWhitelight indicates anorth cardinal mark. </w:t>
                            </w:r>
                          </w:p>
                        </w:tc>
                      </w:tr>
                      <w:tr w:rsidR="00000000" w14:paraId="7EBFAAF1" w14:textId="77777777">
                        <w:tblPrEx>
                          <w:tblCellMar>
                            <w:top w:w="0" w:type="dxa"/>
                            <w:bottom w:w="0" w:type="dxa"/>
                          </w:tblCellMar>
                        </w:tblPrEx>
                        <w:trPr>
                          <w:gridAfter w:val="1"/>
                          <w:wAfter w:w="8" w:type="dxa"/>
                          <w:trHeight w:val="2151"/>
                        </w:trPr>
                        <w:tc>
                          <w:tcPr>
                            <w:tcW w:w="457" w:type="dxa"/>
                            <w:gridSpan w:val="2"/>
                            <w:tcBorders>
                              <w:top w:val="single" w:sz="4" w:space="0" w:color="000000"/>
                              <w:left w:val="single" w:sz="4" w:space="0" w:color="000000"/>
                              <w:bottom w:val="single" w:sz="4" w:space="0" w:color="000000"/>
                              <w:right w:val="single" w:sz="4" w:space="0" w:color="000000"/>
                            </w:tcBorders>
                          </w:tcPr>
                          <w:p w14:paraId="399AC62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5.2 </w:t>
                            </w:r>
                          </w:p>
                        </w:tc>
                        <w:tc>
                          <w:tcPr>
                            <w:tcW w:w="1217" w:type="dxa"/>
                            <w:gridSpan w:val="11"/>
                            <w:tcBorders>
                              <w:top w:val="single" w:sz="4" w:space="0" w:color="000000"/>
                              <w:left w:val="single" w:sz="4" w:space="0" w:color="000000"/>
                              <w:bottom w:val="single" w:sz="4" w:space="0" w:color="000000"/>
                              <w:right w:val="single" w:sz="4" w:space="0" w:color="000000"/>
                            </w:tcBorders>
                          </w:tcPr>
                          <w:p w14:paraId="01B0CAA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 quick light </w:t>
                            </w:r>
                          </w:p>
                        </w:tc>
                        <w:tc>
                          <w:tcPr>
                            <w:tcW w:w="1192" w:type="dxa"/>
                            <w:gridSpan w:val="19"/>
                            <w:tcBorders>
                              <w:top w:val="single" w:sz="4" w:space="0" w:color="000000"/>
                              <w:left w:val="single" w:sz="4" w:space="0" w:color="000000"/>
                              <w:bottom w:val="single" w:sz="4" w:space="0" w:color="000000"/>
                              <w:right w:val="single" w:sz="4" w:space="0" w:color="000000"/>
                            </w:tcBorders>
                          </w:tcPr>
                          <w:p w14:paraId="765AD4C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Q(#)eg Q(3)eg Q(9)eg Q(6) +LFl </w:t>
                            </w:r>
                          </w:p>
                        </w:tc>
                        <w:tc>
                          <w:tcPr>
                            <w:tcW w:w="2277" w:type="dxa"/>
                            <w:gridSpan w:val="31"/>
                            <w:tcBorders>
                              <w:top w:val="single" w:sz="4" w:space="0" w:color="000000"/>
                              <w:left w:val="single" w:sz="4" w:space="0" w:color="000000"/>
                              <w:bottom w:val="single" w:sz="4" w:space="0" w:color="000000"/>
                              <w:right w:val="single" w:sz="4" w:space="0" w:color="000000"/>
                            </w:tcBorders>
                          </w:tcPr>
                          <w:p w14:paraId="15A3043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quick light in which aspecified group of flashes is regularly repeated. </w:t>
                            </w:r>
                          </w:p>
                        </w:tc>
                        <w:tc>
                          <w:tcPr>
                            <w:tcW w:w="5860" w:type="dxa"/>
                            <w:gridSpan w:val="32"/>
                            <w:tcBorders>
                              <w:top w:val="single" w:sz="4" w:space="0" w:color="000000"/>
                              <w:left w:val="single" w:sz="4" w:space="0" w:color="000000"/>
                              <w:bottom w:val="single" w:sz="4" w:space="0" w:color="000000"/>
                              <w:right w:val="single" w:sz="4" w:space="0" w:color="000000"/>
                            </w:tcBorders>
                          </w:tcPr>
                          <w:p w14:paraId="29E64618"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The number of flashes in a group should be three or nine. An exceptional light character is reserved for use in the IALA Maritime Buoyage System to i</w:t>
                            </w:r>
                            <w:r>
                              <w:rPr>
                                <w:rFonts w:ascii="Helvetica 55 Roman" w:hAnsi="Helvetica 55 Roman" w:cs="Helvetica 55 Roman"/>
                                <w:sz w:val="18"/>
                                <w:szCs w:val="18"/>
                              </w:rPr>
                              <w:t xml:space="preserve">ndicate a south cardinal mark. </w:t>
                            </w:r>
                            <w:r>
                              <w:rPr>
                                <w:rFonts w:ascii="Helvetica 55 Roman" w:hAnsi="Helvetica 55 Roman" w:cs="Helvetica 55 Roman"/>
                                <w:sz w:val="12"/>
                                <w:szCs w:val="12"/>
                              </w:rPr>
                              <w:t xml:space="preserve">Q(3) d  ld’&gt;d1 s  c  1.2 s Example: d’ = 7 s; l’ = 2 s; l = d = 0.5 s; c = 1 s.; p = 15 s Q(9) d  ld’&gt;d1 s  c  1.2 s d’  3 l’ l’  2 s d  l 1 s  c  1.2 s Q(6)+LF1 </w:t>
                            </w:r>
                          </w:p>
                        </w:tc>
                        <w:tc>
                          <w:tcPr>
                            <w:tcW w:w="2062" w:type="dxa"/>
                            <w:tcBorders>
                              <w:top w:val="single" w:sz="4" w:space="0" w:color="000000"/>
                              <w:left w:val="single" w:sz="4" w:space="0" w:color="000000"/>
                              <w:bottom w:val="single" w:sz="4" w:space="0" w:color="000000"/>
                              <w:right w:val="single" w:sz="4" w:space="0" w:color="000000"/>
                            </w:tcBorders>
                          </w:tcPr>
                          <w:p w14:paraId="021BC77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group quick Whitelight with a group of three flashes, in a p</w:t>
                            </w:r>
                            <w:r>
                              <w:rPr>
                                <w:rFonts w:ascii="Helvetica 55 Roman" w:hAnsi="Helvetica 55 Roman" w:cs="Helvetica 55 Roman"/>
                                <w:sz w:val="18"/>
                                <w:szCs w:val="18"/>
                              </w:rPr>
                              <w:t>eriod of 10 s,indicates an eastcardinal mark.A group quick Whitelight with a group of nine flashes, in a period of 15 s, indicates awest cardinal mark.A group quick Whitelight with a group of six flashes followedby a long flash of notless than 2 s duration</w:t>
                            </w:r>
                            <w:r>
                              <w:rPr>
                                <w:rFonts w:ascii="Helvetica 55 Roman" w:hAnsi="Helvetica 55 Roman" w:cs="Helvetica 55 Roman"/>
                                <w:sz w:val="18"/>
                                <w:szCs w:val="18"/>
                              </w:rPr>
                              <w:t xml:space="preserve">,in a period of 15 s,indicates a southcardinal mark. </w:t>
                            </w:r>
                          </w:p>
                        </w:tc>
                      </w:tr>
                    </w:tbl>
                  </w:txbxContent>
                </v:textbox>
                <w10:wrap type="through" anchorx="page" anchory="page"/>
              </v:shape>
            </w:pict>
          </mc:Fallback>
        </mc:AlternateContent>
      </w:r>
    </w:p>
    <w:p w14:paraId="29C4A40B" w14:textId="77777777" w:rsidR="00541A14" w:rsidRDefault="00DD420F">
      <w:pPr>
        <w:pStyle w:val="Default"/>
        <w:framePr w:w="10739" w:wrap="auto" w:vAnchor="page" w:hAnchor="page" w:x="1434" w:y="16277"/>
        <w:rPr>
          <w:rFonts w:cs="Times New Roman"/>
          <w:color w:val="auto"/>
        </w:rPr>
      </w:pPr>
      <w:r>
        <w:rPr>
          <w:rFonts w:cs="Times New Roman"/>
          <w:noProof/>
          <w:color w:val="auto"/>
        </w:rPr>
        <w:drawing>
          <wp:inline distT="0" distB="0" distL="0" distR="0" wp14:anchorId="4B4D162B" wp14:editId="67584D6E">
            <wp:extent cx="7542530" cy="420370"/>
            <wp:effectExtent l="0" t="0" r="1270" b="1143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77D6061F" w14:textId="77777777" w:rsidR="00541A14" w:rsidRDefault="00DD420F">
      <w:pPr>
        <w:pStyle w:val="Default"/>
        <w:pageBreakBefore/>
        <w:framePr w:w="24763" w:wrap="auto" w:vAnchor="page" w:hAnchor="page" w:x="101" w:y="1"/>
        <w:spacing w:after="180"/>
        <w:rPr>
          <w:rFonts w:cs="Times New Roman"/>
          <w:color w:val="auto"/>
        </w:rPr>
      </w:pPr>
      <w:r>
        <w:rPr>
          <w:rFonts w:cs="Times New Roman"/>
          <w:noProof/>
          <w:color w:val="auto"/>
        </w:rPr>
        <w:drawing>
          <wp:inline distT="0" distB="0" distL="0" distR="0" wp14:anchorId="419F5EAF" wp14:editId="1A0044BB">
            <wp:extent cx="7553960" cy="115316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68B5C214"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68480" behindDoc="0" locked="0" layoutInCell="0" allowOverlap="1" wp14:anchorId="175975A7" wp14:editId="5E035897">
                <wp:simplePos x="0" y="0"/>
                <wp:positionH relativeFrom="page">
                  <wp:posOffset>807085</wp:posOffset>
                </wp:positionH>
                <wp:positionV relativeFrom="page">
                  <wp:posOffset>1456055</wp:posOffset>
                </wp:positionV>
                <wp:extent cx="8811260" cy="9869805"/>
                <wp:effectExtent l="0" t="0" r="0" b="0"/>
                <wp:wrapThrough wrapText="bothSides">
                  <wp:wrapPolygon edited="0">
                    <wp:start x="0" y="0"/>
                    <wp:lineTo x="21600" y="0"/>
                    <wp:lineTo x="21600" y="21600"/>
                    <wp:lineTo x="0" y="21600"/>
                    <wp:lineTo x="0" y="0"/>
                  </wp:wrapPolygon>
                </wp:wrapThrough>
                <wp:docPr id="54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11260" cy="9869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457"/>
                              <w:gridCol w:w="1217"/>
                              <w:gridCol w:w="1280"/>
                              <w:gridCol w:w="2022"/>
                              <w:gridCol w:w="6035"/>
                              <w:gridCol w:w="2065"/>
                            </w:tblGrid>
                            <w:tr w:rsidR="00541A14" w14:paraId="53CB7ECF" w14:textId="77777777">
                              <w:trPr>
                                <w:trHeight w:val="372"/>
                              </w:trPr>
                              <w:tc>
                                <w:tcPr>
                                  <w:tcW w:w="457" w:type="dxa"/>
                                  <w:tcBorders>
                                    <w:top w:val="single" w:sz="4" w:space="0" w:color="000000"/>
                                    <w:left w:val="single" w:sz="4" w:space="0" w:color="000000"/>
                                    <w:bottom w:val="single" w:sz="4" w:space="0" w:color="000000"/>
                                    <w:right w:val="single" w:sz="4" w:space="0" w:color="000000"/>
                                  </w:tcBorders>
                                </w:tcPr>
                                <w:p w14:paraId="2128798C" w14:textId="77777777" w:rsidR="00541A14" w:rsidRDefault="00541A14">
                                  <w:pPr>
                                    <w:pStyle w:val="Default"/>
                                    <w:rPr>
                                      <w:rFonts w:cs="Times New Roman"/>
                                      <w:color w:val="auto"/>
                                    </w:rPr>
                                  </w:pPr>
                                </w:p>
                              </w:tc>
                              <w:tc>
                                <w:tcPr>
                                  <w:tcW w:w="1217" w:type="dxa"/>
                                  <w:tcBorders>
                                    <w:top w:val="single" w:sz="4" w:space="0" w:color="000000"/>
                                    <w:left w:val="single" w:sz="4" w:space="0" w:color="000000"/>
                                    <w:bottom w:val="single" w:sz="4" w:space="0" w:color="000000"/>
                                    <w:right w:val="single" w:sz="4" w:space="0" w:color="000000"/>
                                  </w:tcBorders>
                                  <w:vAlign w:val="center"/>
                                </w:tcPr>
                                <w:p w14:paraId="28CBB000"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1280" w:type="dxa"/>
                                  <w:tcBorders>
                                    <w:top w:val="single" w:sz="4" w:space="0" w:color="000000"/>
                                    <w:left w:val="single" w:sz="4" w:space="0" w:color="000000"/>
                                    <w:bottom w:val="single" w:sz="4" w:space="0" w:color="000000"/>
                                    <w:right w:val="single" w:sz="4" w:space="0" w:color="000000"/>
                                  </w:tcBorders>
                                  <w:vAlign w:val="center"/>
                                </w:tcPr>
                                <w:p w14:paraId="292BB60F"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022" w:type="dxa"/>
                                  <w:tcBorders>
                                    <w:top w:val="single" w:sz="4" w:space="0" w:color="000000"/>
                                    <w:left w:val="single" w:sz="4" w:space="0" w:color="000000"/>
                                    <w:bottom w:val="single" w:sz="4" w:space="0" w:color="000000"/>
                                    <w:right w:val="single" w:sz="4" w:space="0" w:color="000000"/>
                                  </w:tcBorders>
                                  <w:vAlign w:val="center"/>
                                </w:tcPr>
                                <w:p w14:paraId="0CF430EC"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6035" w:type="dxa"/>
                                  <w:tcBorders>
                                    <w:top w:val="single" w:sz="4" w:space="0" w:color="000000"/>
                                    <w:left w:val="single" w:sz="4" w:space="0" w:color="000000"/>
                                    <w:bottom w:val="single" w:sz="4" w:space="0" w:color="000000"/>
                                    <w:right w:val="single" w:sz="4" w:space="0" w:color="000000"/>
                                  </w:tcBorders>
                                  <w:vAlign w:val="center"/>
                                </w:tcPr>
                                <w:p w14:paraId="0F058E8D"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2065" w:type="dxa"/>
                                  <w:tcBorders>
                                    <w:top w:val="single" w:sz="4" w:space="0" w:color="000000"/>
                                    <w:left w:val="single" w:sz="4" w:space="0" w:color="000000"/>
                                    <w:bottom w:val="single" w:sz="4" w:space="0" w:color="000000"/>
                                    <w:right w:val="single" w:sz="4" w:space="0" w:color="000000"/>
                                  </w:tcBorders>
                                </w:tcPr>
                                <w:p w14:paraId="633A6F44"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541A14" w14:paraId="332CA8AB" w14:textId="77777777">
                              <w:trPr>
                                <w:trHeight w:val="691"/>
                              </w:trPr>
                              <w:tc>
                                <w:tcPr>
                                  <w:tcW w:w="457" w:type="dxa"/>
                                  <w:tcBorders>
                                    <w:top w:val="single" w:sz="4" w:space="0" w:color="000000"/>
                                    <w:left w:val="single" w:sz="4" w:space="0" w:color="000000"/>
                                    <w:bottom w:val="single" w:sz="4" w:space="0" w:color="000000"/>
                                    <w:right w:val="single" w:sz="4" w:space="0" w:color="000000"/>
                                  </w:tcBorders>
                                </w:tcPr>
                                <w:p w14:paraId="40CCB5B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6 </w:t>
                                  </w:r>
                                </w:p>
                              </w:tc>
                              <w:tc>
                                <w:tcPr>
                                  <w:tcW w:w="1217" w:type="dxa"/>
                                  <w:tcBorders>
                                    <w:top w:val="single" w:sz="4" w:space="0" w:color="000000"/>
                                    <w:left w:val="single" w:sz="4" w:space="0" w:color="000000"/>
                                    <w:bottom w:val="single" w:sz="4" w:space="0" w:color="000000"/>
                                    <w:right w:val="single" w:sz="4" w:space="0" w:color="000000"/>
                                  </w:tcBorders>
                                </w:tcPr>
                                <w:p w14:paraId="0865457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VERYQUICKLIGHT </w:t>
                                  </w:r>
                                </w:p>
                              </w:tc>
                              <w:tc>
                                <w:tcPr>
                                  <w:tcW w:w="1280" w:type="dxa"/>
                                  <w:tcBorders>
                                    <w:top w:val="single" w:sz="4" w:space="0" w:color="000000"/>
                                    <w:left w:val="single" w:sz="4" w:space="0" w:color="000000"/>
                                    <w:bottom w:val="single" w:sz="4" w:space="0" w:color="000000"/>
                                    <w:right w:val="single" w:sz="4" w:space="0" w:color="000000"/>
                                  </w:tcBorders>
                                </w:tcPr>
                                <w:p w14:paraId="3026C158" w14:textId="77777777" w:rsidR="00541A14" w:rsidRDefault="00541A14">
                                  <w:pPr>
                                    <w:pStyle w:val="Default"/>
                                    <w:rPr>
                                      <w:rFonts w:cs="Times New Roman"/>
                                      <w:color w:val="auto"/>
                                    </w:rPr>
                                  </w:pPr>
                                </w:p>
                              </w:tc>
                              <w:tc>
                                <w:tcPr>
                                  <w:tcW w:w="2022" w:type="dxa"/>
                                  <w:tcBorders>
                                    <w:top w:val="single" w:sz="4" w:space="0" w:color="000000"/>
                                    <w:left w:val="single" w:sz="4" w:space="0" w:color="000000"/>
                                    <w:bottom w:val="single" w:sz="4" w:space="0" w:color="000000"/>
                                    <w:right w:val="single" w:sz="4" w:space="0" w:color="000000"/>
                                  </w:tcBorders>
                                </w:tcPr>
                                <w:p w14:paraId="59D4220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flashesare repeated at a rateof not less than 80flashes per minute butless than 160 flashesper minute. </w:t>
                                  </w:r>
                                </w:p>
                              </w:tc>
                              <w:tc>
                                <w:tcPr>
                                  <w:tcW w:w="6035" w:type="dxa"/>
                                  <w:tcBorders>
                                    <w:top w:val="single" w:sz="4" w:space="0" w:color="000000"/>
                                    <w:left w:val="single" w:sz="4" w:space="0" w:color="000000"/>
                                    <w:bottom w:val="single" w:sz="4" w:space="0" w:color="000000"/>
                                    <w:right w:val="single" w:sz="4" w:space="0" w:color="000000"/>
                                  </w:tcBorders>
                                </w:tcPr>
                                <w:p w14:paraId="3A29AD2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light in which identical flashes are repeated at the rate of 120 (or 100)flashes per minute. The higher rate of flashing is preferred.</w:t>
                                  </w:r>
                                </w:p>
                              </w:tc>
                              <w:tc>
                                <w:tcPr>
                                  <w:tcW w:w="2065" w:type="dxa"/>
                                  <w:tcBorders>
                                    <w:top w:val="single" w:sz="4" w:space="0" w:color="000000"/>
                                    <w:left w:val="single" w:sz="4" w:space="0" w:color="000000"/>
                                    <w:bottom w:val="single" w:sz="4" w:space="0" w:color="000000"/>
                                    <w:right w:val="single" w:sz="4" w:space="0" w:color="000000"/>
                                  </w:tcBorders>
                                </w:tcPr>
                                <w:p w14:paraId="6BE45F65" w14:textId="77777777" w:rsidR="00541A14" w:rsidRDefault="00541A14">
                                  <w:pPr>
                                    <w:pStyle w:val="Default"/>
                                    <w:rPr>
                                      <w:rFonts w:cs="Times New Roman"/>
                                      <w:color w:val="auto"/>
                                    </w:rPr>
                                  </w:pPr>
                                </w:p>
                              </w:tc>
                            </w:tr>
                            <w:tr w:rsidR="00541A14" w14:paraId="4C925237" w14:textId="77777777">
                              <w:trPr>
                                <w:trHeight w:val="583"/>
                              </w:trPr>
                              <w:tc>
                                <w:tcPr>
                                  <w:tcW w:w="457" w:type="dxa"/>
                                  <w:tcBorders>
                                    <w:top w:val="single" w:sz="4" w:space="0" w:color="000000"/>
                                    <w:left w:val="single" w:sz="4" w:space="0" w:color="000000"/>
                                    <w:bottom w:val="single" w:sz="4" w:space="0" w:color="000000"/>
                                    <w:right w:val="single" w:sz="4" w:space="0" w:color="000000"/>
                                  </w:tcBorders>
                                </w:tcPr>
                                <w:p w14:paraId="534F6F1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6.1 </w:t>
                                  </w:r>
                                </w:p>
                              </w:tc>
                              <w:tc>
                                <w:tcPr>
                                  <w:tcW w:w="1217" w:type="dxa"/>
                                  <w:tcBorders>
                                    <w:top w:val="single" w:sz="4" w:space="0" w:color="000000"/>
                                    <w:left w:val="single" w:sz="4" w:space="0" w:color="000000"/>
                                    <w:bottom w:val="single" w:sz="4" w:space="0" w:color="000000"/>
                                    <w:right w:val="single" w:sz="4" w:space="0" w:color="000000"/>
                                  </w:tcBorders>
                                </w:tcPr>
                                <w:p w14:paraId="29652CA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Continuousvery quicklight </w:t>
                                  </w:r>
                                </w:p>
                              </w:tc>
                              <w:tc>
                                <w:tcPr>
                                  <w:tcW w:w="1280" w:type="dxa"/>
                                  <w:tcBorders>
                                    <w:top w:val="single" w:sz="4" w:space="0" w:color="000000"/>
                                    <w:left w:val="single" w:sz="4" w:space="0" w:color="000000"/>
                                    <w:bottom w:val="single" w:sz="4" w:space="0" w:color="000000"/>
                                    <w:right w:val="single" w:sz="4" w:space="0" w:color="000000"/>
                                  </w:tcBorders>
                                </w:tcPr>
                                <w:p w14:paraId="296DF89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VQ </w:t>
                                  </w:r>
                                </w:p>
                              </w:tc>
                              <w:tc>
                                <w:tcPr>
                                  <w:tcW w:w="2022" w:type="dxa"/>
                                  <w:tcBorders>
                                    <w:top w:val="single" w:sz="4" w:space="0" w:color="000000"/>
                                    <w:left w:val="single" w:sz="4" w:space="0" w:color="000000"/>
                                    <w:bottom w:val="single" w:sz="4" w:space="0" w:color="000000"/>
                                    <w:right w:val="single" w:sz="4" w:space="0" w:color="000000"/>
                                  </w:tcBorders>
                                </w:tcPr>
                                <w:p w14:paraId="7AE6024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very quick lightin which a flash isregularly repeated.</w:t>
                                  </w:r>
                                </w:p>
                              </w:tc>
                              <w:tc>
                                <w:tcPr>
                                  <w:tcW w:w="6035" w:type="dxa"/>
                                  <w:tcBorders>
                                    <w:top w:val="single" w:sz="4" w:space="0" w:color="000000"/>
                                    <w:left w:val="single" w:sz="4" w:space="0" w:color="000000"/>
                                    <w:bottom w:val="single" w:sz="4" w:space="0" w:color="000000"/>
                                    <w:right w:val="single" w:sz="4" w:space="0" w:color="000000"/>
                                  </w:tcBorders>
                                  <w:vAlign w:val="bottom"/>
                                </w:tcPr>
                                <w:p w14:paraId="64F3618C"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2"/>
                                      <w:szCs w:val="12"/>
                                    </w:rPr>
                                    <w:t xml:space="preserve">d  l0.5 s  p </w:t>
                                  </w:r>
                                  <w:r>
                                    <w:rPr>
                                      <w:rFonts w:ascii="Menlo Regular" w:hAnsi="Menlo Regular" w:cs="Menlo Regular"/>
                                      <w:sz w:val="12"/>
                                      <w:szCs w:val="12"/>
                                    </w:rPr>
                                    <w:t>�</w:t>
                                  </w:r>
                                  <w:r>
                                    <w:rPr>
                                      <w:rFonts w:ascii="Mshtakan" w:hAnsi="Mshtakan" w:cs="Mshtakan"/>
                                      <w:sz w:val="12"/>
                                      <w:szCs w:val="12"/>
                                    </w:rPr>
                                    <w:t xml:space="preserve"> </w:t>
                                  </w:r>
                                  <w:r>
                                    <w:rPr>
                                      <w:rFonts w:ascii="Helvetica 55 Roman" w:hAnsi="Helvetica 55 Roman" w:cs="Helvetica 55 Roman"/>
                                      <w:sz w:val="12"/>
                                      <w:szCs w:val="12"/>
                                    </w:rPr>
                                    <w:t xml:space="preserve">1.6 s Example: l = d = 0.25 s; p = 0.5 s </w:t>
                                  </w:r>
                                </w:p>
                              </w:tc>
                              <w:tc>
                                <w:tcPr>
                                  <w:tcW w:w="2065" w:type="dxa"/>
                                  <w:tcBorders>
                                    <w:top w:val="single" w:sz="4" w:space="0" w:color="000000"/>
                                    <w:left w:val="single" w:sz="4" w:space="0" w:color="000000"/>
                                    <w:bottom w:val="single" w:sz="4" w:space="0" w:color="000000"/>
                                    <w:right w:val="single" w:sz="4" w:space="0" w:color="000000"/>
                                  </w:tcBorders>
                                </w:tcPr>
                                <w:p w14:paraId="67F2116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continuous veryquick Whitelightindicates a northcardinal mark. </w:t>
                                  </w:r>
                                </w:p>
                              </w:tc>
                            </w:tr>
                            <w:tr w:rsidR="00541A14" w14:paraId="7EFE56CE" w14:textId="77777777">
                              <w:trPr>
                                <w:trHeight w:val="2151"/>
                              </w:trPr>
                              <w:tc>
                                <w:tcPr>
                                  <w:tcW w:w="457" w:type="dxa"/>
                                  <w:tcBorders>
                                    <w:top w:val="single" w:sz="4" w:space="0" w:color="000000"/>
                                    <w:left w:val="single" w:sz="4" w:space="0" w:color="000000"/>
                                    <w:bottom w:val="single" w:sz="4" w:space="0" w:color="000000"/>
                                    <w:right w:val="single" w:sz="4" w:space="0" w:color="000000"/>
                                  </w:tcBorders>
                                </w:tcPr>
                                <w:p w14:paraId="2468F1D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 </w:t>
                                  </w:r>
                                </w:p>
                              </w:tc>
                              <w:tc>
                                <w:tcPr>
                                  <w:tcW w:w="1217" w:type="dxa"/>
                                  <w:tcBorders>
                                    <w:top w:val="single" w:sz="4" w:space="0" w:color="000000"/>
                                    <w:left w:val="single" w:sz="4" w:space="0" w:color="000000"/>
                                    <w:bottom w:val="single" w:sz="4" w:space="0" w:color="000000"/>
                                    <w:right w:val="single" w:sz="4" w:space="0" w:color="000000"/>
                                  </w:tcBorders>
                                </w:tcPr>
                                <w:p w14:paraId="69132B4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 veryquick light </w:t>
                                  </w:r>
                                </w:p>
                              </w:tc>
                              <w:tc>
                                <w:tcPr>
                                  <w:tcW w:w="1280" w:type="dxa"/>
                                  <w:tcBorders>
                                    <w:top w:val="single" w:sz="4" w:space="0" w:color="000000"/>
                                    <w:left w:val="single" w:sz="4" w:space="0" w:color="000000"/>
                                    <w:bottom w:val="single" w:sz="4" w:space="0" w:color="000000"/>
                                    <w:right w:val="single" w:sz="4" w:space="0" w:color="000000"/>
                                  </w:tcBorders>
                                </w:tcPr>
                                <w:p w14:paraId="1F70695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VQ(#)eg VQ(3)eg VQ(9)eg VQ(6)+LFl </w:t>
                                  </w:r>
                                </w:p>
                              </w:tc>
                              <w:tc>
                                <w:tcPr>
                                  <w:tcW w:w="2022" w:type="dxa"/>
                                  <w:tcBorders>
                                    <w:top w:val="single" w:sz="4" w:space="0" w:color="000000"/>
                                    <w:left w:val="single" w:sz="4" w:space="0" w:color="000000"/>
                                    <w:bottom w:val="single" w:sz="4" w:space="0" w:color="000000"/>
                                    <w:right w:val="single" w:sz="4" w:space="0" w:color="000000"/>
                                  </w:tcBorders>
                                </w:tcPr>
                                <w:p w14:paraId="3686C01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very quick light inwhich a specifiedgroup of flashes isregularly repeated. </w:t>
                                  </w:r>
                                </w:p>
                              </w:tc>
                              <w:tc>
                                <w:tcPr>
                                  <w:tcW w:w="6035" w:type="dxa"/>
                                  <w:tcBorders>
                                    <w:top w:val="single" w:sz="4" w:space="0" w:color="000000"/>
                                    <w:left w:val="single" w:sz="4" w:space="0" w:color="000000"/>
                                    <w:bottom w:val="single" w:sz="4" w:space="0" w:color="000000"/>
                                    <w:right w:val="single" w:sz="4" w:space="0" w:color="000000"/>
                                  </w:tcBorders>
                                </w:tcPr>
                                <w:p w14:paraId="6A84321B"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 xml:space="preserve">The number of flashes in a group should be three or nine. An exceptionallight character is reserved for use in the IALA Maritime Buoyage Systemto indicate a south cardinal mark. </w:t>
                                  </w:r>
                                  <w:r>
                                    <w:rPr>
                                      <w:rFonts w:ascii="Helvetica 55 Roman" w:hAnsi="Helvetica 55 Roman" w:cs="Helvetica 55 Roman"/>
                                      <w:sz w:val="12"/>
                                      <w:szCs w:val="12"/>
                                    </w:rPr>
                                    <w:t xml:space="preserve">d’  1.5 l’ l’  2 s d  l0.5 s  c  0.6 s VQ(3) d’  1,5 s d  l0.5 s  c  0.6 s Example: d’ = 3.75 s; l = d = 0.25 s; c = 0.5 s; p = 5 s VQ(9) d’  1.5 s d  l0.5 s  c  0.6 s Example: d’ = 5.75 s; l = d = 0.25 s; c = 0.5 s; p = 10 s VQ(6)+LF1 Example: d’ = 5 s; l’ = 2 s; l = d = 0.25 s; c = 0.5 s; p = 10 s </w:t>
                                  </w:r>
                                </w:p>
                              </w:tc>
                              <w:tc>
                                <w:tcPr>
                                  <w:tcW w:w="2065" w:type="dxa"/>
                                  <w:tcBorders>
                                    <w:top w:val="single" w:sz="4" w:space="0" w:color="000000"/>
                                    <w:left w:val="single" w:sz="4" w:space="0" w:color="000000"/>
                                    <w:bottom w:val="single" w:sz="4" w:space="0" w:color="000000"/>
                                    <w:right w:val="single" w:sz="4" w:space="0" w:color="000000"/>
                                  </w:tcBorders>
                                </w:tcPr>
                                <w:p w14:paraId="6C832A6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group very quickWhitelight with a group of three flashes, in aperiod of 5 s, indicatesan east cardinal mark.A group very quickWhitelight with agroup of nine flashes,in a period of 10s, indicates a westcardinal mark.A group very quickWhitelight with agroup of six flashesfollowed by a long flashof not less than 2 sduration, in a period of10 s, indicates a southcardinal mark. </w:t>
                                  </w:r>
                                </w:p>
                              </w:tc>
                            </w:tr>
                          </w:tbl>
                          <w:p w14:paraId="3A556E56"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6" type="#_x0000_t202" style="position:absolute;margin-left:63.55pt;margin-top:114.65pt;width:693.8pt;height:777.1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32"/>
                        <w:gridCol w:w="473"/>
                        <w:gridCol w:w="115"/>
                        <w:gridCol w:w="42"/>
                        <w:gridCol w:w="33"/>
                        <w:gridCol w:w="120"/>
                        <w:gridCol w:w="182"/>
                        <w:gridCol w:w="5"/>
                        <w:gridCol w:w="28"/>
                        <w:gridCol w:w="70"/>
                        <w:gridCol w:w="65"/>
                        <w:gridCol w:w="87"/>
                        <w:gridCol w:w="30"/>
                        <w:gridCol w:w="50"/>
                        <w:gridCol w:w="10"/>
                        <w:gridCol w:w="110"/>
                        <w:gridCol w:w="15"/>
                        <w:gridCol w:w="55"/>
                        <w:gridCol w:w="20"/>
                        <w:gridCol w:w="50"/>
                        <w:gridCol w:w="50"/>
                        <w:gridCol w:w="118"/>
                        <w:gridCol w:w="95"/>
                        <w:gridCol w:w="2"/>
                        <w:gridCol w:w="33"/>
                        <w:gridCol w:w="155"/>
                        <w:gridCol w:w="20"/>
                        <w:gridCol w:w="197"/>
                        <w:gridCol w:w="112"/>
                        <w:gridCol w:w="5"/>
                        <w:gridCol w:w="123"/>
                        <w:gridCol w:w="22"/>
                        <w:gridCol w:w="8"/>
                        <w:gridCol w:w="7"/>
                        <w:gridCol w:w="73"/>
                        <w:gridCol w:w="120"/>
                        <w:gridCol w:w="72"/>
                        <w:gridCol w:w="235"/>
                        <w:gridCol w:w="5"/>
                        <w:gridCol w:w="60"/>
                        <w:gridCol w:w="237"/>
                        <w:gridCol w:w="38"/>
                        <w:gridCol w:w="15"/>
                        <w:gridCol w:w="25"/>
                        <w:gridCol w:w="50"/>
                        <w:gridCol w:w="103"/>
                        <w:gridCol w:w="33"/>
                        <w:gridCol w:w="234"/>
                        <w:gridCol w:w="5"/>
                        <w:gridCol w:w="5"/>
                        <w:gridCol w:w="12"/>
                        <w:gridCol w:w="47"/>
                        <w:gridCol w:w="168"/>
                        <w:gridCol w:w="48"/>
                        <w:gridCol w:w="4"/>
                        <w:gridCol w:w="110"/>
                        <w:gridCol w:w="12"/>
                        <w:gridCol w:w="108"/>
                        <w:gridCol w:w="4"/>
                        <w:gridCol w:w="192"/>
                        <w:gridCol w:w="170"/>
                        <w:gridCol w:w="30"/>
                        <w:gridCol w:w="18"/>
                        <w:gridCol w:w="89"/>
                        <w:gridCol w:w="47"/>
                        <w:gridCol w:w="355"/>
                        <w:gridCol w:w="10"/>
                        <w:gridCol w:w="207"/>
                        <w:gridCol w:w="86"/>
                        <w:gridCol w:w="70"/>
                        <w:gridCol w:w="8"/>
                        <w:gridCol w:w="78"/>
                        <w:gridCol w:w="152"/>
                        <w:gridCol w:w="122"/>
                        <w:gridCol w:w="157"/>
                        <w:gridCol w:w="183"/>
                        <w:gridCol w:w="55"/>
                        <w:gridCol w:w="2"/>
                        <w:gridCol w:w="283"/>
                        <w:gridCol w:w="254"/>
                        <w:gridCol w:w="76"/>
                        <w:gridCol w:w="119"/>
                        <w:gridCol w:w="23"/>
                        <w:gridCol w:w="1086"/>
                        <w:gridCol w:w="161"/>
                        <w:gridCol w:w="173"/>
                        <w:gridCol w:w="71"/>
                        <w:gridCol w:w="6"/>
                        <w:gridCol w:w="13"/>
                        <w:gridCol w:w="2"/>
                        <w:gridCol w:w="8"/>
                        <w:gridCol w:w="76"/>
                        <w:gridCol w:w="1845"/>
                        <w:gridCol w:w="2062"/>
                        <w:gridCol w:w="13"/>
                      </w:tblGrid>
                      <w:tr w:rsidR="00000000" w14:paraId="53CB7ECF" w14:textId="77777777">
                        <w:tblPrEx>
                          <w:tblCellMar>
                            <w:top w:w="0" w:type="dxa"/>
                            <w:bottom w:w="0" w:type="dxa"/>
                          </w:tblCellMar>
                        </w:tblPrEx>
                        <w:trPr>
                          <w:trHeight w:val="372"/>
                        </w:trPr>
                        <w:tc>
                          <w:tcPr>
                            <w:tcW w:w="457" w:type="dxa"/>
                            <w:gridSpan w:val="2"/>
                            <w:tcBorders>
                              <w:top w:val="single" w:sz="4" w:space="0" w:color="000000"/>
                              <w:left w:val="single" w:sz="4" w:space="0" w:color="000000"/>
                              <w:bottom w:val="single" w:sz="4" w:space="0" w:color="000000"/>
                              <w:right w:val="single" w:sz="4" w:space="0" w:color="000000"/>
                            </w:tcBorders>
                          </w:tcPr>
                          <w:p w14:paraId="2128798C" w14:textId="77777777" w:rsidR="00000000" w:rsidRDefault="00A450E1">
                            <w:pPr>
                              <w:pStyle w:val="Default"/>
                              <w:rPr>
                                <w:rFonts w:cs="Times New Roman"/>
                                <w:color w:val="auto"/>
                              </w:rPr>
                            </w:pPr>
                          </w:p>
                        </w:tc>
                        <w:tc>
                          <w:tcPr>
                            <w:tcW w:w="1217" w:type="dxa"/>
                            <w:gridSpan w:val="11"/>
                            <w:tcBorders>
                              <w:top w:val="single" w:sz="4" w:space="0" w:color="000000"/>
                              <w:left w:val="single" w:sz="4" w:space="0" w:color="000000"/>
                              <w:bottom w:val="single" w:sz="4" w:space="0" w:color="000000"/>
                              <w:right w:val="single" w:sz="4" w:space="0" w:color="000000"/>
                            </w:tcBorders>
                            <w:vAlign w:val="center"/>
                          </w:tcPr>
                          <w:p w14:paraId="28CBB000"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1280" w:type="dxa"/>
                            <w:gridSpan w:val="21"/>
                            <w:tcBorders>
                              <w:top w:val="single" w:sz="4" w:space="0" w:color="000000"/>
                              <w:left w:val="single" w:sz="4" w:space="0" w:color="000000"/>
                              <w:bottom w:val="single" w:sz="4" w:space="0" w:color="000000"/>
                              <w:right w:val="single" w:sz="4" w:space="0" w:color="000000"/>
                            </w:tcBorders>
                            <w:vAlign w:val="center"/>
                          </w:tcPr>
                          <w:p w14:paraId="292BB60F"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022" w:type="dxa"/>
                            <w:gridSpan w:val="27"/>
                            <w:tcBorders>
                              <w:top w:val="single" w:sz="4" w:space="0" w:color="000000"/>
                              <w:left w:val="single" w:sz="4" w:space="0" w:color="000000"/>
                              <w:bottom w:val="single" w:sz="4" w:space="0" w:color="000000"/>
                              <w:right w:val="single" w:sz="4" w:space="0" w:color="000000"/>
                            </w:tcBorders>
                            <w:vAlign w:val="center"/>
                          </w:tcPr>
                          <w:p w14:paraId="0CF430EC"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6035" w:type="dxa"/>
                            <w:gridSpan w:val="33"/>
                            <w:tcBorders>
                              <w:top w:val="single" w:sz="4" w:space="0" w:color="000000"/>
                              <w:left w:val="single" w:sz="4" w:space="0" w:color="000000"/>
                              <w:bottom w:val="single" w:sz="4" w:space="0" w:color="000000"/>
                              <w:right w:val="single" w:sz="4" w:space="0" w:color="000000"/>
                            </w:tcBorders>
                            <w:vAlign w:val="center"/>
                          </w:tcPr>
                          <w:p w14:paraId="0F058E8D"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2065" w:type="dxa"/>
                            <w:gridSpan w:val="2"/>
                            <w:tcBorders>
                              <w:top w:val="single" w:sz="4" w:space="0" w:color="000000"/>
                              <w:left w:val="single" w:sz="4" w:space="0" w:color="000000"/>
                              <w:bottom w:val="single" w:sz="4" w:space="0" w:color="000000"/>
                              <w:right w:val="single" w:sz="4" w:space="0" w:color="000000"/>
                            </w:tcBorders>
                          </w:tcPr>
                          <w:p w14:paraId="633A6F44"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000000" w14:paraId="332CA8AB" w14:textId="77777777">
                        <w:tblPrEx>
                          <w:tblCellMar>
                            <w:top w:w="0" w:type="dxa"/>
                            <w:bottom w:w="0" w:type="dxa"/>
                          </w:tblCellMar>
                        </w:tblPrEx>
                        <w:trPr>
                          <w:trHeight w:val="691"/>
                        </w:trPr>
                        <w:tc>
                          <w:tcPr>
                            <w:tcW w:w="457" w:type="dxa"/>
                            <w:gridSpan w:val="2"/>
                            <w:tcBorders>
                              <w:top w:val="single" w:sz="4" w:space="0" w:color="000000"/>
                              <w:left w:val="single" w:sz="4" w:space="0" w:color="000000"/>
                              <w:bottom w:val="single" w:sz="4" w:space="0" w:color="000000"/>
                              <w:right w:val="single" w:sz="4" w:space="0" w:color="000000"/>
                            </w:tcBorders>
                          </w:tcPr>
                          <w:p w14:paraId="40CCB5B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6 </w:t>
                            </w:r>
                          </w:p>
                        </w:tc>
                        <w:tc>
                          <w:tcPr>
                            <w:tcW w:w="1217" w:type="dxa"/>
                            <w:gridSpan w:val="11"/>
                            <w:tcBorders>
                              <w:top w:val="single" w:sz="4" w:space="0" w:color="000000"/>
                              <w:left w:val="single" w:sz="4" w:space="0" w:color="000000"/>
                              <w:bottom w:val="single" w:sz="4" w:space="0" w:color="000000"/>
                              <w:right w:val="single" w:sz="4" w:space="0" w:color="000000"/>
                            </w:tcBorders>
                          </w:tcPr>
                          <w:p w14:paraId="0865457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VERYQUICKLIGHT </w:t>
                            </w:r>
                          </w:p>
                        </w:tc>
                        <w:tc>
                          <w:tcPr>
                            <w:tcW w:w="1280" w:type="dxa"/>
                            <w:gridSpan w:val="21"/>
                            <w:tcBorders>
                              <w:top w:val="single" w:sz="4" w:space="0" w:color="000000"/>
                              <w:left w:val="single" w:sz="4" w:space="0" w:color="000000"/>
                              <w:bottom w:val="single" w:sz="4" w:space="0" w:color="000000"/>
                              <w:right w:val="single" w:sz="4" w:space="0" w:color="000000"/>
                            </w:tcBorders>
                          </w:tcPr>
                          <w:p w14:paraId="3026C158" w14:textId="77777777" w:rsidR="00000000" w:rsidRDefault="00A450E1">
                            <w:pPr>
                              <w:pStyle w:val="Default"/>
                              <w:rPr>
                                <w:rFonts w:cs="Times New Roman"/>
                                <w:color w:val="auto"/>
                              </w:rPr>
                            </w:pPr>
                          </w:p>
                        </w:tc>
                        <w:tc>
                          <w:tcPr>
                            <w:tcW w:w="2022" w:type="dxa"/>
                            <w:gridSpan w:val="27"/>
                            <w:tcBorders>
                              <w:top w:val="single" w:sz="4" w:space="0" w:color="000000"/>
                              <w:left w:val="single" w:sz="4" w:space="0" w:color="000000"/>
                              <w:bottom w:val="single" w:sz="4" w:space="0" w:color="000000"/>
                              <w:right w:val="single" w:sz="4" w:space="0" w:color="000000"/>
                            </w:tcBorders>
                          </w:tcPr>
                          <w:p w14:paraId="59D4220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flashesare repeated at a rateof not less than 80flashes per minute butless than 160 flashesper minute. </w:t>
                            </w:r>
                          </w:p>
                        </w:tc>
                        <w:tc>
                          <w:tcPr>
                            <w:tcW w:w="6035" w:type="dxa"/>
                            <w:gridSpan w:val="33"/>
                            <w:tcBorders>
                              <w:top w:val="single" w:sz="4" w:space="0" w:color="000000"/>
                              <w:left w:val="single" w:sz="4" w:space="0" w:color="000000"/>
                              <w:bottom w:val="single" w:sz="4" w:space="0" w:color="000000"/>
                              <w:right w:val="single" w:sz="4" w:space="0" w:color="000000"/>
                            </w:tcBorders>
                          </w:tcPr>
                          <w:p w14:paraId="3A29AD2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light in which identical flashes are repeated at the rate of 120 (or 100)flashes per minute. The higher rate of flashing is preferred</w:t>
                            </w:r>
                            <w:r>
                              <w:rPr>
                                <w:rFonts w:ascii="Helvetica 55 Roman" w:hAnsi="Helvetica 55 Roman" w:cs="Helvetica 55 Roman"/>
                                <w:sz w:val="18"/>
                                <w:szCs w:val="18"/>
                              </w:rPr>
                              <w:t>.</w:t>
                            </w:r>
                          </w:p>
                        </w:tc>
                        <w:tc>
                          <w:tcPr>
                            <w:tcW w:w="2065" w:type="dxa"/>
                            <w:gridSpan w:val="2"/>
                            <w:tcBorders>
                              <w:top w:val="single" w:sz="4" w:space="0" w:color="000000"/>
                              <w:left w:val="single" w:sz="4" w:space="0" w:color="000000"/>
                              <w:bottom w:val="single" w:sz="4" w:space="0" w:color="000000"/>
                              <w:right w:val="single" w:sz="4" w:space="0" w:color="000000"/>
                            </w:tcBorders>
                          </w:tcPr>
                          <w:p w14:paraId="6BE45F65" w14:textId="77777777" w:rsidR="00000000" w:rsidRDefault="00A450E1">
                            <w:pPr>
                              <w:pStyle w:val="Default"/>
                              <w:rPr>
                                <w:rFonts w:cs="Times New Roman"/>
                                <w:color w:val="auto"/>
                              </w:rPr>
                            </w:pPr>
                          </w:p>
                        </w:tc>
                      </w:tr>
                      <w:tr w:rsidR="00000000" w14:paraId="4C925237" w14:textId="77777777">
                        <w:tblPrEx>
                          <w:tblCellMar>
                            <w:top w:w="0" w:type="dxa"/>
                            <w:bottom w:w="0" w:type="dxa"/>
                          </w:tblCellMar>
                        </w:tblPrEx>
                        <w:trPr>
                          <w:trHeight w:val="583"/>
                        </w:trPr>
                        <w:tc>
                          <w:tcPr>
                            <w:tcW w:w="457" w:type="dxa"/>
                            <w:gridSpan w:val="2"/>
                            <w:tcBorders>
                              <w:top w:val="single" w:sz="4" w:space="0" w:color="000000"/>
                              <w:left w:val="single" w:sz="4" w:space="0" w:color="000000"/>
                              <w:bottom w:val="single" w:sz="4" w:space="0" w:color="000000"/>
                              <w:right w:val="single" w:sz="4" w:space="0" w:color="000000"/>
                            </w:tcBorders>
                          </w:tcPr>
                          <w:p w14:paraId="534F6F1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6.1 </w:t>
                            </w:r>
                          </w:p>
                        </w:tc>
                        <w:tc>
                          <w:tcPr>
                            <w:tcW w:w="1217" w:type="dxa"/>
                            <w:gridSpan w:val="11"/>
                            <w:tcBorders>
                              <w:top w:val="single" w:sz="4" w:space="0" w:color="000000"/>
                              <w:left w:val="single" w:sz="4" w:space="0" w:color="000000"/>
                              <w:bottom w:val="single" w:sz="4" w:space="0" w:color="000000"/>
                              <w:right w:val="single" w:sz="4" w:space="0" w:color="000000"/>
                            </w:tcBorders>
                          </w:tcPr>
                          <w:p w14:paraId="29652CA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Continuousvery quicklight </w:t>
                            </w:r>
                          </w:p>
                        </w:tc>
                        <w:tc>
                          <w:tcPr>
                            <w:tcW w:w="1280" w:type="dxa"/>
                            <w:gridSpan w:val="21"/>
                            <w:tcBorders>
                              <w:top w:val="single" w:sz="4" w:space="0" w:color="000000"/>
                              <w:left w:val="single" w:sz="4" w:space="0" w:color="000000"/>
                              <w:bottom w:val="single" w:sz="4" w:space="0" w:color="000000"/>
                              <w:right w:val="single" w:sz="4" w:space="0" w:color="000000"/>
                            </w:tcBorders>
                          </w:tcPr>
                          <w:p w14:paraId="296DF89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VQ </w:t>
                            </w:r>
                          </w:p>
                        </w:tc>
                        <w:tc>
                          <w:tcPr>
                            <w:tcW w:w="2022" w:type="dxa"/>
                            <w:gridSpan w:val="27"/>
                            <w:tcBorders>
                              <w:top w:val="single" w:sz="4" w:space="0" w:color="000000"/>
                              <w:left w:val="single" w:sz="4" w:space="0" w:color="000000"/>
                              <w:bottom w:val="single" w:sz="4" w:space="0" w:color="000000"/>
                              <w:right w:val="single" w:sz="4" w:space="0" w:color="000000"/>
                            </w:tcBorders>
                          </w:tcPr>
                          <w:p w14:paraId="7AE6024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very quick lightin which a flash isregularly repeated.</w:t>
                            </w:r>
                          </w:p>
                        </w:tc>
                        <w:tc>
                          <w:tcPr>
                            <w:tcW w:w="6035" w:type="dxa"/>
                            <w:gridSpan w:val="33"/>
                            <w:tcBorders>
                              <w:top w:val="single" w:sz="4" w:space="0" w:color="000000"/>
                              <w:left w:val="single" w:sz="4" w:space="0" w:color="000000"/>
                              <w:bottom w:val="single" w:sz="4" w:space="0" w:color="000000"/>
                              <w:right w:val="single" w:sz="4" w:space="0" w:color="000000"/>
                            </w:tcBorders>
                            <w:vAlign w:val="bottom"/>
                          </w:tcPr>
                          <w:p w14:paraId="64F3618C"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2"/>
                                <w:szCs w:val="12"/>
                              </w:rPr>
                              <w:t xml:space="preserve">d  l0.5 s  p </w:t>
                            </w:r>
                            <w:r>
                              <w:rPr>
                                <w:rFonts w:ascii="Menlo Regular" w:hAnsi="Menlo Regular" w:cs="Menlo Regular"/>
                                <w:sz w:val="12"/>
                                <w:szCs w:val="12"/>
                              </w:rPr>
                              <w:t>�</w:t>
                            </w:r>
                            <w:r>
                              <w:rPr>
                                <w:rFonts w:ascii="Mshtakan" w:hAnsi="Mshtakan" w:cs="Mshtakan"/>
                                <w:sz w:val="12"/>
                                <w:szCs w:val="12"/>
                              </w:rPr>
                              <w:t xml:space="preserve"> </w:t>
                            </w:r>
                            <w:r>
                              <w:rPr>
                                <w:rFonts w:ascii="Helvetica 55 Roman" w:hAnsi="Helvetica 55 Roman" w:cs="Helvetica 55 Roman"/>
                                <w:sz w:val="12"/>
                                <w:szCs w:val="12"/>
                              </w:rPr>
                              <w:t xml:space="preserve">1.6 s Example: l = d = 0.25 s; p = 0.5 s </w:t>
                            </w:r>
                          </w:p>
                        </w:tc>
                        <w:tc>
                          <w:tcPr>
                            <w:tcW w:w="2065" w:type="dxa"/>
                            <w:gridSpan w:val="2"/>
                            <w:tcBorders>
                              <w:top w:val="single" w:sz="4" w:space="0" w:color="000000"/>
                              <w:left w:val="single" w:sz="4" w:space="0" w:color="000000"/>
                              <w:bottom w:val="single" w:sz="4" w:space="0" w:color="000000"/>
                              <w:right w:val="single" w:sz="4" w:space="0" w:color="000000"/>
                            </w:tcBorders>
                          </w:tcPr>
                          <w:p w14:paraId="67F2116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continuous veryquick Whitelightindicates a northcardinal mark. </w:t>
                            </w:r>
                          </w:p>
                        </w:tc>
                      </w:tr>
                      <w:tr w:rsidR="00000000" w14:paraId="7EFE56CE" w14:textId="77777777">
                        <w:tblPrEx>
                          <w:tblCellMar>
                            <w:top w:w="0" w:type="dxa"/>
                            <w:bottom w:w="0" w:type="dxa"/>
                          </w:tblCellMar>
                        </w:tblPrEx>
                        <w:trPr>
                          <w:trHeight w:val="2151"/>
                        </w:trPr>
                        <w:tc>
                          <w:tcPr>
                            <w:tcW w:w="457" w:type="dxa"/>
                            <w:gridSpan w:val="2"/>
                            <w:tcBorders>
                              <w:top w:val="single" w:sz="4" w:space="0" w:color="000000"/>
                              <w:left w:val="single" w:sz="4" w:space="0" w:color="000000"/>
                              <w:bottom w:val="single" w:sz="4" w:space="0" w:color="000000"/>
                              <w:right w:val="single" w:sz="4" w:space="0" w:color="000000"/>
                            </w:tcBorders>
                          </w:tcPr>
                          <w:p w14:paraId="2468F1D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 </w:t>
                            </w:r>
                          </w:p>
                        </w:tc>
                        <w:tc>
                          <w:tcPr>
                            <w:tcW w:w="1217" w:type="dxa"/>
                            <w:gridSpan w:val="11"/>
                            <w:tcBorders>
                              <w:top w:val="single" w:sz="4" w:space="0" w:color="000000"/>
                              <w:left w:val="single" w:sz="4" w:space="0" w:color="000000"/>
                              <w:bottom w:val="single" w:sz="4" w:space="0" w:color="000000"/>
                              <w:right w:val="single" w:sz="4" w:space="0" w:color="000000"/>
                            </w:tcBorders>
                          </w:tcPr>
                          <w:p w14:paraId="69132B4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 veryquick light </w:t>
                            </w:r>
                          </w:p>
                        </w:tc>
                        <w:tc>
                          <w:tcPr>
                            <w:tcW w:w="1280" w:type="dxa"/>
                            <w:gridSpan w:val="21"/>
                            <w:tcBorders>
                              <w:top w:val="single" w:sz="4" w:space="0" w:color="000000"/>
                              <w:left w:val="single" w:sz="4" w:space="0" w:color="000000"/>
                              <w:bottom w:val="single" w:sz="4" w:space="0" w:color="000000"/>
                              <w:right w:val="single" w:sz="4" w:space="0" w:color="000000"/>
                            </w:tcBorders>
                          </w:tcPr>
                          <w:p w14:paraId="1F70695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VQ(#)eg VQ(3)eg VQ(9)eg VQ(6)+LFl </w:t>
                            </w:r>
                          </w:p>
                        </w:tc>
                        <w:tc>
                          <w:tcPr>
                            <w:tcW w:w="2022" w:type="dxa"/>
                            <w:gridSpan w:val="27"/>
                            <w:tcBorders>
                              <w:top w:val="single" w:sz="4" w:space="0" w:color="000000"/>
                              <w:left w:val="single" w:sz="4" w:space="0" w:color="000000"/>
                              <w:bottom w:val="single" w:sz="4" w:space="0" w:color="000000"/>
                              <w:right w:val="single" w:sz="4" w:space="0" w:color="000000"/>
                            </w:tcBorders>
                          </w:tcPr>
                          <w:p w14:paraId="3686C01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very quick light inwhich a specifiedgroup of flashes isregularly repeated. </w:t>
                            </w:r>
                          </w:p>
                        </w:tc>
                        <w:tc>
                          <w:tcPr>
                            <w:tcW w:w="6035" w:type="dxa"/>
                            <w:gridSpan w:val="33"/>
                            <w:tcBorders>
                              <w:top w:val="single" w:sz="4" w:space="0" w:color="000000"/>
                              <w:left w:val="single" w:sz="4" w:space="0" w:color="000000"/>
                              <w:bottom w:val="single" w:sz="4" w:space="0" w:color="000000"/>
                              <w:right w:val="single" w:sz="4" w:space="0" w:color="000000"/>
                            </w:tcBorders>
                          </w:tcPr>
                          <w:p w14:paraId="6A84321B"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The number of flashes in a group should be three or nine. An exceptionallight character is reserved for use in the IALA Maritime Buoyage System</w:t>
                            </w:r>
                            <w:r>
                              <w:rPr>
                                <w:rFonts w:ascii="Helvetica 55 Roman" w:hAnsi="Helvetica 55 Roman" w:cs="Helvetica 55 Roman"/>
                                <w:sz w:val="18"/>
                                <w:szCs w:val="18"/>
                              </w:rPr>
                              <w:t xml:space="preserve">to indicate a south cardinal mark. </w:t>
                            </w:r>
                            <w:r>
                              <w:rPr>
                                <w:rFonts w:ascii="Helvetica 55 Roman" w:hAnsi="Helvetica 55 Roman" w:cs="Helvetica 55 Roman"/>
                                <w:sz w:val="12"/>
                                <w:szCs w:val="12"/>
                              </w:rPr>
                              <w:t xml:space="preserve">d’  1.5 l’ l’  2 s d  l0.5 s  c  0.6 s VQ(3) d’  1,5 s d  l0.5 s  c  0.6 s Example: d’ = 3.75 s; l = d = 0.25 s; c = 0.5 s; p = 5 s VQ(9) d’  1.5 s d  l0.5 s  c  0.6 s Example: d’ = 5.75 s; l = d = 0.25 s; c = 0.5 s; p = </w:t>
                            </w:r>
                            <w:r>
                              <w:rPr>
                                <w:rFonts w:ascii="Helvetica 55 Roman" w:hAnsi="Helvetica 55 Roman" w:cs="Helvetica 55 Roman"/>
                                <w:sz w:val="12"/>
                                <w:szCs w:val="12"/>
                              </w:rPr>
                              <w:t xml:space="preserve">10 s VQ(6)+LF1 Example: d’ = 5 s; l’ = 2 s; l = d = 0.25 s; c = 0.5 s; p = 10 s </w:t>
                            </w:r>
                          </w:p>
                        </w:tc>
                        <w:tc>
                          <w:tcPr>
                            <w:tcW w:w="2065" w:type="dxa"/>
                            <w:gridSpan w:val="2"/>
                            <w:tcBorders>
                              <w:top w:val="single" w:sz="4" w:space="0" w:color="000000"/>
                              <w:left w:val="single" w:sz="4" w:space="0" w:color="000000"/>
                              <w:bottom w:val="single" w:sz="4" w:space="0" w:color="000000"/>
                              <w:right w:val="single" w:sz="4" w:space="0" w:color="000000"/>
                            </w:tcBorders>
                          </w:tcPr>
                          <w:p w14:paraId="6C832A6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group very quickWhitelight with a group of three flashes, in aperiod of 5 s, indicatesan east cardinal mark.A group very quickWhitelight with agroup of nine flashes,in a period of 10s, indicates a westcardinal mark.A group very quickWhitelight with agrou</w:t>
                            </w:r>
                            <w:r>
                              <w:rPr>
                                <w:rFonts w:ascii="Helvetica 55 Roman" w:hAnsi="Helvetica 55 Roman" w:cs="Helvetica 55 Roman"/>
                                <w:sz w:val="18"/>
                                <w:szCs w:val="18"/>
                              </w:rPr>
                              <w:t xml:space="preserve">p of six flashesfollowed by a long flashof not less than 2 sduration, in a period of10 s, indicates a southcardinal mark. </w:t>
                            </w:r>
                          </w:p>
                        </w:tc>
                      </w:tr>
                    </w:tbl>
                  </w:txbxContent>
                </v:textbox>
                <w10:wrap type="through" anchorx="page" anchory="page"/>
              </v:shape>
            </w:pict>
          </mc:Fallback>
        </mc:AlternateContent>
      </w:r>
    </w:p>
    <w:p w14:paraId="1FE36BFC" w14:textId="77777777" w:rsidR="00541A14" w:rsidRDefault="00DD420F">
      <w:pPr>
        <w:pStyle w:val="Default"/>
        <w:framePr w:w="10730" w:wrap="auto" w:vAnchor="page" w:hAnchor="page" w:x="608" w:y="16278"/>
        <w:rPr>
          <w:rFonts w:cs="Times New Roman"/>
          <w:color w:val="auto"/>
        </w:rPr>
      </w:pPr>
      <w:r>
        <w:rPr>
          <w:rFonts w:cs="Times New Roman"/>
          <w:noProof/>
          <w:color w:val="auto"/>
        </w:rPr>
        <w:drawing>
          <wp:inline distT="0" distB="0" distL="0" distR="0" wp14:anchorId="416A794A" wp14:editId="2CBBDCF5">
            <wp:extent cx="7553960" cy="420370"/>
            <wp:effectExtent l="0" t="0" r="0" b="1143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72B2598B" w14:textId="77777777" w:rsidR="00541A14" w:rsidRDefault="00DD420F">
      <w:pPr>
        <w:pStyle w:val="Default"/>
        <w:pageBreakBefore/>
        <w:framePr w:w="12857" w:wrap="auto" w:vAnchor="page" w:hAnchor="page" w:x="101" w:y="1"/>
        <w:spacing w:after="180"/>
        <w:rPr>
          <w:rFonts w:cs="Times New Roman"/>
          <w:color w:val="auto"/>
        </w:rPr>
      </w:pPr>
      <w:r>
        <w:rPr>
          <w:rFonts w:cs="Times New Roman"/>
          <w:noProof/>
          <w:color w:val="auto"/>
        </w:rPr>
        <w:drawing>
          <wp:inline distT="0" distB="0" distL="0" distR="0" wp14:anchorId="3E186B03" wp14:editId="49CE1AEB">
            <wp:extent cx="7553960" cy="115316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3F220FC6"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69504" behindDoc="0" locked="0" layoutInCell="0" allowOverlap="1" wp14:anchorId="02EB987E" wp14:editId="2345DB90">
                <wp:simplePos x="0" y="0"/>
                <wp:positionH relativeFrom="page">
                  <wp:posOffset>760095</wp:posOffset>
                </wp:positionH>
                <wp:positionV relativeFrom="page">
                  <wp:posOffset>1501140</wp:posOffset>
                </wp:positionV>
                <wp:extent cx="8796655" cy="9814560"/>
                <wp:effectExtent l="0" t="0" r="0" b="0"/>
                <wp:wrapThrough wrapText="bothSides">
                  <wp:wrapPolygon edited="0">
                    <wp:start x="0" y="0"/>
                    <wp:lineTo x="21600" y="0"/>
                    <wp:lineTo x="21600" y="21600"/>
                    <wp:lineTo x="0" y="21600"/>
                    <wp:lineTo x="0" y="0"/>
                  </wp:wrapPolygon>
                </wp:wrapThrough>
                <wp:docPr id="54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96655" cy="9814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457"/>
                              <w:gridCol w:w="1420"/>
                              <w:gridCol w:w="1280"/>
                              <w:gridCol w:w="2022"/>
                              <w:gridCol w:w="5812"/>
                              <w:gridCol w:w="2062"/>
                            </w:tblGrid>
                            <w:tr w:rsidR="00541A14" w14:paraId="70B0FED7" w14:textId="77777777">
                              <w:trPr>
                                <w:trHeight w:val="372"/>
                              </w:trPr>
                              <w:tc>
                                <w:tcPr>
                                  <w:tcW w:w="457" w:type="dxa"/>
                                  <w:tcBorders>
                                    <w:top w:val="single" w:sz="4" w:space="0" w:color="000000"/>
                                    <w:left w:val="single" w:sz="4" w:space="0" w:color="000000"/>
                                    <w:bottom w:val="single" w:sz="4" w:space="0" w:color="000000"/>
                                    <w:right w:val="single" w:sz="4" w:space="0" w:color="000000"/>
                                  </w:tcBorders>
                                </w:tcPr>
                                <w:p w14:paraId="2036F22E" w14:textId="77777777" w:rsidR="00541A14" w:rsidRDefault="00541A14">
                                  <w:pPr>
                                    <w:pStyle w:val="Default"/>
                                    <w:rPr>
                                      <w:rFonts w:cs="Times New Roman"/>
                                      <w:color w:val="auto"/>
                                    </w:rPr>
                                  </w:pPr>
                                </w:p>
                              </w:tc>
                              <w:tc>
                                <w:tcPr>
                                  <w:tcW w:w="1420" w:type="dxa"/>
                                  <w:tcBorders>
                                    <w:top w:val="single" w:sz="4" w:space="0" w:color="000000"/>
                                    <w:left w:val="single" w:sz="4" w:space="0" w:color="000000"/>
                                    <w:bottom w:val="single" w:sz="4" w:space="0" w:color="000000"/>
                                    <w:right w:val="single" w:sz="4" w:space="0" w:color="000000"/>
                                  </w:tcBorders>
                                  <w:vAlign w:val="center"/>
                                </w:tcPr>
                                <w:p w14:paraId="76F57FC9"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1280" w:type="dxa"/>
                                  <w:tcBorders>
                                    <w:top w:val="single" w:sz="4" w:space="0" w:color="000000"/>
                                    <w:left w:val="single" w:sz="4" w:space="0" w:color="000000"/>
                                    <w:bottom w:val="single" w:sz="4" w:space="0" w:color="000000"/>
                                    <w:right w:val="single" w:sz="4" w:space="0" w:color="000000"/>
                                  </w:tcBorders>
                                  <w:vAlign w:val="center"/>
                                </w:tcPr>
                                <w:p w14:paraId="4334413F"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022" w:type="dxa"/>
                                  <w:tcBorders>
                                    <w:top w:val="single" w:sz="4" w:space="0" w:color="000000"/>
                                    <w:left w:val="single" w:sz="4" w:space="0" w:color="000000"/>
                                    <w:bottom w:val="single" w:sz="4" w:space="0" w:color="000000"/>
                                    <w:right w:val="single" w:sz="4" w:space="0" w:color="000000"/>
                                  </w:tcBorders>
                                  <w:vAlign w:val="center"/>
                                </w:tcPr>
                                <w:p w14:paraId="46B7F836"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5812" w:type="dxa"/>
                                  <w:tcBorders>
                                    <w:top w:val="single" w:sz="4" w:space="0" w:color="000000"/>
                                    <w:left w:val="single" w:sz="4" w:space="0" w:color="000000"/>
                                    <w:bottom w:val="single" w:sz="4" w:space="0" w:color="000000"/>
                                    <w:right w:val="single" w:sz="4" w:space="0" w:color="000000"/>
                                  </w:tcBorders>
                                  <w:vAlign w:val="center"/>
                                </w:tcPr>
                                <w:p w14:paraId="1AB9FFCB"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2062" w:type="dxa"/>
                                  <w:tcBorders>
                                    <w:top w:val="single" w:sz="4" w:space="0" w:color="000000"/>
                                    <w:left w:val="single" w:sz="4" w:space="0" w:color="000000"/>
                                    <w:bottom w:val="single" w:sz="4" w:space="0" w:color="000000"/>
                                    <w:right w:val="single" w:sz="4" w:space="0" w:color="000000"/>
                                  </w:tcBorders>
                                </w:tcPr>
                                <w:p w14:paraId="6C96CFDB"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541A14" w14:paraId="73FDA461" w14:textId="77777777">
                              <w:trPr>
                                <w:trHeight w:val="475"/>
                              </w:trPr>
                              <w:tc>
                                <w:tcPr>
                                  <w:tcW w:w="457" w:type="dxa"/>
                                  <w:tcBorders>
                                    <w:top w:val="single" w:sz="4" w:space="0" w:color="000000"/>
                                    <w:left w:val="single" w:sz="4" w:space="0" w:color="000000"/>
                                    <w:bottom w:val="single" w:sz="4" w:space="0" w:color="000000"/>
                                    <w:right w:val="single" w:sz="4" w:space="0" w:color="000000"/>
                                  </w:tcBorders>
                                </w:tcPr>
                                <w:p w14:paraId="512D68B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7 </w:t>
                                  </w:r>
                                </w:p>
                              </w:tc>
                              <w:tc>
                                <w:tcPr>
                                  <w:tcW w:w="1420" w:type="dxa"/>
                                  <w:tcBorders>
                                    <w:top w:val="single" w:sz="4" w:space="0" w:color="000000"/>
                                    <w:left w:val="single" w:sz="4" w:space="0" w:color="000000"/>
                                    <w:bottom w:val="single" w:sz="4" w:space="0" w:color="000000"/>
                                    <w:right w:val="single" w:sz="4" w:space="0" w:color="000000"/>
                                  </w:tcBorders>
                                </w:tcPr>
                                <w:p w14:paraId="561793B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ULTRA QUICK LIGHT </w:t>
                                  </w:r>
                                </w:p>
                              </w:tc>
                              <w:tc>
                                <w:tcPr>
                                  <w:tcW w:w="1280" w:type="dxa"/>
                                  <w:tcBorders>
                                    <w:top w:val="single" w:sz="4" w:space="0" w:color="000000"/>
                                    <w:left w:val="single" w:sz="4" w:space="0" w:color="000000"/>
                                    <w:bottom w:val="single" w:sz="4" w:space="0" w:color="000000"/>
                                    <w:right w:val="single" w:sz="4" w:space="0" w:color="000000"/>
                                  </w:tcBorders>
                                </w:tcPr>
                                <w:p w14:paraId="6189CB42" w14:textId="77777777" w:rsidR="00541A14" w:rsidRDefault="00541A14">
                                  <w:pPr>
                                    <w:pStyle w:val="Default"/>
                                    <w:rPr>
                                      <w:rFonts w:cs="Times New Roman"/>
                                      <w:color w:val="auto"/>
                                    </w:rPr>
                                  </w:pPr>
                                </w:p>
                              </w:tc>
                              <w:tc>
                                <w:tcPr>
                                  <w:tcW w:w="2022" w:type="dxa"/>
                                  <w:tcBorders>
                                    <w:top w:val="single" w:sz="4" w:space="0" w:color="000000"/>
                                    <w:left w:val="single" w:sz="4" w:space="0" w:color="000000"/>
                                    <w:bottom w:val="single" w:sz="4" w:space="0" w:color="000000"/>
                                    <w:right w:val="single" w:sz="4" w:space="0" w:color="000000"/>
                                  </w:tcBorders>
                                </w:tcPr>
                                <w:p w14:paraId="7E479AA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flashesare repeated at a rate of not less than 160flashes per minute. </w:t>
                                  </w:r>
                                </w:p>
                              </w:tc>
                              <w:tc>
                                <w:tcPr>
                                  <w:tcW w:w="5812" w:type="dxa"/>
                                  <w:tcBorders>
                                    <w:top w:val="single" w:sz="4" w:space="0" w:color="000000"/>
                                    <w:left w:val="single" w:sz="4" w:space="0" w:color="000000"/>
                                    <w:bottom w:val="single" w:sz="4" w:space="0" w:color="000000"/>
                                    <w:right w:val="single" w:sz="4" w:space="0" w:color="000000"/>
                                  </w:tcBorders>
                                </w:tcPr>
                                <w:p w14:paraId="1C043C2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light in which flashes are repeated at a rate of not less than 240 flashes per minute and not more than 300 flashes per minute.</w:t>
                                  </w:r>
                                </w:p>
                              </w:tc>
                              <w:tc>
                                <w:tcPr>
                                  <w:tcW w:w="2062" w:type="dxa"/>
                                  <w:tcBorders>
                                    <w:top w:val="single" w:sz="4" w:space="0" w:color="000000"/>
                                    <w:left w:val="single" w:sz="4" w:space="0" w:color="000000"/>
                                    <w:bottom w:val="single" w:sz="4" w:space="0" w:color="000000"/>
                                    <w:right w:val="single" w:sz="4" w:space="0" w:color="000000"/>
                                  </w:tcBorders>
                                </w:tcPr>
                                <w:p w14:paraId="69837A74" w14:textId="77777777" w:rsidR="00541A14" w:rsidRDefault="00541A14">
                                  <w:pPr>
                                    <w:pStyle w:val="Default"/>
                                    <w:rPr>
                                      <w:rFonts w:cs="Times New Roman"/>
                                      <w:color w:val="auto"/>
                                    </w:rPr>
                                  </w:pPr>
                                </w:p>
                              </w:tc>
                            </w:tr>
                            <w:tr w:rsidR="00541A14" w14:paraId="40C282E9" w14:textId="77777777">
                              <w:trPr>
                                <w:trHeight w:val="367"/>
                              </w:trPr>
                              <w:tc>
                                <w:tcPr>
                                  <w:tcW w:w="457" w:type="dxa"/>
                                  <w:tcBorders>
                                    <w:top w:val="single" w:sz="4" w:space="0" w:color="000000"/>
                                    <w:left w:val="single" w:sz="4" w:space="0" w:color="000000"/>
                                    <w:bottom w:val="single" w:sz="4" w:space="0" w:color="000000"/>
                                    <w:right w:val="single" w:sz="4" w:space="0" w:color="000000"/>
                                  </w:tcBorders>
                                </w:tcPr>
                                <w:p w14:paraId="6498212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7.1 </w:t>
                                  </w:r>
                                </w:p>
                              </w:tc>
                              <w:tc>
                                <w:tcPr>
                                  <w:tcW w:w="1420" w:type="dxa"/>
                                  <w:tcBorders>
                                    <w:top w:val="single" w:sz="4" w:space="0" w:color="000000"/>
                                    <w:left w:val="single" w:sz="4" w:space="0" w:color="000000"/>
                                    <w:bottom w:val="single" w:sz="4" w:space="0" w:color="000000"/>
                                    <w:right w:val="single" w:sz="4" w:space="0" w:color="000000"/>
                                  </w:tcBorders>
                                </w:tcPr>
                                <w:p w14:paraId="3B3E035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Continuousultra quick light </w:t>
                                  </w:r>
                                </w:p>
                              </w:tc>
                              <w:tc>
                                <w:tcPr>
                                  <w:tcW w:w="1280" w:type="dxa"/>
                                  <w:tcBorders>
                                    <w:top w:val="single" w:sz="4" w:space="0" w:color="000000"/>
                                    <w:left w:val="single" w:sz="4" w:space="0" w:color="000000"/>
                                    <w:bottom w:val="single" w:sz="4" w:space="0" w:color="000000"/>
                                    <w:right w:val="single" w:sz="4" w:space="0" w:color="000000"/>
                                  </w:tcBorders>
                                </w:tcPr>
                                <w:p w14:paraId="5512A60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UQ </w:t>
                                  </w:r>
                                </w:p>
                              </w:tc>
                              <w:tc>
                                <w:tcPr>
                                  <w:tcW w:w="2022" w:type="dxa"/>
                                  <w:tcBorders>
                                    <w:top w:val="single" w:sz="4" w:space="0" w:color="000000"/>
                                    <w:left w:val="single" w:sz="4" w:space="0" w:color="000000"/>
                                    <w:bottom w:val="single" w:sz="4" w:space="0" w:color="000000"/>
                                    <w:right w:val="single" w:sz="4" w:space="0" w:color="000000"/>
                                  </w:tcBorders>
                                </w:tcPr>
                                <w:p w14:paraId="47772AD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An ultra quick lightin which a flash isregularly repeated.</w:t>
                                  </w:r>
                                </w:p>
                              </w:tc>
                              <w:tc>
                                <w:tcPr>
                                  <w:tcW w:w="5812" w:type="dxa"/>
                                  <w:tcBorders>
                                    <w:top w:val="single" w:sz="4" w:space="0" w:color="000000"/>
                                    <w:left w:val="single" w:sz="4" w:space="0" w:color="000000"/>
                                    <w:bottom w:val="single" w:sz="4" w:space="0" w:color="000000"/>
                                    <w:right w:val="single" w:sz="4" w:space="0" w:color="000000"/>
                                  </w:tcBorders>
                                </w:tcPr>
                                <w:p w14:paraId="41B32F9B" w14:textId="77777777" w:rsidR="00541A14" w:rsidRDefault="00541A14">
                                  <w:pPr>
                                    <w:pStyle w:val="Default"/>
                                    <w:rPr>
                                      <w:rFonts w:cs="Times New Roman"/>
                                      <w:color w:val="auto"/>
                                    </w:rPr>
                                  </w:pPr>
                                </w:p>
                              </w:tc>
                              <w:tc>
                                <w:tcPr>
                                  <w:tcW w:w="2062" w:type="dxa"/>
                                  <w:tcBorders>
                                    <w:top w:val="single" w:sz="4" w:space="0" w:color="000000"/>
                                    <w:left w:val="single" w:sz="4" w:space="0" w:color="000000"/>
                                    <w:bottom w:val="single" w:sz="4" w:space="0" w:color="000000"/>
                                    <w:right w:val="single" w:sz="4" w:space="0" w:color="000000"/>
                                  </w:tcBorders>
                                </w:tcPr>
                                <w:p w14:paraId="12361B50" w14:textId="77777777" w:rsidR="00541A14" w:rsidRDefault="00541A14">
                                  <w:pPr>
                                    <w:pStyle w:val="Default"/>
                                    <w:rPr>
                                      <w:rFonts w:cs="Times New Roman"/>
                                      <w:color w:val="auto"/>
                                    </w:rPr>
                                  </w:pPr>
                                </w:p>
                              </w:tc>
                            </w:tr>
                            <w:tr w:rsidR="00541A14" w14:paraId="72F5EEE6" w14:textId="77777777">
                              <w:trPr>
                                <w:trHeight w:val="1043"/>
                              </w:trPr>
                              <w:tc>
                                <w:tcPr>
                                  <w:tcW w:w="457" w:type="dxa"/>
                                  <w:tcBorders>
                                    <w:top w:val="single" w:sz="4" w:space="0" w:color="000000"/>
                                    <w:left w:val="single" w:sz="4" w:space="0" w:color="000000"/>
                                    <w:bottom w:val="single" w:sz="4" w:space="0" w:color="000000"/>
                                    <w:right w:val="single" w:sz="4" w:space="0" w:color="000000"/>
                                  </w:tcBorders>
                                </w:tcPr>
                                <w:p w14:paraId="0124FCF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8 </w:t>
                                  </w:r>
                                </w:p>
                              </w:tc>
                              <w:tc>
                                <w:tcPr>
                                  <w:tcW w:w="1420" w:type="dxa"/>
                                  <w:tcBorders>
                                    <w:top w:val="single" w:sz="4" w:space="0" w:color="000000"/>
                                    <w:left w:val="single" w:sz="4" w:space="0" w:color="000000"/>
                                    <w:bottom w:val="single" w:sz="4" w:space="0" w:color="000000"/>
                                    <w:right w:val="single" w:sz="4" w:space="0" w:color="000000"/>
                                  </w:tcBorders>
                                </w:tcPr>
                                <w:p w14:paraId="030A2F4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MORSE CODELIGHT </w:t>
                                  </w:r>
                                </w:p>
                              </w:tc>
                              <w:tc>
                                <w:tcPr>
                                  <w:tcW w:w="1280" w:type="dxa"/>
                                  <w:tcBorders>
                                    <w:top w:val="single" w:sz="4" w:space="0" w:color="000000"/>
                                    <w:left w:val="single" w:sz="4" w:space="0" w:color="000000"/>
                                    <w:bottom w:val="single" w:sz="4" w:space="0" w:color="000000"/>
                                    <w:right w:val="single" w:sz="4" w:space="0" w:color="000000"/>
                                  </w:tcBorders>
                                </w:tcPr>
                                <w:p w14:paraId="38C5A26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Mo(#)eg. Mo(A) </w:t>
                                  </w:r>
                                </w:p>
                              </w:tc>
                              <w:tc>
                                <w:tcPr>
                                  <w:tcW w:w="2022" w:type="dxa"/>
                                  <w:tcBorders>
                                    <w:top w:val="single" w:sz="4" w:space="0" w:color="000000"/>
                                    <w:left w:val="single" w:sz="4" w:space="0" w:color="000000"/>
                                    <w:bottom w:val="single" w:sz="4" w:space="0" w:color="000000"/>
                                    <w:right w:val="single" w:sz="4" w:space="0" w:color="000000"/>
                                  </w:tcBorders>
                                </w:tcPr>
                                <w:p w14:paraId="10F4DB7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whichappearances oflight of two clearlydifferent durations are grouped to represent a character or characters in theMorse Code. </w:t>
                                  </w:r>
                                </w:p>
                              </w:tc>
                              <w:tc>
                                <w:tcPr>
                                  <w:tcW w:w="5812" w:type="dxa"/>
                                  <w:tcBorders>
                                    <w:top w:val="single" w:sz="4" w:space="0" w:color="000000"/>
                                    <w:left w:val="single" w:sz="4" w:space="0" w:color="000000"/>
                                    <w:bottom w:val="single" w:sz="4" w:space="0" w:color="000000"/>
                                    <w:right w:val="single" w:sz="4" w:space="0" w:color="000000"/>
                                  </w:tcBorders>
                                </w:tcPr>
                                <w:p w14:paraId="1C9447BD"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 xml:space="preserve">Light characters should be restricted to a single letter in the Morse Code in general, and should be two letters only as an exception.The duration of a “dot” should be about 0.5 s, and the duration of a“dash” should not be less than three times the duration of a “dot”. </w:t>
                                  </w:r>
                                  <w:r>
                                    <w:rPr>
                                      <w:rFonts w:ascii="Helvetica 55 Roman" w:hAnsi="Helvetica 55 Roman" w:cs="Helvetica 55 Roman"/>
                                      <w:sz w:val="12"/>
                                      <w:szCs w:val="12"/>
                                    </w:rPr>
                                    <w:t xml:space="preserve">l’  3 l d  ll = 0.5 s Mo(A) Example: l’ = 1.5 s; l = 0.5 s; d = 0.5 s; d’ = 4.5 s; p = 7 s </w:t>
                                  </w:r>
                                </w:p>
                              </w:tc>
                              <w:tc>
                                <w:tcPr>
                                  <w:tcW w:w="2062" w:type="dxa"/>
                                  <w:tcBorders>
                                    <w:top w:val="single" w:sz="4" w:space="0" w:color="000000"/>
                                    <w:left w:val="single" w:sz="4" w:space="0" w:color="000000"/>
                                    <w:bottom w:val="single" w:sz="4" w:space="0" w:color="000000"/>
                                    <w:right w:val="single" w:sz="4" w:space="0" w:color="000000"/>
                                  </w:tcBorders>
                                </w:tcPr>
                                <w:p w14:paraId="7F90D98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Morse Code Whitelight with the singlecharacter “A” indicatesa safe water mark.A Morse Code Yellowlight, but not with eitherof the single characters“A” or “U”*, indicates aspecial mark. </w:t>
                                  </w:r>
                                </w:p>
                              </w:tc>
                            </w:tr>
                            <w:tr w:rsidR="00541A14" w14:paraId="38918028" w14:textId="77777777">
                              <w:trPr>
                                <w:trHeight w:val="906"/>
                              </w:trPr>
                              <w:tc>
                                <w:tcPr>
                                  <w:tcW w:w="457" w:type="dxa"/>
                                  <w:tcBorders>
                                    <w:top w:val="single" w:sz="4" w:space="0" w:color="000000"/>
                                    <w:left w:val="single" w:sz="4" w:space="0" w:color="000000"/>
                                    <w:bottom w:val="single" w:sz="4" w:space="0" w:color="000000"/>
                                    <w:right w:val="single" w:sz="4" w:space="0" w:color="000000"/>
                                  </w:tcBorders>
                                </w:tcPr>
                                <w:p w14:paraId="5FDAEC4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 </w:t>
                                  </w:r>
                                </w:p>
                              </w:tc>
                              <w:tc>
                                <w:tcPr>
                                  <w:tcW w:w="1420" w:type="dxa"/>
                                  <w:tcBorders>
                                    <w:top w:val="single" w:sz="4" w:space="0" w:color="000000"/>
                                    <w:left w:val="single" w:sz="4" w:space="0" w:color="000000"/>
                                    <w:bottom w:val="single" w:sz="4" w:space="0" w:color="000000"/>
                                    <w:right w:val="single" w:sz="4" w:space="0" w:color="000000"/>
                                  </w:tcBorders>
                                </w:tcPr>
                                <w:p w14:paraId="6CA67FC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FIXED ANDFLASHINGLIGHT </w:t>
                                  </w:r>
                                </w:p>
                              </w:tc>
                              <w:tc>
                                <w:tcPr>
                                  <w:tcW w:w="1280" w:type="dxa"/>
                                  <w:tcBorders>
                                    <w:top w:val="single" w:sz="4" w:space="0" w:color="000000"/>
                                    <w:left w:val="single" w:sz="4" w:space="0" w:color="000000"/>
                                    <w:bottom w:val="single" w:sz="4" w:space="0" w:color="000000"/>
                                    <w:right w:val="single" w:sz="4" w:space="0" w:color="000000"/>
                                  </w:tcBorders>
                                </w:tcPr>
                                <w:p w14:paraId="4A820E4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FFl </w:t>
                                  </w:r>
                                </w:p>
                              </w:tc>
                              <w:tc>
                                <w:tcPr>
                                  <w:tcW w:w="2022" w:type="dxa"/>
                                  <w:tcBorders>
                                    <w:top w:val="single" w:sz="4" w:space="0" w:color="000000"/>
                                    <w:left w:val="single" w:sz="4" w:space="0" w:color="000000"/>
                                    <w:bottom w:val="single" w:sz="4" w:space="0" w:color="000000"/>
                                    <w:right w:val="single" w:sz="4" w:space="0" w:color="000000"/>
                                  </w:tcBorders>
                                </w:tcPr>
                                <w:p w14:paraId="7A69965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a fixedlight is combinedwith a flashing lightof’ higher luminous intensity. </w:t>
                                  </w:r>
                                </w:p>
                              </w:tc>
                              <w:tc>
                                <w:tcPr>
                                  <w:tcW w:w="5812" w:type="dxa"/>
                                  <w:tcBorders>
                                    <w:top w:val="single" w:sz="4" w:space="0" w:color="000000"/>
                                    <w:left w:val="single" w:sz="4" w:space="0" w:color="000000"/>
                                    <w:bottom w:val="single" w:sz="4" w:space="0" w:color="000000"/>
                                    <w:right w:val="single" w:sz="4" w:space="0" w:color="000000"/>
                                  </w:tcBorders>
                                </w:tcPr>
                                <w:p w14:paraId="3FBAB4A5" w14:textId="77777777" w:rsidR="00541A14"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 xml:space="preserve">This class of light character should be used with care because the fixed component of the light may not be visible at all times over the same distance as the rhythmic component. </w:t>
                                  </w:r>
                                  <w:r>
                                    <w:rPr>
                                      <w:rFonts w:ascii="Helvetica 55 Roman" w:hAnsi="Helvetica 55 Roman" w:cs="Helvetica 55 Roman"/>
                                      <w:sz w:val="12"/>
                                      <w:szCs w:val="12"/>
                                    </w:rPr>
                                    <w:t xml:space="preserve">d  3 l l 1 s </w:t>
                                  </w:r>
                                </w:p>
                              </w:tc>
                              <w:tc>
                                <w:tcPr>
                                  <w:tcW w:w="2062" w:type="dxa"/>
                                  <w:tcBorders>
                                    <w:top w:val="single" w:sz="4" w:space="0" w:color="000000"/>
                                    <w:left w:val="single" w:sz="4" w:space="0" w:color="000000"/>
                                    <w:bottom w:val="single" w:sz="4" w:space="0" w:color="000000"/>
                                    <w:right w:val="single" w:sz="4" w:space="0" w:color="000000"/>
                                  </w:tcBorders>
                                </w:tcPr>
                                <w:p w14:paraId="78B0FAC6" w14:textId="77777777" w:rsidR="00541A14" w:rsidRDefault="00541A14">
                                  <w:pPr>
                                    <w:pStyle w:val="Default"/>
                                    <w:rPr>
                                      <w:rFonts w:cs="Times New Roman"/>
                                      <w:color w:val="auto"/>
                                    </w:rPr>
                                  </w:pPr>
                                </w:p>
                              </w:tc>
                            </w:tr>
                            <w:tr w:rsidR="00541A14" w14:paraId="479CC16D" w14:textId="77777777">
                              <w:trPr>
                                <w:trHeight w:val="907"/>
                              </w:trPr>
                              <w:tc>
                                <w:tcPr>
                                  <w:tcW w:w="457" w:type="dxa"/>
                                  <w:tcBorders>
                                    <w:top w:val="single" w:sz="4" w:space="0" w:color="000000"/>
                                    <w:left w:val="single" w:sz="4" w:space="0" w:color="000000"/>
                                    <w:bottom w:val="single" w:sz="4" w:space="0" w:color="000000"/>
                                    <w:right w:val="single" w:sz="4" w:space="0" w:color="000000"/>
                                  </w:tcBorders>
                                </w:tcPr>
                                <w:p w14:paraId="40EE4CA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w:t>
                                  </w:r>
                                </w:p>
                              </w:tc>
                              <w:tc>
                                <w:tcPr>
                                  <w:tcW w:w="1420" w:type="dxa"/>
                                  <w:tcBorders>
                                    <w:top w:val="single" w:sz="4" w:space="0" w:color="000000"/>
                                    <w:left w:val="single" w:sz="4" w:space="0" w:color="000000"/>
                                    <w:bottom w:val="single" w:sz="4" w:space="0" w:color="000000"/>
                                    <w:right w:val="single" w:sz="4" w:space="0" w:color="000000"/>
                                  </w:tcBorders>
                                </w:tcPr>
                                <w:p w14:paraId="11009A5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ALTERNATING LIGHT </w:t>
                                  </w:r>
                                </w:p>
                              </w:tc>
                              <w:tc>
                                <w:tcPr>
                                  <w:tcW w:w="1280" w:type="dxa"/>
                                  <w:tcBorders>
                                    <w:top w:val="single" w:sz="4" w:space="0" w:color="000000"/>
                                    <w:left w:val="single" w:sz="4" w:space="0" w:color="000000"/>
                                    <w:bottom w:val="single" w:sz="4" w:space="0" w:color="000000"/>
                                    <w:right w:val="single" w:sz="4" w:space="0" w:color="000000"/>
                                  </w:tcBorders>
                                </w:tcPr>
                                <w:p w14:paraId="5F2E8B8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Al##eg A1WR </w:t>
                                  </w:r>
                                </w:p>
                              </w:tc>
                              <w:tc>
                                <w:tcPr>
                                  <w:tcW w:w="2022" w:type="dxa"/>
                                  <w:tcBorders>
                                    <w:top w:val="single" w:sz="4" w:space="0" w:color="000000"/>
                                    <w:left w:val="single" w:sz="4" w:space="0" w:color="000000"/>
                                    <w:bottom w:val="single" w:sz="4" w:space="0" w:color="000000"/>
                                    <w:right w:val="single" w:sz="4" w:space="0" w:color="000000"/>
                                  </w:tcBorders>
                                </w:tcPr>
                                <w:p w14:paraId="17AB4DD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showingdifferent colours alternately. </w:t>
                                  </w:r>
                                </w:p>
                              </w:tc>
                              <w:tc>
                                <w:tcPr>
                                  <w:tcW w:w="5812" w:type="dxa"/>
                                  <w:tcBorders>
                                    <w:top w:val="single" w:sz="4" w:space="0" w:color="000000"/>
                                    <w:left w:val="single" w:sz="4" w:space="0" w:color="000000"/>
                                    <w:bottom w:val="single" w:sz="4" w:space="0" w:color="000000"/>
                                    <w:right w:val="single" w:sz="4" w:space="0" w:color="000000"/>
                                  </w:tcBorders>
                                </w:tcPr>
                                <w:p w14:paraId="21D56FB2" w14:textId="77777777" w:rsidR="00541A14" w:rsidRDefault="00A450E1">
                                  <w:pPr>
                                    <w:pStyle w:val="Default"/>
                                    <w:rPr>
                                      <w:rFonts w:ascii="Mshtakan" w:hAnsi="Mshtakan" w:cs="Mshtakan"/>
                                      <w:sz w:val="12"/>
                                      <w:szCs w:val="12"/>
                                    </w:rPr>
                                  </w:pPr>
                                  <w:r>
                                    <w:rPr>
                                      <w:rFonts w:ascii="Helvetica 55 Roman" w:hAnsi="Helvetica 55 Roman" w:cs="Helvetica 55 Roman"/>
                                      <w:sz w:val="18"/>
                                      <w:szCs w:val="18"/>
                                    </w:rPr>
                                    <w:t xml:space="preserve">This class of light character should be used with care, and efforts should be made to ensure that the different colours appear equally visible to an observer. </w:t>
                                  </w:r>
                                  <w:r>
                                    <w:rPr>
                                      <w:rFonts w:ascii="Helvetica 55 Roman" w:hAnsi="Helvetica 55 Roman" w:cs="Helvetica 55 Roman"/>
                                      <w:sz w:val="12"/>
                                      <w:szCs w:val="12"/>
                                    </w:rPr>
                                    <w:t xml:space="preserve">Example: l = d = 2 s; p = 4 s AlWR l </w:t>
                                  </w:r>
                                  <w:r>
                                    <w:rPr>
                                      <w:rFonts w:ascii="Mshtakan" w:hAnsi="Mshtakan" w:cs="Mshtakan"/>
                                      <w:sz w:val="12"/>
                                      <w:szCs w:val="12"/>
                                    </w:rPr>
                                    <w:t>=</w:t>
                                  </w:r>
                                  <w:r>
                                    <w:rPr>
                                      <w:rFonts w:ascii="Helvetica 55 Roman" w:hAnsi="Helvetica 55 Roman" w:cs="Helvetica 55 Roman"/>
                                      <w:sz w:val="12"/>
                                      <w:szCs w:val="12"/>
                                    </w:rPr>
                                    <w:t>d</w:t>
                                  </w:r>
                                  <w:r>
                                    <w:rPr>
                                      <w:rFonts w:ascii="Mshtakan" w:hAnsi="Mshtakan" w:cs="Mshtakan"/>
                                      <w:sz w:val="12"/>
                                      <w:szCs w:val="12"/>
                                    </w:rPr>
                                    <w:t xml:space="preserve">~ </w:t>
                                  </w:r>
                                </w:p>
                              </w:tc>
                              <w:tc>
                                <w:tcPr>
                                  <w:tcW w:w="2062" w:type="dxa"/>
                                  <w:tcBorders>
                                    <w:top w:val="single" w:sz="4" w:space="0" w:color="000000"/>
                                    <w:left w:val="single" w:sz="4" w:space="0" w:color="000000"/>
                                    <w:bottom w:val="single" w:sz="4" w:space="0" w:color="000000"/>
                                    <w:right w:val="single" w:sz="4" w:space="0" w:color="000000"/>
                                  </w:tcBorders>
                                </w:tcPr>
                                <w:p w14:paraId="142AC38D" w14:textId="77777777" w:rsidR="00541A14" w:rsidRDefault="00541A14">
                                  <w:pPr>
                                    <w:pStyle w:val="Default"/>
                                    <w:rPr>
                                      <w:rFonts w:cs="Times New Roman"/>
                                      <w:color w:val="auto"/>
                                    </w:rPr>
                                  </w:pPr>
                                </w:p>
                              </w:tc>
                            </w:tr>
                          </w:tbl>
                          <w:p w14:paraId="36EC1C5D"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7" type="#_x0000_t202" style="position:absolute;margin-left:59.85pt;margin-top:118.2pt;width:692.65pt;height:772.8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32"/>
                        <w:gridCol w:w="473"/>
                        <w:gridCol w:w="115"/>
                        <w:gridCol w:w="42"/>
                        <w:gridCol w:w="33"/>
                        <w:gridCol w:w="120"/>
                        <w:gridCol w:w="182"/>
                        <w:gridCol w:w="5"/>
                        <w:gridCol w:w="28"/>
                        <w:gridCol w:w="70"/>
                        <w:gridCol w:w="65"/>
                        <w:gridCol w:w="117"/>
                        <w:gridCol w:w="50"/>
                        <w:gridCol w:w="10"/>
                        <w:gridCol w:w="110"/>
                        <w:gridCol w:w="15"/>
                        <w:gridCol w:w="55"/>
                        <w:gridCol w:w="20"/>
                        <w:gridCol w:w="50"/>
                        <w:gridCol w:w="50"/>
                        <w:gridCol w:w="118"/>
                        <w:gridCol w:w="95"/>
                        <w:gridCol w:w="2"/>
                        <w:gridCol w:w="33"/>
                        <w:gridCol w:w="155"/>
                        <w:gridCol w:w="20"/>
                        <w:gridCol w:w="197"/>
                        <w:gridCol w:w="112"/>
                        <w:gridCol w:w="5"/>
                        <w:gridCol w:w="123"/>
                        <w:gridCol w:w="22"/>
                        <w:gridCol w:w="15"/>
                        <w:gridCol w:w="73"/>
                        <w:gridCol w:w="120"/>
                        <w:gridCol w:w="72"/>
                        <w:gridCol w:w="235"/>
                        <w:gridCol w:w="5"/>
                        <w:gridCol w:w="60"/>
                        <w:gridCol w:w="237"/>
                        <w:gridCol w:w="38"/>
                        <w:gridCol w:w="15"/>
                        <w:gridCol w:w="25"/>
                        <w:gridCol w:w="50"/>
                        <w:gridCol w:w="103"/>
                        <w:gridCol w:w="33"/>
                        <w:gridCol w:w="234"/>
                        <w:gridCol w:w="5"/>
                        <w:gridCol w:w="5"/>
                        <w:gridCol w:w="12"/>
                        <w:gridCol w:w="47"/>
                        <w:gridCol w:w="168"/>
                        <w:gridCol w:w="48"/>
                        <w:gridCol w:w="4"/>
                        <w:gridCol w:w="110"/>
                        <w:gridCol w:w="12"/>
                        <w:gridCol w:w="108"/>
                        <w:gridCol w:w="4"/>
                        <w:gridCol w:w="362"/>
                        <w:gridCol w:w="30"/>
                        <w:gridCol w:w="18"/>
                        <w:gridCol w:w="89"/>
                        <w:gridCol w:w="47"/>
                        <w:gridCol w:w="355"/>
                        <w:gridCol w:w="10"/>
                        <w:gridCol w:w="207"/>
                        <w:gridCol w:w="86"/>
                        <w:gridCol w:w="70"/>
                        <w:gridCol w:w="8"/>
                        <w:gridCol w:w="78"/>
                        <w:gridCol w:w="152"/>
                        <w:gridCol w:w="122"/>
                        <w:gridCol w:w="157"/>
                        <w:gridCol w:w="183"/>
                        <w:gridCol w:w="55"/>
                        <w:gridCol w:w="2"/>
                        <w:gridCol w:w="283"/>
                        <w:gridCol w:w="254"/>
                        <w:gridCol w:w="76"/>
                        <w:gridCol w:w="119"/>
                        <w:gridCol w:w="23"/>
                        <w:gridCol w:w="1086"/>
                        <w:gridCol w:w="161"/>
                        <w:gridCol w:w="173"/>
                        <w:gridCol w:w="71"/>
                        <w:gridCol w:w="6"/>
                        <w:gridCol w:w="13"/>
                        <w:gridCol w:w="2"/>
                        <w:gridCol w:w="8"/>
                        <w:gridCol w:w="76"/>
                        <w:gridCol w:w="1845"/>
                        <w:gridCol w:w="2062"/>
                      </w:tblGrid>
                      <w:tr w:rsidR="00000000" w14:paraId="70B0FED7" w14:textId="77777777">
                        <w:tblPrEx>
                          <w:tblCellMar>
                            <w:top w:w="0" w:type="dxa"/>
                            <w:bottom w:w="0" w:type="dxa"/>
                          </w:tblCellMar>
                        </w:tblPrEx>
                        <w:trPr>
                          <w:wAfter w:w="13" w:type="dxa"/>
                          <w:trHeight w:val="372"/>
                        </w:trPr>
                        <w:tc>
                          <w:tcPr>
                            <w:tcW w:w="457" w:type="dxa"/>
                            <w:gridSpan w:val="2"/>
                            <w:tcBorders>
                              <w:top w:val="single" w:sz="4" w:space="0" w:color="000000"/>
                              <w:left w:val="single" w:sz="4" w:space="0" w:color="000000"/>
                              <w:bottom w:val="single" w:sz="4" w:space="0" w:color="000000"/>
                              <w:right w:val="single" w:sz="4" w:space="0" w:color="000000"/>
                            </w:tcBorders>
                          </w:tcPr>
                          <w:p w14:paraId="2036F22E" w14:textId="77777777" w:rsidR="00000000" w:rsidRDefault="00A450E1">
                            <w:pPr>
                              <w:pStyle w:val="Default"/>
                              <w:rPr>
                                <w:rFonts w:cs="Times New Roman"/>
                                <w:color w:val="auto"/>
                              </w:rPr>
                            </w:pPr>
                          </w:p>
                        </w:tc>
                        <w:tc>
                          <w:tcPr>
                            <w:tcW w:w="1420" w:type="dxa"/>
                            <w:gridSpan w:val="14"/>
                            <w:tcBorders>
                              <w:top w:val="single" w:sz="4" w:space="0" w:color="000000"/>
                              <w:left w:val="single" w:sz="4" w:space="0" w:color="000000"/>
                              <w:bottom w:val="single" w:sz="4" w:space="0" w:color="000000"/>
                              <w:right w:val="single" w:sz="4" w:space="0" w:color="000000"/>
                            </w:tcBorders>
                            <w:vAlign w:val="center"/>
                          </w:tcPr>
                          <w:p w14:paraId="76F57FC9"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Class </w:t>
                            </w:r>
                          </w:p>
                        </w:tc>
                        <w:tc>
                          <w:tcPr>
                            <w:tcW w:w="1280" w:type="dxa"/>
                            <w:gridSpan w:val="19"/>
                            <w:tcBorders>
                              <w:top w:val="single" w:sz="4" w:space="0" w:color="000000"/>
                              <w:left w:val="single" w:sz="4" w:space="0" w:color="000000"/>
                              <w:bottom w:val="single" w:sz="4" w:space="0" w:color="000000"/>
                              <w:right w:val="single" w:sz="4" w:space="0" w:color="000000"/>
                            </w:tcBorders>
                            <w:vAlign w:val="center"/>
                          </w:tcPr>
                          <w:p w14:paraId="4334413F"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Abbre</w:t>
                            </w:r>
                            <w:r>
                              <w:rPr>
                                <w:rFonts w:ascii="Helvetica 65 Medium" w:hAnsi="Helvetica 65 Medium" w:cs="Helvetica 65 Medium"/>
                                <w:sz w:val="18"/>
                                <w:szCs w:val="18"/>
                              </w:rPr>
                              <w:softHyphen/>
                              <w:t xml:space="preserve">viation </w:t>
                            </w:r>
                          </w:p>
                        </w:tc>
                        <w:tc>
                          <w:tcPr>
                            <w:tcW w:w="2022" w:type="dxa"/>
                            <w:gridSpan w:val="25"/>
                            <w:tcBorders>
                              <w:top w:val="single" w:sz="4" w:space="0" w:color="000000"/>
                              <w:left w:val="single" w:sz="4" w:space="0" w:color="000000"/>
                              <w:bottom w:val="single" w:sz="4" w:space="0" w:color="000000"/>
                              <w:right w:val="single" w:sz="4" w:space="0" w:color="000000"/>
                            </w:tcBorders>
                            <w:vAlign w:val="center"/>
                          </w:tcPr>
                          <w:p w14:paraId="46B7F836"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General description </w:t>
                            </w:r>
                          </w:p>
                        </w:tc>
                        <w:tc>
                          <w:tcPr>
                            <w:tcW w:w="5812" w:type="dxa"/>
                            <w:gridSpan w:val="31"/>
                            <w:tcBorders>
                              <w:top w:val="single" w:sz="4" w:space="0" w:color="000000"/>
                              <w:left w:val="single" w:sz="4" w:space="0" w:color="000000"/>
                              <w:bottom w:val="single" w:sz="4" w:space="0" w:color="000000"/>
                              <w:right w:val="single" w:sz="4" w:space="0" w:color="000000"/>
                            </w:tcBorders>
                            <w:vAlign w:val="center"/>
                          </w:tcPr>
                          <w:p w14:paraId="1AB9FFCB"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IALA Specification </w:t>
                            </w:r>
                          </w:p>
                        </w:tc>
                        <w:tc>
                          <w:tcPr>
                            <w:tcW w:w="2062" w:type="dxa"/>
                            <w:tcBorders>
                              <w:top w:val="single" w:sz="4" w:space="0" w:color="000000"/>
                              <w:left w:val="single" w:sz="4" w:space="0" w:color="000000"/>
                              <w:bottom w:val="single" w:sz="4" w:space="0" w:color="000000"/>
                              <w:right w:val="single" w:sz="4" w:space="0" w:color="000000"/>
                            </w:tcBorders>
                          </w:tcPr>
                          <w:p w14:paraId="6C96CFDB"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Particular use inthe IALA MaritimeBuoyage System</w:t>
                            </w:r>
                          </w:p>
                        </w:tc>
                      </w:tr>
                      <w:tr w:rsidR="00000000" w14:paraId="73FDA461" w14:textId="77777777">
                        <w:tblPrEx>
                          <w:tblCellMar>
                            <w:top w:w="0" w:type="dxa"/>
                            <w:bottom w:w="0" w:type="dxa"/>
                          </w:tblCellMar>
                        </w:tblPrEx>
                        <w:trPr>
                          <w:wAfter w:w="13" w:type="dxa"/>
                          <w:trHeight w:val="475"/>
                        </w:trPr>
                        <w:tc>
                          <w:tcPr>
                            <w:tcW w:w="457" w:type="dxa"/>
                            <w:gridSpan w:val="2"/>
                            <w:tcBorders>
                              <w:top w:val="single" w:sz="4" w:space="0" w:color="000000"/>
                              <w:left w:val="single" w:sz="4" w:space="0" w:color="000000"/>
                              <w:bottom w:val="single" w:sz="4" w:space="0" w:color="000000"/>
                              <w:right w:val="single" w:sz="4" w:space="0" w:color="000000"/>
                            </w:tcBorders>
                          </w:tcPr>
                          <w:p w14:paraId="512D68BA"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7 </w:t>
                            </w:r>
                          </w:p>
                        </w:tc>
                        <w:tc>
                          <w:tcPr>
                            <w:tcW w:w="1420" w:type="dxa"/>
                            <w:gridSpan w:val="14"/>
                            <w:tcBorders>
                              <w:top w:val="single" w:sz="4" w:space="0" w:color="000000"/>
                              <w:left w:val="single" w:sz="4" w:space="0" w:color="000000"/>
                              <w:bottom w:val="single" w:sz="4" w:space="0" w:color="000000"/>
                              <w:right w:val="single" w:sz="4" w:space="0" w:color="000000"/>
                            </w:tcBorders>
                          </w:tcPr>
                          <w:p w14:paraId="561793B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ULTRA QUICK LIGHT </w:t>
                            </w:r>
                          </w:p>
                        </w:tc>
                        <w:tc>
                          <w:tcPr>
                            <w:tcW w:w="1280" w:type="dxa"/>
                            <w:gridSpan w:val="19"/>
                            <w:tcBorders>
                              <w:top w:val="single" w:sz="4" w:space="0" w:color="000000"/>
                              <w:left w:val="single" w:sz="4" w:space="0" w:color="000000"/>
                              <w:bottom w:val="single" w:sz="4" w:space="0" w:color="000000"/>
                              <w:right w:val="single" w:sz="4" w:space="0" w:color="000000"/>
                            </w:tcBorders>
                          </w:tcPr>
                          <w:p w14:paraId="6189CB42" w14:textId="77777777" w:rsidR="00000000" w:rsidRDefault="00A450E1">
                            <w:pPr>
                              <w:pStyle w:val="Default"/>
                              <w:rPr>
                                <w:rFonts w:cs="Times New Roman"/>
                                <w:color w:val="auto"/>
                              </w:rPr>
                            </w:pPr>
                          </w:p>
                        </w:tc>
                        <w:tc>
                          <w:tcPr>
                            <w:tcW w:w="2022" w:type="dxa"/>
                            <w:gridSpan w:val="25"/>
                            <w:tcBorders>
                              <w:top w:val="single" w:sz="4" w:space="0" w:color="000000"/>
                              <w:left w:val="single" w:sz="4" w:space="0" w:color="000000"/>
                              <w:bottom w:val="single" w:sz="4" w:space="0" w:color="000000"/>
                              <w:right w:val="single" w:sz="4" w:space="0" w:color="000000"/>
                            </w:tcBorders>
                          </w:tcPr>
                          <w:p w14:paraId="7E479AA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flashesare repeated at a rate of not less than 160flashes per minute. </w:t>
                            </w:r>
                          </w:p>
                        </w:tc>
                        <w:tc>
                          <w:tcPr>
                            <w:tcW w:w="5812" w:type="dxa"/>
                            <w:gridSpan w:val="31"/>
                            <w:tcBorders>
                              <w:top w:val="single" w:sz="4" w:space="0" w:color="000000"/>
                              <w:left w:val="single" w:sz="4" w:space="0" w:color="000000"/>
                              <w:bottom w:val="single" w:sz="4" w:space="0" w:color="000000"/>
                              <w:right w:val="single" w:sz="4" w:space="0" w:color="000000"/>
                            </w:tcBorders>
                          </w:tcPr>
                          <w:p w14:paraId="1C043C2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light in which flashes are repeated at a rate of not less than 240 flashes per minute and not more than 300 flashes per minute.</w:t>
                            </w:r>
                          </w:p>
                        </w:tc>
                        <w:tc>
                          <w:tcPr>
                            <w:tcW w:w="2062" w:type="dxa"/>
                            <w:tcBorders>
                              <w:top w:val="single" w:sz="4" w:space="0" w:color="000000"/>
                              <w:left w:val="single" w:sz="4" w:space="0" w:color="000000"/>
                              <w:bottom w:val="single" w:sz="4" w:space="0" w:color="000000"/>
                              <w:right w:val="single" w:sz="4" w:space="0" w:color="000000"/>
                            </w:tcBorders>
                          </w:tcPr>
                          <w:p w14:paraId="69837A74" w14:textId="77777777" w:rsidR="00000000" w:rsidRDefault="00A450E1">
                            <w:pPr>
                              <w:pStyle w:val="Default"/>
                              <w:rPr>
                                <w:rFonts w:cs="Times New Roman"/>
                                <w:color w:val="auto"/>
                              </w:rPr>
                            </w:pPr>
                          </w:p>
                        </w:tc>
                      </w:tr>
                      <w:tr w:rsidR="00000000" w14:paraId="40C282E9" w14:textId="77777777">
                        <w:tblPrEx>
                          <w:tblCellMar>
                            <w:top w:w="0" w:type="dxa"/>
                            <w:bottom w:w="0" w:type="dxa"/>
                          </w:tblCellMar>
                        </w:tblPrEx>
                        <w:trPr>
                          <w:wAfter w:w="13" w:type="dxa"/>
                          <w:trHeight w:val="367"/>
                        </w:trPr>
                        <w:tc>
                          <w:tcPr>
                            <w:tcW w:w="457" w:type="dxa"/>
                            <w:gridSpan w:val="2"/>
                            <w:tcBorders>
                              <w:top w:val="single" w:sz="4" w:space="0" w:color="000000"/>
                              <w:left w:val="single" w:sz="4" w:space="0" w:color="000000"/>
                              <w:bottom w:val="single" w:sz="4" w:space="0" w:color="000000"/>
                              <w:right w:val="single" w:sz="4" w:space="0" w:color="000000"/>
                            </w:tcBorders>
                          </w:tcPr>
                          <w:p w14:paraId="6498212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7.1 </w:t>
                            </w:r>
                          </w:p>
                        </w:tc>
                        <w:tc>
                          <w:tcPr>
                            <w:tcW w:w="1420" w:type="dxa"/>
                            <w:gridSpan w:val="14"/>
                            <w:tcBorders>
                              <w:top w:val="single" w:sz="4" w:space="0" w:color="000000"/>
                              <w:left w:val="single" w:sz="4" w:space="0" w:color="000000"/>
                              <w:bottom w:val="single" w:sz="4" w:space="0" w:color="000000"/>
                              <w:right w:val="single" w:sz="4" w:space="0" w:color="000000"/>
                            </w:tcBorders>
                          </w:tcPr>
                          <w:p w14:paraId="3B3E035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Continuousultra quick light </w:t>
                            </w:r>
                          </w:p>
                        </w:tc>
                        <w:tc>
                          <w:tcPr>
                            <w:tcW w:w="1280" w:type="dxa"/>
                            <w:gridSpan w:val="19"/>
                            <w:tcBorders>
                              <w:top w:val="single" w:sz="4" w:space="0" w:color="000000"/>
                              <w:left w:val="single" w:sz="4" w:space="0" w:color="000000"/>
                              <w:bottom w:val="single" w:sz="4" w:space="0" w:color="000000"/>
                              <w:right w:val="single" w:sz="4" w:space="0" w:color="000000"/>
                            </w:tcBorders>
                          </w:tcPr>
                          <w:p w14:paraId="5512A60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UQ </w:t>
                            </w:r>
                          </w:p>
                        </w:tc>
                        <w:tc>
                          <w:tcPr>
                            <w:tcW w:w="2022" w:type="dxa"/>
                            <w:gridSpan w:val="25"/>
                            <w:tcBorders>
                              <w:top w:val="single" w:sz="4" w:space="0" w:color="000000"/>
                              <w:left w:val="single" w:sz="4" w:space="0" w:color="000000"/>
                              <w:bottom w:val="single" w:sz="4" w:space="0" w:color="000000"/>
                              <w:right w:val="single" w:sz="4" w:space="0" w:color="000000"/>
                            </w:tcBorders>
                          </w:tcPr>
                          <w:p w14:paraId="47772AD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An ultra quick lightin which a flash isregularly repeated.</w:t>
                            </w:r>
                          </w:p>
                        </w:tc>
                        <w:tc>
                          <w:tcPr>
                            <w:tcW w:w="5812" w:type="dxa"/>
                            <w:gridSpan w:val="31"/>
                            <w:tcBorders>
                              <w:top w:val="single" w:sz="4" w:space="0" w:color="000000"/>
                              <w:left w:val="single" w:sz="4" w:space="0" w:color="000000"/>
                              <w:bottom w:val="single" w:sz="4" w:space="0" w:color="000000"/>
                              <w:right w:val="single" w:sz="4" w:space="0" w:color="000000"/>
                            </w:tcBorders>
                          </w:tcPr>
                          <w:p w14:paraId="41B32F9B" w14:textId="77777777" w:rsidR="00000000" w:rsidRDefault="00A450E1">
                            <w:pPr>
                              <w:pStyle w:val="Default"/>
                              <w:rPr>
                                <w:rFonts w:cs="Times New Roman"/>
                                <w:color w:val="auto"/>
                              </w:rPr>
                            </w:pPr>
                          </w:p>
                        </w:tc>
                        <w:tc>
                          <w:tcPr>
                            <w:tcW w:w="2062" w:type="dxa"/>
                            <w:tcBorders>
                              <w:top w:val="single" w:sz="4" w:space="0" w:color="000000"/>
                              <w:left w:val="single" w:sz="4" w:space="0" w:color="000000"/>
                              <w:bottom w:val="single" w:sz="4" w:space="0" w:color="000000"/>
                              <w:right w:val="single" w:sz="4" w:space="0" w:color="000000"/>
                            </w:tcBorders>
                          </w:tcPr>
                          <w:p w14:paraId="12361B50" w14:textId="77777777" w:rsidR="00000000" w:rsidRDefault="00A450E1">
                            <w:pPr>
                              <w:pStyle w:val="Default"/>
                              <w:rPr>
                                <w:rFonts w:cs="Times New Roman"/>
                                <w:color w:val="auto"/>
                              </w:rPr>
                            </w:pPr>
                          </w:p>
                        </w:tc>
                      </w:tr>
                      <w:tr w:rsidR="00000000" w14:paraId="72F5EEE6" w14:textId="77777777">
                        <w:tblPrEx>
                          <w:tblCellMar>
                            <w:top w:w="0" w:type="dxa"/>
                            <w:bottom w:w="0" w:type="dxa"/>
                          </w:tblCellMar>
                        </w:tblPrEx>
                        <w:trPr>
                          <w:wAfter w:w="13" w:type="dxa"/>
                          <w:trHeight w:val="1043"/>
                        </w:trPr>
                        <w:tc>
                          <w:tcPr>
                            <w:tcW w:w="457" w:type="dxa"/>
                            <w:gridSpan w:val="2"/>
                            <w:tcBorders>
                              <w:top w:val="single" w:sz="4" w:space="0" w:color="000000"/>
                              <w:left w:val="single" w:sz="4" w:space="0" w:color="000000"/>
                              <w:bottom w:val="single" w:sz="4" w:space="0" w:color="000000"/>
                              <w:right w:val="single" w:sz="4" w:space="0" w:color="000000"/>
                            </w:tcBorders>
                          </w:tcPr>
                          <w:p w14:paraId="0124FCF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8 </w:t>
                            </w:r>
                          </w:p>
                        </w:tc>
                        <w:tc>
                          <w:tcPr>
                            <w:tcW w:w="1420" w:type="dxa"/>
                            <w:gridSpan w:val="14"/>
                            <w:tcBorders>
                              <w:top w:val="single" w:sz="4" w:space="0" w:color="000000"/>
                              <w:left w:val="single" w:sz="4" w:space="0" w:color="000000"/>
                              <w:bottom w:val="single" w:sz="4" w:space="0" w:color="000000"/>
                              <w:right w:val="single" w:sz="4" w:space="0" w:color="000000"/>
                            </w:tcBorders>
                          </w:tcPr>
                          <w:p w14:paraId="030A2F4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MORSE CODELIGHT </w:t>
                            </w:r>
                          </w:p>
                        </w:tc>
                        <w:tc>
                          <w:tcPr>
                            <w:tcW w:w="1280" w:type="dxa"/>
                            <w:gridSpan w:val="19"/>
                            <w:tcBorders>
                              <w:top w:val="single" w:sz="4" w:space="0" w:color="000000"/>
                              <w:left w:val="single" w:sz="4" w:space="0" w:color="000000"/>
                              <w:bottom w:val="single" w:sz="4" w:space="0" w:color="000000"/>
                              <w:right w:val="single" w:sz="4" w:space="0" w:color="000000"/>
                            </w:tcBorders>
                          </w:tcPr>
                          <w:p w14:paraId="38C5A26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Mo(#)eg. Mo(A) </w:t>
                            </w:r>
                          </w:p>
                        </w:tc>
                        <w:tc>
                          <w:tcPr>
                            <w:tcW w:w="2022" w:type="dxa"/>
                            <w:gridSpan w:val="25"/>
                            <w:tcBorders>
                              <w:top w:val="single" w:sz="4" w:space="0" w:color="000000"/>
                              <w:left w:val="single" w:sz="4" w:space="0" w:color="000000"/>
                              <w:bottom w:val="single" w:sz="4" w:space="0" w:color="000000"/>
                              <w:right w:val="single" w:sz="4" w:space="0" w:color="000000"/>
                            </w:tcBorders>
                          </w:tcPr>
                          <w:p w14:paraId="10F4DB7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whichappearances oflight of two clearlydifferent durations are grouped to represent a character or characters in theMorse Code. </w:t>
                            </w:r>
                          </w:p>
                        </w:tc>
                        <w:tc>
                          <w:tcPr>
                            <w:tcW w:w="5812" w:type="dxa"/>
                            <w:gridSpan w:val="31"/>
                            <w:tcBorders>
                              <w:top w:val="single" w:sz="4" w:space="0" w:color="000000"/>
                              <w:left w:val="single" w:sz="4" w:space="0" w:color="000000"/>
                              <w:bottom w:val="single" w:sz="4" w:space="0" w:color="000000"/>
                              <w:right w:val="single" w:sz="4" w:space="0" w:color="000000"/>
                            </w:tcBorders>
                          </w:tcPr>
                          <w:p w14:paraId="1C9447BD"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Light characters should be restricted to a single letter in the Morse Code in general, and should be two letters only as an exception.The duration of a “dot” should be about 0.5 s, and the duration of a“dash” should not be less than three times the duratio</w:t>
                            </w:r>
                            <w:r>
                              <w:rPr>
                                <w:rFonts w:ascii="Helvetica 55 Roman" w:hAnsi="Helvetica 55 Roman" w:cs="Helvetica 55 Roman"/>
                                <w:sz w:val="18"/>
                                <w:szCs w:val="18"/>
                              </w:rPr>
                              <w:t xml:space="preserve">n of a “dot”. </w:t>
                            </w:r>
                            <w:r>
                              <w:rPr>
                                <w:rFonts w:ascii="Helvetica 55 Roman" w:hAnsi="Helvetica 55 Roman" w:cs="Helvetica 55 Roman"/>
                                <w:sz w:val="12"/>
                                <w:szCs w:val="12"/>
                              </w:rPr>
                              <w:t xml:space="preserve">l’  3 l d  ll = 0.5 s Mo(A) Example: l’ = 1.5 s; l = 0.5 s; d = 0.5 s; d’ = 4.5 s; p = 7 s </w:t>
                            </w:r>
                          </w:p>
                        </w:tc>
                        <w:tc>
                          <w:tcPr>
                            <w:tcW w:w="2062" w:type="dxa"/>
                            <w:tcBorders>
                              <w:top w:val="single" w:sz="4" w:space="0" w:color="000000"/>
                              <w:left w:val="single" w:sz="4" w:space="0" w:color="000000"/>
                              <w:bottom w:val="single" w:sz="4" w:space="0" w:color="000000"/>
                              <w:right w:val="single" w:sz="4" w:space="0" w:color="000000"/>
                            </w:tcBorders>
                          </w:tcPr>
                          <w:p w14:paraId="7F90D98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 Morse Code Whitelight with the singlecharacter “A” indicatesa safe water mark.A Morse Code Yellowlight, but not with eitherof the single characters“</w:t>
                            </w:r>
                            <w:r>
                              <w:rPr>
                                <w:rFonts w:ascii="Helvetica 55 Roman" w:hAnsi="Helvetica 55 Roman" w:cs="Helvetica 55 Roman"/>
                                <w:sz w:val="18"/>
                                <w:szCs w:val="18"/>
                              </w:rPr>
                              <w:t xml:space="preserve">A” or “U”*, indicates aspecial mark. </w:t>
                            </w:r>
                          </w:p>
                        </w:tc>
                      </w:tr>
                      <w:tr w:rsidR="00000000" w14:paraId="38918028" w14:textId="77777777">
                        <w:tblPrEx>
                          <w:tblCellMar>
                            <w:top w:w="0" w:type="dxa"/>
                            <w:bottom w:w="0" w:type="dxa"/>
                          </w:tblCellMar>
                        </w:tblPrEx>
                        <w:trPr>
                          <w:wAfter w:w="13" w:type="dxa"/>
                          <w:trHeight w:val="906"/>
                        </w:trPr>
                        <w:tc>
                          <w:tcPr>
                            <w:tcW w:w="457" w:type="dxa"/>
                            <w:gridSpan w:val="2"/>
                            <w:tcBorders>
                              <w:top w:val="single" w:sz="4" w:space="0" w:color="000000"/>
                              <w:left w:val="single" w:sz="4" w:space="0" w:color="000000"/>
                              <w:bottom w:val="single" w:sz="4" w:space="0" w:color="000000"/>
                              <w:right w:val="single" w:sz="4" w:space="0" w:color="000000"/>
                            </w:tcBorders>
                          </w:tcPr>
                          <w:p w14:paraId="5FDAEC4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 </w:t>
                            </w:r>
                          </w:p>
                        </w:tc>
                        <w:tc>
                          <w:tcPr>
                            <w:tcW w:w="1420" w:type="dxa"/>
                            <w:gridSpan w:val="14"/>
                            <w:tcBorders>
                              <w:top w:val="single" w:sz="4" w:space="0" w:color="000000"/>
                              <w:left w:val="single" w:sz="4" w:space="0" w:color="000000"/>
                              <w:bottom w:val="single" w:sz="4" w:space="0" w:color="000000"/>
                              <w:right w:val="single" w:sz="4" w:space="0" w:color="000000"/>
                            </w:tcBorders>
                          </w:tcPr>
                          <w:p w14:paraId="6CA67FC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FIXED ANDFLASHINGLIGHT </w:t>
                            </w:r>
                          </w:p>
                        </w:tc>
                        <w:tc>
                          <w:tcPr>
                            <w:tcW w:w="1280" w:type="dxa"/>
                            <w:gridSpan w:val="19"/>
                            <w:tcBorders>
                              <w:top w:val="single" w:sz="4" w:space="0" w:color="000000"/>
                              <w:left w:val="single" w:sz="4" w:space="0" w:color="000000"/>
                              <w:bottom w:val="single" w:sz="4" w:space="0" w:color="000000"/>
                              <w:right w:val="single" w:sz="4" w:space="0" w:color="000000"/>
                            </w:tcBorders>
                          </w:tcPr>
                          <w:p w14:paraId="4A820E4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FFl </w:t>
                            </w:r>
                          </w:p>
                        </w:tc>
                        <w:tc>
                          <w:tcPr>
                            <w:tcW w:w="2022" w:type="dxa"/>
                            <w:gridSpan w:val="25"/>
                            <w:tcBorders>
                              <w:top w:val="single" w:sz="4" w:space="0" w:color="000000"/>
                              <w:left w:val="single" w:sz="4" w:space="0" w:color="000000"/>
                              <w:bottom w:val="single" w:sz="4" w:space="0" w:color="000000"/>
                              <w:right w:val="single" w:sz="4" w:space="0" w:color="000000"/>
                            </w:tcBorders>
                          </w:tcPr>
                          <w:p w14:paraId="7A69965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in which a fixedlight is combinedwith a flashing lightof’ higher luminous intensity. </w:t>
                            </w:r>
                          </w:p>
                        </w:tc>
                        <w:tc>
                          <w:tcPr>
                            <w:tcW w:w="5812" w:type="dxa"/>
                            <w:gridSpan w:val="31"/>
                            <w:tcBorders>
                              <w:top w:val="single" w:sz="4" w:space="0" w:color="000000"/>
                              <w:left w:val="single" w:sz="4" w:space="0" w:color="000000"/>
                              <w:bottom w:val="single" w:sz="4" w:space="0" w:color="000000"/>
                              <w:right w:val="single" w:sz="4" w:space="0" w:color="000000"/>
                            </w:tcBorders>
                          </w:tcPr>
                          <w:p w14:paraId="3FBAB4A5" w14:textId="77777777" w:rsidR="00000000" w:rsidRDefault="00A450E1">
                            <w:pPr>
                              <w:pStyle w:val="Default"/>
                              <w:rPr>
                                <w:rFonts w:ascii="Helvetica 55 Roman" w:hAnsi="Helvetica 55 Roman" w:cs="Helvetica 55 Roman"/>
                                <w:sz w:val="12"/>
                                <w:szCs w:val="12"/>
                              </w:rPr>
                            </w:pPr>
                            <w:r>
                              <w:rPr>
                                <w:rFonts w:ascii="Helvetica 55 Roman" w:hAnsi="Helvetica 55 Roman" w:cs="Helvetica 55 Roman"/>
                                <w:sz w:val="18"/>
                                <w:szCs w:val="18"/>
                              </w:rPr>
                              <w:t>This class of light character s</w:t>
                            </w:r>
                            <w:r>
                              <w:rPr>
                                <w:rFonts w:ascii="Helvetica 55 Roman" w:hAnsi="Helvetica 55 Roman" w:cs="Helvetica 55 Roman"/>
                                <w:sz w:val="18"/>
                                <w:szCs w:val="18"/>
                              </w:rPr>
                              <w:t xml:space="preserve">hould be used with care because the fixed component of the light may not be visible at all times over the same distance as the rhythmic component. </w:t>
                            </w:r>
                            <w:r>
                              <w:rPr>
                                <w:rFonts w:ascii="Helvetica 55 Roman" w:hAnsi="Helvetica 55 Roman" w:cs="Helvetica 55 Roman"/>
                                <w:sz w:val="12"/>
                                <w:szCs w:val="12"/>
                              </w:rPr>
                              <w:t xml:space="preserve">d  3 l l 1 s </w:t>
                            </w:r>
                          </w:p>
                        </w:tc>
                        <w:tc>
                          <w:tcPr>
                            <w:tcW w:w="2062" w:type="dxa"/>
                            <w:tcBorders>
                              <w:top w:val="single" w:sz="4" w:space="0" w:color="000000"/>
                              <w:left w:val="single" w:sz="4" w:space="0" w:color="000000"/>
                              <w:bottom w:val="single" w:sz="4" w:space="0" w:color="000000"/>
                              <w:right w:val="single" w:sz="4" w:space="0" w:color="000000"/>
                            </w:tcBorders>
                          </w:tcPr>
                          <w:p w14:paraId="78B0FAC6" w14:textId="77777777" w:rsidR="00000000" w:rsidRDefault="00A450E1">
                            <w:pPr>
                              <w:pStyle w:val="Default"/>
                              <w:rPr>
                                <w:rFonts w:cs="Times New Roman"/>
                                <w:color w:val="auto"/>
                              </w:rPr>
                            </w:pPr>
                          </w:p>
                        </w:tc>
                      </w:tr>
                      <w:tr w:rsidR="00000000" w14:paraId="479CC16D" w14:textId="77777777">
                        <w:tblPrEx>
                          <w:tblCellMar>
                            <w:top w:w="0" w:type="dxa"/>
                            <w:bottom w:w="0" w:type="dxa"/>
                          </w:tblCellMar>
                        </w:tblPrEx>
                        <w:trPr>
                          <w:wAfter w:w="13" w:type="dxa"/>
                          <w:trHeight w:val="907"/>
                        </w:trPr>
                        <w:tc>
                          <w:tcPr>
                            <w:tcW w:w="457" w:type="dxa"/>
                            <w:gridSpan w:val="2"/>
                            <w:tcBorders>
                              <w:top w:val="single" w:sz="4" w:space="0" w:color="000000"/>
                              <w:left w:val="single" w:sz="4" w:space="0" w:color="000000"/>
                              <w:bottom w:val="single" w:sz="4" w:space="0" w:color="000000"/>
                              <w:right w:val="single" w:sz="4" w:space="0" w:color="000000"/>
                            </w:tcBorders>
                          </w:tcPr>
                          <w:p w14:paraId="40EE4CA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w:t>
                            </w:r>
                          </w:p>
                        </w:tc>
                        <w:tc>
                          <w:tcPr>
                            <w:tcW w:w="1420" w:type="dxa"/>
                            <w:gridSpan w:val="14"/>
                            <w:tcBorders>
                              <w:top w:val="single" w:sz="4" w:space="0" w:color="000000"/>
                              <w:left w:val="single" w:sz="4" w:space="0" w:color="000000"/>
                              <w:bottom w:val="single" w:sz="4" w:space="0" w:color="000000"/>
                              <w:right w:val="single" w:sz="4" w:space="0" w:color="000000"/>
                            </w:tcBorders>
                          </w:tcPr>
                          <w:p w14:paraId="11009A5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ALTERNATING LIGHT </w:t>
                            </w:r>
                          </w:p>
                        </w:tc>
                        <w:tc>
                          <w:tcPr>
                            <w:tcW w:w="1280" w:type="dxa"/>
                            <w:gridSpan w:val="19"/>
                            <w:tcBorders>
                              <w:top w:val="single" w:sz="4" w:space="0" w:color="000000"/>
                              <w:left w:val="single" w:sz="4" w:space="0" w:color="000000"/>
                              <w:bottom w:val="single" w:sz="4" w:space="0" w:color="000000"/>
                              <w:right w:val="single" w:sz="4" w:space="0" w:color="000000"/>
                            </w:tcBorders>
                          </w:tcPr>
                          <w:p w14:paraId="5F2E8B8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Al##eg A1WR </w:t>
                            </w:r>
                          </w:p>
                        </w:tc>
                        <w:tc>
                          <w:tcPr>
                            <w:tcW w:w="2022" w:type="dxa"/>
                            <w:gridSpan w:val="25"/>
                            <w:tcBorders>
                              <w:top w:val="single" w:sz="4" w:space="0" w:color="000000"/>
                              <w:left w:val="single" w:sz="4" w:space="0" w:color="000000"/>
                              <w:bottom w:val="single" w:sz="4" w:space="0" w:color="000000"/>
                              <w:right w:val="single" w:sz="4" w:space="0" w:color="000000"/>
                            </w:tcBorders>
                          </w:tcPr>
                          <w:p w14:paraId="17AB4DD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 light showingdifferent colours alternately. </w:t>
                            </w:r>
                          </w:p>
                        </w:tc>
                        <w:tc>
                          <w:tcPr>
                            <w:tcW w:w="5812" w:type="dxa"/>
                            <w:gridSpan w:val="31"/>
                            <w:tcBorders>
                              <w:top w:val="single" w:sz="4" w:space="0" w:color="000000"/>
                              <w:left w:val="single" w:sz="4" w:space="0" w:color="000000"/>
                              <w:bottom w:val="single" w:sz="4" w:space="0" w:color="000000"/>
                              <w:right w:val="single" w:sz="4" w:space="0" w:color="000000"/>
                            </w:tcBorders>
                          </w:tcPr>
                          <w:p w14:paraId="21D56FB2" w14:textId="77777777" w:rsidR="00000000" w:rsidRDefault="00A450E1">
                            <w:pPr>
                              <w:pStyle w:val="Default"/>
                              <w:rPr>
                                <w:rFonts w:ascii="Mshtakan" w:hAnsi="Mshtakan" w:cs="Mshtakan"/>
                                <w:sz w:val="12"/>
                                <w:szCs w:val="12"/>
                              </w:rPr>
                            </w:pPr>
                            <w:r>
                              <w:rPr>
                                <w:rFonts w:ascii="Helvetica 55 Roman" w:hAnsi="Helvetica 55 Roman" w:cs="Helvetica 55 Roman"/>
                                <w:sz w:val="18"/>
                                <w:szCs w:val="18"/>
                              </w:rPr>
                              <w:t xml:space="preserve">This class of light character should be used with care, and efforts should be made to ensure that the different colours appear equally visible to an observer. </w:t>
                            </w:r>
                            <w:r>
                              <w:rPr>
                                <w:rFonts w:ascii="Helvetica 55 Roman" w:hAnsi="Helvetica 55 Roman" w:cs="Helvetica 55 Roman"/>
                                <w:sz w:val="12"/>
                                <w:szCs w:val="12"/>
                              </w:rPr>
                              <w:t xml:space="preserve">Example: l = d = 2 s; p = 4 s AlWR l </w:t>
                            </w:r>
                            <w:r>
                              <w:rPr>
                                <w:rFonts w:ascii="Mshtakan" w:hAnsi="Mshtakan" w:cs="Mshtakan"/>
                                <w:sz w:val="12"/>
                                <w:szCs w:val="12"/>
                              </w:rPr>
                              <w:t>=</w:t>
                            </w:r>
                            <w:r>
                              <w:rPr>
                                <w:rFonts w:ascii="Helvetica 55 Roman" w:hAnsi="Helvetica 55 Roman" w:cs="Helvetica 55 Roman"/>
                                <w:sz w:val="12"/>
                                <w:szCs w:val="12"/>
                              </w:rPr>
                              <w:t>d</w:t>
                            </w:r>
                            <w:r>
                              <w:rPr>
                                <w:rFonts w:ascii="Mshtakan" w:hAnsi="Mshtakan" w:cs="Mshtakan"/>
                                <w:sz w:val="12"/>
                                <w:szCs w:val="12"/>
                              </w:rPr>
                              <w:t xml:space="preserve">~ </w:t>
                            </w:r>
                          </w:p>
                        </w:tc>
                        <w:tc>
                          <w:tcPr>
                            <w:tcW w:w="2062" w:type="dxa"/>
                            <w:tcBorders>
                              <w:top w:val="single" w:sz="4" w:space="0" w:color="000000"/>
                              <w:left w:val="single" w:sz="4" w:space="0" w:color="000000"/>
                              <w:bottom w:val="single" w:sz="4" w:space="0" w:color="000000"/>
                              <w:right w:val="single" w:sz="4" w:space="0" w:color="000000"/>
                            </w:tcBorders>
                          </w:tcPr>
                          <w:p w14:paraId="142AC38D" w14:textId="77777777" w:rsidR="00000000" w:rsidRDefault="00A450E1">
                            <w:pPr>
                              <w:pStyle w:val="Default"/>
                              <w:rPr>
                                <w:rFonts w:cs="Times New Roman"/>
                                <w:color w:val="auto"/>
                              </w:rPr>
                            </w:pPr>
                          </w:p>
                        </w:tc>
                      </w:tr>
                    </w:tbl>
                  </w:txbxContent>
                </v:textbox>
                <w10:wrap type="through" anchorx="page" anchory="page"/>
              </v:shape>
            </w:pict>
          </mc:Fallback>
        </mc:AlternateContent>
      </w:r>
    </w:p>
    <w:p w14:paraId="18C3F686" w14:textId="77777777" w:rsidR="00541A14" w:rsidRDefault="00DD420F">
      <w:pPr>
        <w:pStyle w:val="Default"/>
        <w:framePr w:w="10739" w:wrap="auto" w:vAnchor="page" w:hAnchor="page" w:x="1434" w:y="16278"/>
        <w:rPr>
          <w:rFonts w:cs="Times New Roman"/>
          <w:color w:val="auto"/>
        </w:rPr>
      </w:pPr>
      <w:r>
        <w:rPr>
          <w:rFonts w:cs="Times New Roman"/>
          <w:noProof/>
          <w:color w:val="auto"/>
        </w:rPr>
        <w:drawing>
          <wp:inline distT="0" distB="0" distL="0" distR="0" wp14:anchorId="4A04E939" wp14:editId="39740C3F">
            <wp:extent cx="7542530" cy="420370"/>
            <wp:effectExtent l="0" t="0" r="1270" b="1143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30D5331F" w14:textId="77777777" w:rsidR="00541A14" w:rsidRDefault="00DD420F">
      <w:pPr>
        <w:pStyle w:val="Default"/>
        <w:pageBreakBefore/>
        <w:framePr w:w="24763" w:wrap="auto" w:vAnchor="page" w:hAnchor="page" w:x="101" w:y="1"/>
        <w:spacing w:after="240"/>
        <w:rPr>
          <w:rFonts w:cs="Times New Roman"/>
          <w:color w:val="auto"/>
        </w:rPr>
      </w:pPr>
      <w:r>
        <w:rPr>
          <w:rFonts w:cs="Times New Roman"/>
          <w:noProof/>
          <w:color w:val="auto"/>
        </w:rPr>
        <w:drawing>
          <wp:inline distT="0" distB="0" distL="0" distR="0" wp14:anchorId="34068CE0" wp14:editId="7A574BDB">
            <wp:extent cx="7553960" cy="115316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7E16E7D4" w14:textId="77777777" w:rsidR="00541A14" w:rsidRDefault="00A450E1">
      <w:pPr>
        <w:pStyle w:val="CM175"/>
        <w:spacing w:after="267"/>
        <w:jc w:val="center"/>
        <w:rPr>
          <w:rFonts w:ascii="Palatino" w:hAnsi="Palatino" w:cs="Palatino"/>
          <w:sz w:val="20"/>
          <w:szCs w:val="20"/>
        </w:rPr>
      </w:pPr>
      <w:r>
        <w:rPr>
          <w:rFonts w:ascii="Palatino" w:hAnsi="Palatino" w:cs="Palatino"/>
          <w:b/>
          <w:bCs/>
          <w:sz w:val="20"/>
          <w:szCs w:val="20"/>
        </w:rPr>
        <w:t xml:space="preserve">table 8 – Rhythmic Characters of the lights in the IAlA maritime Buoyage system </w:t>
      </w:r>
    </w:p>
    <w:p w14:paraId="4FC8995D"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70528" behindDoc="0" locked="0" layoutInCell="0" allowOverlap="1" wp14:anchorId="020612A3" wp14:editId="3E05B747">
                <wp:simplePos x="0" y="0"/>
                <wp:positionH relativeFrom="page">
                  <wp:posOffset>838835</wp:posOffset>
                </wp:positionH>
                <wp:positionV relativeFrom="page">
                  <wp:posOffset>1492885</wp:posOffset>
                </wp:positionV>
                <wp:extent cx="6330315" cy="9315450"/>
                <wp:effectExtent l="0" t="0" r="0" b="0"/>
                <wp:wrapThrough wrapText="bothSides">
                  <wp:wrapPolygon edited="0">
                    <wp:start x="0" y="0"/>
                    <wp:lineTo x="21600" y="0"/>
                    <wp:lineTo x="21600" y="21600"/>
                    <wp:lineTo x="0" y="21600"/>
                    <wp:lineTo x="0" y="0"/>
                  </wp:wrapPolygon>
                </wp:wrapThrough>
                <wp:docPr id="54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315" cy="931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707"/>
                              <w:gridCol w:w="3490"/>
                              <w:gridCol w:w="3972"/>
                            </w:tblGrid>
                            <w:tr w:rsidR="00541A14" w14:paraId="62002896" w14:textId="77777777">
                              <w:trPr>
                                <w:trHeight w:val="185"/>
                              </w:trPr>
                              <w:tc>
                                <w:tcPr>
                                  <w:tcW w:w="1707" w:type="dxa"/>
                                  <w:tcBorders>
                                    <w:top w:val="single" w:sz="4" w:space="0" w:color="0E0F1A"/>
                                    <w:left w:val="single" w:sz="4" w:space="0" w:color="000000"/>
                                    <w:right w:val="single" w:sz="4" w:space="0" w:color="000000"/>
                                  </w:tcBorders>
                                  <w:shd w:val="clear" w:color="auto" w:fill="5E64A8"/>
                                  <w:vAlign w:val="center"/>
                                </w:tcPr>
                                <w:p w14:paraId="3FEB77B6" w14:textId="77777777" w:rsidR="00541A14" w:rsidRDefault="00A450E1">
                                  <w:pPr>
                                    <w:pStyle w:val="Default"/>
                                    <w:rPr>
                                      <w:rFonts w:ascii="Helvetica 65 Medium" w:hAnsi="Helvetica 65 Medium" w:cs="Helvetica 65 Medium"/>
                                      <w:color w:val="FFFFFF"/>
                                      <w:sz w:val="17"/>
                                      <w:szCs w:val="17"/>
                                    </w:rPr>
                                  </w:pPr>
                                  <w:r>
                                    <w:rPr>
                                      <w:rFonts w:ascii="Helvetica 65 Medium" w:hAnsi="Helvetica 65 Medium" w:cs="Helvetica 65 Medium"/>
                                      <w:color w:val="FFFFFF"/>
                                      <w:sz w:val="17"/>
                                      <w:szCs w:val="17"/>
                                    </w:rPr>
                                    <w:t xml:space="preserve">Mark </w:t>
                                  </w:r>
                                </w:p>
                              </w:tc>
                              <w:tc>
                                <w:tcPr>
                                  <w:tcW w:w="3490" w:type="dxa"/>
                                  <w:tcBorders>
                                    <w:top w:val="single" w:sz="4" w:space="0" w:color="0E0F1A"/>
                                    <w:left w:val="single" w:sz="4" w:space="0" w:color="000000"/>
                                    <w:right w:val="single" w:sz="4" w:space="0" w:color="000000"/>
                                  </w:tcBorders>
                                  <w:shd w:val="clear" w:color="auto" w:fill="5E64A8"/>
                                  <w:vAlign w:val="center"/>
                                </w:tcPr>
                                <w:p w14:paraId="475C48E6" w14:textId="77777777" w:rsidR="00541A14" w:rsidRDefault="00A450E1">
                                  <w:pPr>
                                    <w:pStyle w:val="Default"/>
                                    <w:rPr>
                                      <w:rFonts w:ascii="Helvetica 65 Medium" w:hAnsi="Helvetica 65 Medium" w:cs="Helvetica 65 Medium"/>
                                      <w:color w:val="FFFFFF"/>
                                      <w:sz w:val="17"/>
                                      <w:szCs w:val="17"/>
                                    </w:rPr>
                                  </w:pPr>
                                  <w:r>
                                    <w:rPr>
                                      <w:rFonts w:ascii="Helvetica 65 Medium" w:hAnsi="Helvetica 65 Medium" w:cs="Helvetica 65 Medium"/>
                                      <w:color w:val="FFFFFF"/>
                                      <w:sz w:val="17"/>
                                      <w:szCs w:val="17"/>
                                    </w:rPr>
                                    <w:t xml:space="preserve">Rhythmic character of the light </w:t>
                                  </w:r>
                                </w:p>
                              </w:tc>
                              <w:tc>
                                <w:tcPr>
                                  <w:tcW w:w="3972" w:type="dxa"/>
                                  <w:tcBorders>
                                    <w:top w:val="single" w:sz="4" w:space="0" w:color="0E0F1A"/>
                                    <w:left w:val="single" w:sz="4" w:space="0" w:color="000000"/>
                                    <w:right w:val="single" w:sz="4" w:space="0" w:color="000000"/>
                                  </w:tcBorders>
                                  <w:shd w:val="clear" w:color="auto" w:fill="5E64A8"/>
                                  <w:vAlign w:val="center"/>
                                </w:tcPr>
                                <w:p w14:paraId="3A6579D8" w14:textId="77777777" w:rsidR="00541A14" w:rsidRDefault="00A450E1">
                                  <w:pPr>
                                    <w:pStyle w:val="Default"/>
                                    <w:rPr>
                                      <w:rFonts w:ascii="Helvetica 65 Medium" w:hAnsi="Helvetica 65 Medium" w:cs="Helvetica 65 Medium"/>
                                      <w:color w:val="FFFFFF"/>
                                      <w:sz w:val="17"/>
                                      <w:szCs w:val="17"/>
                                    </w:rPr>
                                  </w:pPr>
                                  <w:r>
                                    <w:rPr>
                                      <w:rFonts w:ascii="Helvetica 65 Medium" w:hAnsi="Helvetica 65 Medium" w:cs="Helvetica 65 Medium"/>
                                      <w:color w:val="FFFFFF"/>
                                      <w:sz w:val="17"/>
                                      <w:szCs w:val="17"/>
                                    </w:rPr>
                                    <w:t xml:space="preserve">Remarks and further recommendations </w:t>
                                  </w:r>
                                </w:p>
                              </w:tc>
                            </w:tr>
                            <w:tr w:rsidR="00541A14" w14:paraId="4C7F14F2" w14:textId="77777777">
                              <w:trPr>
                                <w:trHeight w:val="5660"/>
                              </w:trPr>
                              <w:tc>
                                <w:tcPr>
                                  <w:tcW w:w="1707" w:type="dxa"/>
                                  <w:tcBorders>
                                    <w:top w:val="single" w:sz="2" w:space="0" w:color="5E64A8"/>
                                    <w:left w:val="single" w:sz="4" w:space="0" w:color="000000"/>
                                    <w:bottom w:val="single" w:sz="4" w:space="0" w:color="000000"/>
                                    <w:right w:val="single" w:sz="4" w:space="0" w:color="000000"/>
                                  </w:tcBorders>
                                </w:tcPr>
                                <w:p w14:paraId="3B21E985" w14:textId="77777777" w:rsidR="00541A14"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 xml:space="preserve">LATERAL Modified lateral (preferred channel) CARDINAL North cardinal East cardinal South cardinal West cardinal ISOLATED DANGER SAFE WATER SPECIAL </w:t>
                                  </w:r>
                                </w:p>
                              </w:tc>
                              <w:tc>
                                <w:tcPr>
                                  <w:tcW w:w="3490" w:type="dxa"/>
                                  <w:tcBorders>
                                    <w:top w:val="single" w:sz="2" w:space="0" w:color="5E64A8"/>
                                    <w:left w:val="single" w:sz="4" w:space="0" w:color="000000"/>
                                    <w:bottom w:val="single" w:sz="4" w:space="0" w:color="000000"/>
                                    <w:right w:val="single" w:sz="4" w:space="0" w:color="000000"/>
                                  </w:tcBorders>
                                </w:tcPr>
                                <w:p w14:paraId="1F0863CB" w14:textId="77777777" w:rsidR="00541A14"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All recommended classes of rhythmic character</w:t>
                                  </w:r>
                                  <w:r>
                                    <w:rPr>
                                      <w:rFonts w:ascii="Helvetica 55 Roman" w:hAnsi="Helvetica 55 Roman" w:cs="Helvetica 55 Roman"/>
                                      <w:sz w:val="10"/>
                                      <w:szCs w:val="10"/>
                                    </w:rPr>
                                    <w:t>18</w:t>
                                  </w:r>
                                  <w:r>
                                    <w:rPr>
                                      <w:rFonts w:ascii="Helvetica 55 Roman" w:hAnsi="Helvetica 55 Roman" w:cs="Helvetica 55 Roman"/>
                                      <w:sz w:val="17"/>
                                      <w:szCs w:val="17"/>
                                    </w:rPr>
                                    <w:t xml:space="preserve">, but a composite group flashing light with a group of (2 + 1) flashes is solely assigned to modified lateral marks that indicate preferred channels. Composite group flashing light with a group of (2 + 1) flashes, in a period of not more than 16 s (a) Continuous very quick light. (b) Continuous quick light. (a) Group very quick light with a group of three flashes, in a period of 5 s. (b) Group quick light with a group of three flashes, in a period of 10 s. (a) Group very quick light with a group of six flashes followed by a long flash of not less than 2 s duration, in a period of 10 s. (b) Group quick light with a group of six flashes followed by a long flash of not less than 2 s duration, in a period of 15 s. (a) Group very quick light with a group of nine flashes, in a period of 10 s. (b) Group quick light with a group of nine flashes, in a period of 15 s. (a) Group flashing light with a group of two flashes, in a period of 5 s. (b) Group flashing light with a group of two flashes, in a period of 10 s. (a) Long flashing light with a period of 10 s. (b) Isophase light. (c) Single occulting light. (d) Morse Code light with the single character “A”. (a) Group occulting light. (b) Single flashing light, but not a long flashing light with a period of 10 s. (c) Group flashing light with a group of four, five or (exceptionally) six flashes. (d) Composite group flashing light. (e) Morse Code light, but not with either of the single characters “A” or “U”` </w:t>
                                  </w:r>
                                  <w:r>
                                    <w:rPr>
                                      <w:rFonts w:ascii="Helvetica 55 Roman" w:hAnsi="Helvetica 55 Roman" w:cs="Helvetica 55 Roman"/>
                                      <w:sz w:val="10"/>
                                      <w:szCs w:val="10"/>
                                    </w:rPr>
                                    <w:t>19</w:t>
                                  </w:r>
                                  <w:r>
                                    <w:rPr>
                                      <w:rFonts w:ascii="Helvetica 55 Roman" w:hAnsi="Helvetica 55 Roman" w:cs="Helvetica 55 Roman"/>
                                      <w:sz w:val="17"/>
                                      <w:szCs w:val="17"/>
                                    </w:rPr>
                                    <w:t xml:space="preserve">. </w:t>
                                  </w:r>
                                </w:p>
                              </w:tc>
                              <w:tc>
                                <w:tcPr>
                                  <w:tcW w:w="3972" w:type="dxa"/>
                                  <w:tcBorders>
                                    <w:top w:val="single" w:sz="2" w:space="0" w:color="5E64A8"/>
                                    <w:left w:val="single" w:sz="4" w:space="0" w:color="000000"/>
                                    <w:bottom w:val="single" w:sz="4" w:space="0" w:color="000000"/>
                                    <w:right w:val="single" w:sz="4" w:space="0" w:color="000000"/>
                                  </w:tcBorders>
                                </w:tcPr>
                                <w:p w14:paraId="1FE9195F" w14:textId="77777777" w:rsidR="00541A14"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 xml:space="preserve">Only the colours Red and Green are used. The duration of the eclipse after the single flash should not be less than three times the duration of the eclipse after the group of two flashes. Only the colour White is used. The duration of the eclipse immediately preceding a long flash should be equal to the duration of the eclipses between the flashes at the very quick rate. The duration of a long flash should not be greater than the duration of the eclipse immediately following the long flash. The duration of the eclipse immediately preceding a long flash should be equal to the duration of the eclipses between the flashes at the quick rate. The duration of a long flash should not be greater than the duration of the eclipse immediately following the long flash. Only the colour White is used. The duration of a flash together with the duration of the eclipse within the group should be not less than 1 s and not more than 1.5 s. The duration of a flash together with the duration of the eclipse within the group should be not less than 2 s and not more than 3 s. Only the colour White is used. Only the colour Yellow is used. A group flashing light with a group of five flashes at a rate of 30 flashes per minute, in a period of 20 s, is assigned to Ocean Data Acquisition Systems (ODAS) buoys. </w:t>
                                  </w:r>
                                </w:p>
                              </w:tc>
                            </w:tr>
                            <w:tr w:rsidR="00541A14" w14:paraId="08FC5DD9" w14:textId="77777777">
                              <w:trPr>
                                <w:trHeight w:val="337"/>
                              </w:trPr>
                              <w:tc>
                                <w:tcPr>
                                  <w:tcW w:w="1707" w:type="dxa"/>
                                  <w:tcBorders>
                                    <w:top w:val="single" w:sz="4" w:space="0" w:color="000000"/>
                                    <w:left w:val="single" w:sz="4" w:space="0" w:color="000000"/>
                                    <w:bottom w:val="single" w:sz="4" w:space="0" w:color="000000"/>
                                    <w:right w:val="single" w:sz="4" w:space="0" w:color="000000"/>
                                  </w:tcBorders>
                                  <w:shd w:val="clear" w:color="auto" w:fill="E8E7F3"/>
                                  <w:vAlign w:val="center"/>
                                </w:tcPr>
                                <w:p w14:paraId="42537409" w14:textId="77777777" w:rsidR="00541A14"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 xml:space="preserve">EMERGENCY WRECK MARKING BUOY </w:t>
                                  </w:r>
                                </w:p>
                              </w:tc>
                              <w:tc>
                                <w:tcPr>
                                  <w:tcW w:w="3490" w:type="dxa"/>
                                  <w:tcBorders>
                                    <w:top w:val="single" w:sz="4" w:space="0" w:color="000000"/>
                                    <w:left w:val="single" w:sz="4" w:space="0" w:color="000000"/>
                                    <w:bottom w:val="single" w:sz="4" w:space="0" w:color="000000"/>
                                    <w:right w:val="single" w:sz="4" w:space="0" w:color="000000"/>
                                  </w:tcBorders>
                                  <w:shd w:val="clear" w:color="auto" w:fill="E8E7F3"/>
                                </w:tcPr>
                                <w:p w14:paraId="16975B3C" w14:textId="77777777" w:rsidR="00541A14"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 xml:space="preserve">1 s of blue light and 1 s of yellow light with 0.5 s of darkness between </w:t>
                                  </w:r>
                                </w:p>
                              </w:tc>
                              <w:tc>
                                <w:tcPr>
                                  <w:tcW w:w="3972" w:type="dxa"/>
                                  <w:tcBorders>
                                    <w:top w:val="single" w:sz="4" w:space="0" w:color="000000"/>
                                    <w:left w:val="single" w:sz="4" w:space="0" w:color="000000"/>
                                    <w:bottom w:val="single" w:sz="4" w:space="0" w:color="000000"/>
                                    <w:right w:val="single" w:sz="4" w:space="0" w:color="000000"/>
                                  </w:tcBorders>
                                  <w:shd w:val="clear" w:color="auto" w:fill="E8E7F3"/>
                                </w:tcPr>
                                <w:p w14:paraId="4793B7BB" w14:textId="77777777" w:rsidR="00541A14"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 xml:space="preserve">Yellow/blue alternating </w:t>
                                  </w:r>
                                </w:p>
                              </w:tc>
                            </w:tr>
                          </w:tbl>
                          <w:p w14:paraId="3E31B5EC"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8" type="#_x0000_t202" style="position:absolute;margin-left:66.05pt;margin-top:117.55pt;width:498.45pt;height:733.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15"/>
                        <w:gridCol w:w="42"/>
                        <w:gridCol w:w="33"/>
                        <w:gridCol w:w="120"/>
                        <w:gridCol w:w="182"/>
                        <w:gridCol w:w="5"/>
                        <w:gridCol w:w="28"/>
                        <w:gridCol w:w="70"/>
                        <w:gridCol w:w="65"/>
                        <w:gridCol w:w="117"/>
                        <w:gridCol w:w="50"/>
                        <w:gridCol w:w="10"/>
                        <w:gridCol w:w="125"/>
                        <w:gridCol w:w="55"/>
                        <w:gridCol w:w="20"/>
                        <w:gridCol w:w="50"/>
                        <w:gridCol w:w="50"/>
                        <w:gridCol w:w="118"/>
                        <w:gridCol w:w="95"/>
                        <w:gridCol w:w="2"/>
                        <w:gridCol w:w="33"/>
                        <w:gridCol w:w="155"/>
                        <w:gridCol w:w="20"/>
                        <w:gridCol w:w="197"/>
                        <w:gridCol w:w="112"/>
                        <w:gridCol w:w="5"/>
                        <w:gridCol w:w="123"/>
                        <w:gridCol w:w="22"/>
                        <w:gridCol w:w="15"/>
                        <w:gridCol w:w="73"/>
                        <w:gridCol w:w="192"/>
                        <w:gridCol w:w="235"/>
                        <w:gridCol w:w="5"/>
                        <w:gridCol w:w="60"/>
                        <w:gridCol w:w="237"/>
                        <w:gridCol w:w="38"/>
                        <w:gridCol w:w="15"/>
                        <w:gridCol w:w="25"/>
                        <w:gridCol w:w="50"/>
                        <w:gridCol w:w="103"/>
                        <w:gridCol w:w="33"/>
                        <w:gridCol w:w="234"/>
                        <w:gridCol w:w="5"/>
                        <w:gridCol w:w="5"/>
                        <w:gridCol w:w="12"/>
                        <w:gridCol w:w="47"/>
                        <w:gridCol w:w="168"/>
                        <w:gridCol w:w="48"/>
                        <w:gridCol w:w="4"/>
                        <w:gridCol w:w="110"/>
                        <w:gridCol w:w="12"/>
                        <w:gridCol w:w="108"/>
                        <w:gridCol w:w="4"/>
                        <w:gridCol w:w="362"/>
                        <w:gridCol w:w="48"/>
                        <w:gridCol w:w="89"/>
                        <w:gridCol w:w="47"/>
                        <w:gridCol w:w="355"/>
                        <w:gridCol w:w="10"/>
                        <w:gridCol w:w="207"/>
                        <w:gridCol w:w="86"/>
                        <w:gridCol w:w="70"/>
                        <w:gridCol w:w="8"/>
                        <w:gridCol w:w="78"/>
                        <w:gridCol w:w="152"/>
                        <w:gridCol w:w="122"/>
                        <w:gridCol w:w="157"/>
                        <w:gridCol w:w="183"/>
                        <w:gridCol w:w="55"/>
                        <w:gridCol w:w="2"/>
                        <w:gridCol w:w="283"/>
                        <w:gridCol w:w="254"/>
                        <w:gridCol w:w="76"/>
                        <w:gridCol w:w="119"/>
                        <w:gridCol w:w="23"/>
                        <w:gridCol w:w="1086"/>
                        <w:gridCol w:w="161"/>
                        <w:gridCol w:w="173"/>
                        <w:gridCol w:w="71"/>
                        <w:gridCol w:w="6"/>
                        <w:gridCol w:w="13"/>
                        <w:gridCol w:w="2"/>
                        <w:gridCol w:w="8"/>
                        <w:gridCol w:w="76"/>
                      </w:tblGrid>
                      <w:tr w:rsidR="00000000" w14:paraId="62002896" w14:textId="77777777">
                        <w:tblPrEx>
                          <w:tblCellMar>
                            <w:top w:w="0" w:type="dxa"/>
                            <w:bottom w:w="0" w:type="dxa"/>
                          </w:tblCellMar>
                        </w:tblPrEx>
                        <w:trPr>
                          <w:wAfter w:w="1955" w:type="dxa"/>
                          <w:trHeight w:val="185"/>
                        </w:trPr>
                        <w:tc>
                          <w:tcPr>
                            <w:tcW w:w="1707" w:type="dxa"/>
                            <w:gridSpan w:val="12"/>
                            <w:tcBorders>
                              <w:top w:val="single" w:sz="4" w:space="0" w:color="0E0F1A"/>
                              <w:left w:val="single" w:sz="4" w:space="0" w:color="000000"/>
                              <w:right w:val="single" w:sz="4" w:space="0" w:color="000000"/>
                            </w:tcBorders>
                            <w:shd w:val="clear" w:color="auto" w:fill="5E64A8"/>
                            <w:vAlign w:val="center"/>
                          </w:tcPr>
                          <w:p w14:paraId="3FEB77B6" w14:textId="77777777" w:rsidR="00000000" w:rsidRDefault="00A450E1">
                            <w:pPr>
                              <w:pStyle w:val="Default"/>
                              <w:rPr>
                                <w:rFonts w:ascii="Helvetica 65 Medium" w:hAnsi="Helvetica 65 Medium" w:cs="Helvetica 65 Medium"/>
                                <w:color w:val="FFFFFF"/>
                                <w:sz w:val="17"/>
                                <w:szCs w:val="17"/>
                              </w:rPr>
                            </w:pPr>
                            <w:r>
                              <w:rPr>
                                <w:rFonts w:ascii="Helvetica 65 Medium" w:hAnsi="Helvetica 65 Medium" w:cs="Helvetica 65 Medium"/>
                                <w:color w:val="FFFFFF"/>
                                <w:sz w:val="17"/>
                                <w:szCs w:val="17"/>
                              </w:rPr>
                              <w:t xml:space="preserve">Mark </w:t>
                            </w:r>
                          </w:p>
                        </w:tc>
                        <w:tc>
                          <w:tcPr>
                            <w:tcW w:w="3490" w:type="dxa"/>
                            <w:gridSpan w:val="45"/>
                            <w:tcBorders>
                              <w:top w:val="single" w:sz="4" w:space="0" w:color="0E0F1A"/>
                              <w:left w:val="single" w:sz="4" w:space="0" w:color="000000"/>
                              <w:right w:val="single" w:sz="4" w:space="0" w:color="000000"/>
                            </w:tcBorders>
                            <w:shd w:val="clear" w:color="auto" w:fill="5E64A8"/>
                            <w:vAlign w:val="center"/>
                          </w:tcPr>
                          <w:p w14:paraId="475C48E6" w14:textId="77777777" w:rsidR="00000000" w:rsidRDefault="00A450E1">
                            <w:pPr>
                              <w:pStyle w:val="Default"/>
                              <w:rPr>
                                <w:rFonts w:ascii="Helvetica 65 Medium" w:hAnsi="Helvetica 65 Medium" w:cs="Helvetica 65 Medium"/>
                                <w:color w:val="FFFFFF"/>
                                <w:sz w:val="17"/>
                                <w:szCs w:val="17"/>
                              </w:rPr>
                            </w:pPr>
                            <w:r>
                              <w:rPr>
                                <w:rFonts w:ascii="Helvetica 65 Medium" w:hAnsi="Helvetica 65 Medium" w:cs="Helvetica 65 Medium"/>
                                <w:color w:val="FFFFFF"/>
                                <w:sz w:val="17"/>
                                <w:szCs w:val="17"/>
                              </w:rPr>
                              <w:t xml:space="preserve">Rhythmic character of the light </w:t>
                            </w:r>
                          </w:p>
                        </w:tc>
                        <w:tc>
                          <w:tcPr>
                            <w:tcW w:w="3972" w:type="dxa"/>
                            <w:gridSpan w:val="29"/>
                            <w:tcBorders>
                              <w:top w:val="single" w:sz="4" w:space="0" w:color="0E0F1A"/>
                              <w:left w:val="single" w:sz="4" w:space="0" w:color="000000"/>
                              <w:right w:val="single" w:sz="4" w:space="0" w:color="000000"/>
                            </w:tcBorders>
                            <w:shd w:val="clear" w:color="auto" w:fill="5E64A8"/>
                            <w:vAlign w:val="center"/>
                          </w:tcPr>
                          <w:p w14:paraId="3A6579D8" w14:textId="77777777" w:rsidR="00000000" w:rsidRDefault="00A450E1">
                            <w:pPr>
                              <w:pStyle w:val="Default"/>
                              <w:rPr>
                                <w:rFonts w:ascii="Helvetica 65 Medium" w:hAnsi="Helvetica 65 Medium" w:cs="Helvetica 65 Medium"/>
                                <w:color w:val="FFFFFF"/>
                                <w:sz w:val="17"/>
                                <w:szCs w:val="17"/>
                              </w:rPr>
                            </w:pPr>
                            <w:r>
                              <w:rPr>
                                <w:rFonts w:ascii="Helvetica 65 Medium" w:hAnsi="Helvetica 65 Medium" w:cs="Helvetica 65 Medium"/>
                                <w:color w:val="FFFFFF"/>
                                <w:sz w:val="17"/>
                                <w:szCs w:val="17"/>
                              </w:rPr>
                              <w:t>Remarks and further recommen</w:t>
                            </w:r>
                            <w:r>
                              <w:rPr>
                                <w:rFonts w:ascii="Helvetica 65 Medium" w:hAnsi="Helvetica 65 Medium" w:cs="Helvetica 65 Medium"/>
                                <w:color w:val="FFFFFF"/>
                                <w:sz w:val="17"/>
                                <w:szCs w:val="17"/>
                              </w:rPr>
                              <w:t xml:space="preserve">dations </w:t>
                            </w:r>
                          </w:p>
                        </w:tc>
                      </w:tr>
                      <w:tr w:rsidR="00000000" w14:paraId="4C7F14F2" w14:textId="77777777">
                        <w:tblPrEx>
                          <w:tblCellMar>
                            <w:top w:w="0" w:type="dxa"/>
                            <w:bottom w:w="0" w:type="dxa"/>
                          </w:tblCellMar>
                        </w:tblPrEx>
                        <w:trPr>
                          <w:wAfter w:w="1955" w:type="dxa"/>
                          <w:trHeight w:val="5660"/>
                        </w:trPr>
                        <w:tc>
                          <w:tcPr>
                            <w:tcW w:w="1707" w:type="dxa"/>
                            <w:gridSpan w:val="12"/>
                            <w:tcBorders>
                              <w:top w:val="single" w:sz="2" w:space="0" w:color="5E64A8"/>
                              <w:left w:val="single" w:sz="4" w:space="0" w:color="000000"/>
                              <w:bottom w:val="single" w:sz="4" w:space="0" w:color="000000"/>
                              <w:right w:val="single" w:sz="4" w:space="0" w:color="000000"/>
                            </w:tcBorders>
                          </w:tcPr>
                          <w:p w14:paraId="3B21E985" w14:textId="77777777" w:rsidR="00000000"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 xml:space="preserve">LATERAL Modified lateral (preferred channel) CARDINAL North cardinal East cardinal South cardinal West cardinal ISOLATED DANGER SAFE WATER SPECIAL </w:t>
                            </w:r>
                          </w:p>
                        </w:tc>
                        <w:tc>
                          <w:tcPr>
                            <w:tcW w:w="3490" w:type="dxa"/>
                            <w:gridSpan w:val="45"/>
                            <w:tcBorders>
                              <w:top w:val="single" w:sz="2" w:space="0" w:color="5E64A8"/>
                              <w:left w:val="single" w:sz="4" w:space="0" w:color="000000"/>
                              <w:bottom w:val="single" w:sz="4" w:space="0" w:color="000000"/>
                              <w:right w:val="single" w:sz="4" w:space="0" w:color="000000"/>
                            </w:tcBorders>
                          </w:tcPr>
                          <w:p w14:paraId="1F0863CB" w14:textId="77777777" w:rsidR="00000000"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All recommended classes of rhythmic character</w:t>
                            </w:r>
                            <w:r>
                              <w:rPr>
                                <w:rFonts w:ascii="Helvetica 55 Roman" w:hAnsi="Helvetica 55 Roman" w:cs="Helvetica 55 Roman"/>
                                <w:sz w:val="10"/>
                                <w:szCs w:val="10"/>
                              </w:rPr>
                              <w:t>18</w:t>
                            </w:r>
                            <w:r>
                              <w:rPr>
                                <w:rFonts w:ascii="Helvetica 55 Roman" w:hAnsi="Helvetica 55 Roman" w:cs="Helvetica 55 Roman"/>
                                <w:sz w:val="17"/>
                                <w:szCs w:val="17"/>
                              </w:rPr>
                              <w:t>, but a composite group flashing light with a group of (2 + 1) flashes is solely assigned to modified lateral marks that indicate preferred channels. Composite group flashing light with a group of (2 + 1) flashes, in a period of not more than 16 s (a) Cont</w:t>
                            </w:r>
                            <w:r>
                              <w:rPr>
                                <w:rFonts w:ascii="Helvetica 55 Roman" w:hAnsi="Helvetica 55 Roman" w:cs="Helvetica 55 Roman"/>
                                <w:sz w:val="17"/>
                                <w:szCs w:val="17"/>
                              </w:rPr>
                              <w:t>inuous very quick light. (b) Continuous quick light. (a) Group very quick light with a group of three flashes, in a period of 5 s. (b) Group quick light with a group of three flashes, in a period of 10 s. (a) Group very quick light with a group of six flas</w:t>
                            </w:r>
                            <w:r>
                              <w:rPr>
                                <w:rFonts w:ascii="Helvetica 55 Roman" w:hAnsi="Helvetica 55 Roman" w:cs="Helvetica 55 Roman"/>
                                <w:sz w:val="17"/>
                                <w:szCs w:val="17"/>
                              </w:rPr>
                              <w:t xml:space="preserve">hes followed by a long flash of not less than 2 s duration, in a period of 10 s. (b) Group quick light with a group of six flashes followed by a long flash of not less than 2 s duration, in a period of 15 s. (a) Group very quick light with a group of nine </w:t>
                            </w:r>
                            <w:r>
                              <w:rPr>
                                <w:rFonts w:ascii="Helvetica 55 Roman" w:hAnsi="Helvetica 55 Roman" w:cs="Helvetica 55 Roman"/>
                                <w:sz w:val="17"/>
                                <w:szCs w:val="17"/>
                              </w:rPr>
                              <w:t xml:space="preserve">flashes, in a period of 10 s. (b) Group quick light with a group of nine flashes, in a period of 15 s. (a) Group flashing light with a group of two flashes, in a period of 5 s. (b) Group flashing light with a group of two flashes, in a period of 10 s. (a) </w:t>
                            </w:r>
                            <w:r>
                              <w:rPr>
                                <w:rFonts w:ascii="Helvetica 55 Roman" w:hAnsi="Helvetica 55 Roman" w:cs="Helvetica 55 Roman"/>
                                <w:sz w:val="17"/>
                                <w:szCs w:val="17"/>
                              </w:rPr>
                              <w:t>Long flashing light with a period of 10 s. (b) Isophase light. (c) Single occulting light. (d) Morse Code light with the single character “A”. (a) Group occulting light. (b) Single flashing light, but not a long flashing light with a period of 10 s. (c) Gr</w:t>
                            </w:r>
                            <w:r>
                              <w:rPr>
                                <w:rFonts w:ascii="Helvetica 55 Roman" w:hAnsi="Helvetica 55 Roman" w:cs="Helvetica 55 Roman"/>
                                <w:sz w:val="17"/>
                                <w:szCs w:val="17"/>
                              </w:rPr>
                              <w:t xml:space="preserve">oup flashing light with a group of four, five or (exceptionally) six flashes. (d) Composite group flashing light. (e) Morse Code light, but not with either of the single characters “A” or “U”` </w:t>
                            </w:r>
                            <w:r>
                              <w:rPr>
                                <w:rFonts w:ascii="Helvetica 55 Roman" w:hAnsi="Helvetica 55 Roman" w:cs="Helvetica 55 Roman"/>
                                <w:sz w:val="10"/>
                                <w:szCs w:val="10"/>
                              </w:rPr>
                              <w:t>19</w:t>
                            </w:r>
                            <w:r>
                              <w:rPr>
                                <w:rFonts w:ascii="Helvetica 55 Roman" w:hAnsi="Helvetica 55 Roman" w:cs="Helvetica 55 Roman"/>
                                <w:sz w:val="17"/>
                                <w:szCs w:val="17"/>
                              </w:rPr>
                              <w:t xml:space="preserve">. </w:t>
                            </w:r>
                          </w:p>
                        </w:tc>
                        <w:tc>
                          <w:tcPr>
                            <w:tcW w:w="3972" w:type="dxa"/>
                            <w:gridSpan w:val="29"/>
                            <w:tcBorders>
                              <w:top w:val="single" w:sz="2" w:space="0" w:color="5E64A8"/>
                              <w:left w:val="single" w:sz="4" w:space="0" w:color="000000"/>
                              <w:bottom w:val="single" w:sz="4" w:space="0" w:color="000000"/>
                              <w:right w:val="single" w:sz="4" w:space="0" w:color="000000"/>
                            </w:tcBorders>
                          </w:tcPr>
                          <w:p w14:paraId="1FE9195F" w14:textId="77777777" w:rsidR="00000000"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Only the colours Red and Green are used. The duration of t</w:t>
                            </w:r>
                            <w:r>
                              <w:rPr>
                                <w:rFonts w:ascii="Helvetica 55 Roman" w:hAnsi="Helvetica 55 Roman" w:cs="Helvetica 55 Roman"/>
                                <w:sz w:val="17"/>
                                <w:szCs w:val="17"/>
                              </w:rPr>
                              <w:t xml:space="preserve">he eclipse after the single flash should not be less than three times the duration of the eclipse after the group of two flashes. Only the colour White is used. The duration of the eclipse immediately preceding a long flash should be equal to the duration </w:t>
                            </w:r>
                            <w:r>
                              <w:rPr>
                                <w:rFonts w:ascii="Helvetica 55 Roman" w:hAnsi="Helvetica 55 Roman" w:cs="Helvetica 55 Roman"/>
                                <w:sz w:val="17"/>
                                <w:szCs w:val="17"/>
                              </w:rPr>
                              <w:t>of the eclipses between the flashes at the very quick rate. The duration of a long flash should not be greater than the duration of the eclipse immediately following the long flash. The duration of the eclipse immediately preceding a long flash should be e</w:t>
                            </w:r>
                            <w:r>
                              <w:rPr>
                                <w:rFonts w:ascii="Helvetica 55 Roman" w:hAnsi="Helvetica 55 Roman" w:cs="Helvetica 55 Roman"/>
                                <w:sz w:val="17"/>
                                <w:szCs w:val="17"/>
                              </w:rPr>
                              <w:t>qual to the duration of the eclipses between the flashes at the quick rate. The duration of a long flash should not be greater than the duration of the eclipse immediately following the long flash. Only the colour White is used. The duration of a flash tog</w:t>
                            </w:r>
                            <w:r>
                              <w:rPr>
                                <w:rFonts w:ascii="Helvetica 55 Roman" w:hAnsi="Helvetica 55 Roman" w:cs="Helvetica 55 Roman"/>
                                <w:sz w:val="17"/>
                                <w:szCs w:val="17"/>
                              </w:rPr>
                              <w:t>ether with the duration of the eclipse within the group should be not less than 1 s and not more than 1.5 s. The duration of a flash together with the duration of the eclipse within the group should be not less than 2 s and not more than 3 s. Only the colo</w:t>
                            </w:r>
                            <w:r>
                              <w:rPr>
                                <w:rFonts w:ascii="Helvetica 55 Roman" w:hAnsi="Helvetica 55 Roman" w:cs="Helvetica 55 Roman"/>
                                <w:sz w:val="17"/>
                                <w:szCs w:val="17"/>
                              </w:rPr>
                              <w:t xml:space="preserve">ur White is used. Only the colour Yellow is used. A group flashing light with a group of five flashes at a rate of 30 flashes per minute, in a period of 20 s, is assigned to Ocean Data Acquisition Systems (ODAS) buoys. </w:t>
                            </w:r>
                          </w:p>
                        </w:tc>
                      </w:tr>
                      <w:tr w:rsidR="00000000" w14:paraId="08FC5DD9" w14:textId="77777777">
                        <w:tblPrEx>
                          <w:tblCellMar>
                            <w:top w:w="0" w:type="dxa"/>
                            <w:bottom w:w="0" w:type="dxa"/>
                          </w:tblCellMar>
                        </w:tblPrEx>
                        <w:trPr>
                          <w:wAfter w:w="1955" w:type="dxa"/>
                          <w:trHeight w:val="337"/>
                        </w:trPr>
                        <w:tc>
                          <w:tcPr>
                            <w:tcW w:w="1707" w:type="dxa"/>
                            <w:gridSpan w:val="12"/>
                            <w:tcBorders>
                              <w:top w:val="single" w:sz="4" w:space="0" w:color="000000"/>
                              <w:left w:val="single" w:sz="4" w:space="0" w:color="000000"/>
                              <w:bottom w:val="single" w:sz="4" w:space="0" w:color="000000"/>
                              <w:right w:val="single" w:sz="4" w:space="0" w:color="000000"/>
                            </w:tcBorders>
                            <w:shd w:val="clear" w:color="auto" w:fill="E8E7F3"/>
                            <w:vAlign w:val="center"/>
                          </w:tcPr>
                          <w:p w14:paraId="42537409" w14:textId="77777777" w:rsidR="00000000"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 xml:space="preserve">EMERGENCY WRECK MARKING BUOY </w:t>
                            </w:r>
                          </w:p>
                        </w:tc>
                        <w:tc>
                          <w:tcPr>
                            <w:tcW w:w="3490" w:type="dxa"/>
                            <w:gridSpan w:val="45"/>
                            <w:tcBorders>
                              <w:top w:val="single" w:sz="4" w:space="0" w:color="000000"/>
                              <w:left w:val="single" w:sz="4" w:space="0" w:color="000000"/>
                              <w:bottom w:val="single" w:sz="4" w:space="0" w:color="000000"/>
                              <w:right w:val="single" w:sz="4" w:space="0" w:color="000000"/>
                            </w:tcBorders>
                            <w:shd w:val="clear" w:color="auto" w:fill="E8E7F3"/>
                          </w:tcPr>
                          <w:p w14:paraId="16975B3C" w14:textId="77777777" w:rsidR="00000000"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 xml:space="preserve">1 s of blue light and 1 s of yellow light with 0.5 s of darkness between </w:t>
                            </w:r>
                          </w:p>
                        </w:tc>
                        <w:tc>
                          <w:tcPr>
                            <w:tcW w:w="3972" w:type="dxa"/>
                            <w:gridSpan w:val="29"/>
                            <w:tcBorders>
                              <w:top w:val="single" w:sz="4" w:space="0" w:color="000000"/>
                              <w:left w:val="single" w:sz="4" w:space="0" w:color="000000"/>
                              <w:bottom w:val="single" w:sz="4" w:space="0" w:color="000000"/>
                              <w:right w:val="single" w:sz="4" w:space="0" w:color="000000"/>
                            </w:tcBorders>
                            <w:shd w:val="clear" w:color="auto" w:fill="E8E7F3"/>
                          </w:tcPr>
                          <w:p w14:paraId="4793B7BB" w14:textId="77777777" w:rsidR="00000000" w:rsidRDefault="00A450E1">
                            <w:pPr>
                              <w:pStyle w:val="Default"/>
                              <w:rPr>
                                <w:rFonts w:ascii="Helvetica 55 Roman" w:hAnsi="Helvetica 55 Roman" w:cs="Helvetica 55 Roman"/>
                                <w:sz w:val="17"/>
                                <w:szCs w:val="17"/>
                              </w:rPr>
                            </w:pPr>
                            <w:r>
                              <w:rPr>
                                <w:rFonts w:ascii="Helvetica 55 Roman" w:hAnsi="Helvetica 55 Roman" w:cs="Helvetica 55 Roman"/>
                                <w:sz w:val="17"/>
                                <w:szCs w:val="17"/>
                              </w:rPr>
                              <w:t xml:space="preserve">Yellow/blue alternating </w:t>
                            </w:r>
                          </w:p>
                        </w:tc>
                      </w:tr>
                    </w:tbl>
                  </w:txbxContent>
                </v:textbox>
                <w10:wrap type="through" anchorx="page" anchory="page"/>
              </v:shape>
            </w:pict>
          </mc:Fallback>
        </mc:AlternateContent>
      </w:r>
    </w:p>
    <w:p w14:paraId="5DB06D9C" w14:textId="77777777" w:rsidR="00541A14" w:rsidRDefault="00A450E1">
      <w:pPr>
        <w:pStyle w:val="CM169"/>
        <w:spacing w:after="65"/>
        <w:rPr>
          <w:rFonts w:ascii="Palatino" w:hAnsi="Palatino" w:cs="Palatino"/>
          <w:sz w:val="20"/>
          <w:szCs w:val="20"/>
        </w:rPr>
      </w:pPr>
      <w:r>
        <w:rPr>
          <w:rFonts w:ascii="Palatino" w:hAnsi="Palatino" w:cs="Palatino"/>
          <w:position w:val="6"/>
          <w:vertAlign w:val="superscript"/>
        </w:rPr>
        <w:t>18</w:t>
      </w:r>
      <w:r>
        <w:rPr>
          <w:rFonts w:ascii="Palatino" w:hAnsi="Palatino" w:cs="Palatino"/>
          <w:sz w:val="20"/>
          <w:szCs w:val="20"/>
        </w:rPr>
        <w:t>A single fixed light shall not be used on a mark within the scope of the IALA Maritime Buoyage System</w:t>
      </w:r>
    </w:p>
    <w:p w14:paraId="5469D7EE" w14:textId="77777777" w:rsidR="00541A14" w:rsidRDefault="00A450E1">
      <w:pPr>
        <w:pStyle w:val="CM162"/>
        <w:spacing w:after="552" w:line="291" w:lineRule="atLeast"/>
        <w:rPr>
          <w:rFonts w:ascii="Palatino" w:hAnsi="Palatino" w:cs="Palatino"/>
          <w:sz w:val="18"/>
          <w:szCs w:val="18"/>
        </w:rPr>
      </w:pPr>
      <w:r>
        <w:rPr>
          <w:rFonts w:ascii="Palatino" w:hAnsi="Palatino" w:cs="Palatino"/>
          <w:sz w:val="18"/>
          <w:szCs w:val="18"/>
        </w:rPr>
        <w:t xml:space="preserve">because it may not be recognized as an aid to navigation light. </w:t>
      </w:r>
      <w:r>
        <w:rPr>
          <w:rFonts w:ascii="Palatino" w:hAnsi="Palatino" w:cs="Palatino"/>
          <w:position w:val="6"/>
          <w:sz w:val="18"/>
          <w:szCs w:val="18"/>
          <w:vertAlign w:val="superscript"/>
        </w:rPr>
        <w:t>19</w:t>
      </w:r>
      <w:r>
        <w:rPr>
          <w:rFonts w:ascii="Palatino" w:hAnsi="Palatino" w:cs="Palatino"/>
          <w:sz w:val="20"/>
          <w:szCs w:val="20"/>
        </w:rPr>
        <w:t>A Morse Code white light with the single character “U” is assigned to offshore structures</w:t>
      </w:r>
      <w:r>
        <w:rPr>
          <w:rFonts w:ascii="Palatino" w:hAnsi="Palatino" w:cs="Palatino"/>
          <w:sz w:val="18"/>
          <w:szCs w:val="18"/>
        </w:rPr>
        <w:t xml:space="preserve">. </w:t>
      </w:r>
    </w:p>
    <w:p w14:paraId="7B8DB2A1" w14:textId="77777777" w:rsidR="00541A14" w:rsidRDefault="00DD420F">
      <w:pPr>
        <w:pStyle w:val="Default"/>
        <w:framePr w:w="10730" w:wrap="auto" w:vAnchor="page" w:hAnchor="page" w:x="608" w:y="16278"/>
        <w:rPr>
          <w:rFonts w:ascii="Palatino" w:hAnsi="Palatino" w:cs="Palatino"/>
          <w:color w:val="auto"/>
          <w:sz w:val="18"/>
          <w:szCs w:val="18"/>
        </w:rPr>
      </w:pPr>
      <w:r>
        <w:rPr>
          <w:rFonts w:ascii="Palatino" w:hAnsi="Palatino" w:cs="Palatino"/>
          <w:noProof/>
          <w:color w:val="auto"/>
          <w:sz w:val="18"/>
          <w:szCs w:val="18"/>
        </w:rPr>
        <w:drawing>
          <wp:inline distT="0" distB="0" distL="0" distR="0" wp14:anchorId="7C55043F" wp14:editId="6490D37B">
            <wp:extent cx="7553960" cy="420370"/>
            <wp:effectExtent l="0" t="0" r="0" b="1143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060ABD48" w14:textId="77777777" w:rsidR="00541A14" w:rsidRDefault="00DD420F">
      <w:pPr>
        <w:pStyle w:val="Default"/>
        <w:pageBreakBefore/>
        <w:framePr w:w="12857" w:wrap="auto" w:vAnchor="page" w:hAnchor="page" w:x="101" w:y="1"/>
        <w:spacing w:after="260"/>
        <w:rPr>
          <w:rFonts w:ascii="Palatino" w:hAnsi="Palatino" w:cs="Palatino"/>
          <w:color w:val="auto"/>
          <w:sz w:val="18"/>
          <w:szCs w:val="18"/>
        </w:rPr>
      </w:pPr>
      <w:r>
        <w:rPr>
          <w:rFonts w:ascii="Palatino" w:hAnsi="Palatino" w:cs="Palatino"/>
          <w:noProof/>
          <w:color w:val="auto"/>
          <w:sz w:val="18"/>
          <w:szCs w:val="18"/>
        </w:rPr>
        <w:drawing>
          <wp:inline distT="0" distB="0" distL="0" distR="0" wp14:anchorId="230DF36C" wp14:editId="694032A0">
            <wp:extent cx="7553960" cy="115316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650C311F" w14:textId="77777777" w:rsidR="00541A14" w:rsidRDefault="00A450E1">
      <w:pPr>
        <w:pStyle w:val="CM175"/>
        <w:spacing w:after="267"/>
        <w:jc w:val="both"/>
        <w:rPr>
          <w:rFonts w:ascii="Futura Book" w:hAnsi="Futura Book" w:cs="Futura Book"/>
          <w:color w:val="2C5062"/>
          <w:sz w:val="22"/>
          <w:szCs w:val="22"/>
        </w:rPr>
      </w:pPr>
      <w:r>
        <w:rPr>
          <w:rFonts w:ascii="Futura Book" w:hAnsi="Futura Book" w:cs="Futura Book"/>
          <w:b/>
          <w:bCs/>
          <w:color w:val="2C5062"/>
          <w:sz w:val="22"/>
          <w:szCs w:val="22"/>
        </w:rPr>
        <w:t xml:space="preserve">Maximum Periods for Light Characters </w:t>
      </w:r>
    </w:p>
    <w:p w14:paraId="1FC5546C" w14:textId="77777777" w:rsidR="00541A14" w:rsidRDefault="00A450E1">
      <w:pPr>
        <w:pStyle w:val="CM165"/>
        <w:spacing w:after="85"/>
        <w:ind w:left="260"/>
        <w:jc w:val="both"/>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704464C2" w14:textId="77777777" w:rsidR="00541A14" w:rsidRDefault="009E3F25">
      <w:pPr>
        <w:pStyle w:val="CM175"/>
        <w:spacing w:after="267"/>
        <w:ind w:left="260"/>
        <w:jc w:val="both"/>
        <w:rPr>
          <w:rFonts w:ascii="Palatino" w:hAnsi="Palatino" w:cs="Palatino"/>
          <w:color w:val="000000"/>
          <w:sz w:val="20"/>
          <w:szCs w:val="20"/>
        </w:rPr>
      </w:pPr>
      <w:hyperlink r:id="rId134" w:history="1">
        <w:r w:rsidR="00A450E1">
          <w:rPr>
            <w:rFonts w:ascii="Palatino" w:hAnsi="Palatino" w:cs="Palatino"/>
            <w:i/>
            <w:iCs/>
            <w:color w:val="000000"/>
            <w:sz w:val="20"/>
            <w:szCs w:val="20"/>
          </w:rPr>
          <w:t xml:space="preserve">Recommendation E-110 for the rhythmic characters of lights on aids to navigation </w:t>
        </w:r>
      </w:hyperlink>
    </w:p>
    <w:p w14:paraId="0ADA6928"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Table 9  is an extract of the recommended maximum periods for rhythmic characters of lights. </w:t>
      </w:r>
    </w:p>
    <w:p w14:paraId="7800CE9D" w14:textId="77777777" w:rsidR="00541A14" w:rsidRDefault="00A450E1">
      <w:pPr>
        <w:pStyle w:val="CM172"/>
        <w:spacing w:after="202"/>
        <w:ind w:left="825" w:right="337"/>
        <w:rPr>
          <w:rFonts w:ascii="Palatino" w:hAnsi="Palatino" w:cs="Palatino"/>
          <w:color w:val="000000"/>
          <w:sz w:val="20"/>
          <w:szCs w:val="20"/>
        </w:rPr>
      </w:pPr>
      <w:r>
        <w:rPr>
          <w:rFonts w:ascii="Palatino" w:hAnsi="Palatino" w:cs="Palatino"/>
          <w:b/>
          <w:bCs/>
          <w:color w:val="000000"/>
          <w:sz w:val="20"/>
          <w:szCs w:val="20"/>
        </w:rPr>
        <w:t xml:space="preserve">Table 9 – Maximum period for rhythmic characters of aids to navigation lights </w:t>
      </w:r>
    </w:p>
    <w:p w14:paraId="520347E2"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71552" behindDoc="0" locked="0" layoutInCell="0" allowOverlap="1" wp14:anchorId="5EE30D66" wp14:editId="4785E3C3">
                <wp:simplePos x="0" y="0"/>
                <wp:positionH relativeFrom="page">
                  <wp:posOffset>1525270</wp:posOffset>
                </wp:positionH>
                <wp:positionV relativeFrom="page">
                  <wp:posOffset>2670810</wp:posOffset>
                </wp:positionV>
                <wp:extent cx="4577715" cy="5189220"/>
                <wp:effectExtent l="0" t="0" r="0" b="0"/>
                <wp:wrapThrough wrapText="bothSides">
                  <wp:wrapPolygon edited="0">
                    <wp:start x="0" y="0"/>
                    <wp:lineTo x="21600" y="0"/>
                    <wp:lineTo x="21600" y="21600"/>
                    <wp:lineTo x="0" y="21600"/>
                    <wp:lineTo x="0" y="0"/>
                  </wp:wrapPolygon>
                </wp:wrapThrough>
                <wp:docPr id="54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7715" cy="518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4537"/>
                              <w:gridCol w:w="1872"/>
                            </w:tblGrid>
                            <w:tr w:rsidR="00541A14" w14:paraId="5A62928C" w14:textId="77777777">
                              <w:trPr>
                                <w:trHeight w:val="323"/>
                              </w:trPr>
                              <w:tc>
                                <w:tcPr>
                                  <w:tcW w:w="4537" w:type="dxa"/>
                                  <w:tcBorders>
                                    <w:top w:val="single" w:sz="4" w:space="0" w:color="0E0F1A"/>
                                    <w:left w:val="single" w:sz="4" w:space="0" w:color="000002"/>
                                    <w:right w:val="single" w:sz="4" w:space="0" w:color="020204"/>
                                  </w:tcBorders>
                                  <w:shd w:val="clear" w:color="auto" w:fill="5E64A8"/>
                                  <w:vAlign w:val="center"/>
                                </w:tcPr>
                                <w:p w14:paraId="73FCF5D9"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Character Class </w:t>
                                  </w:r>
                                </w:p>
                              </w:tc>
                              <w:tc>
                                <w:tcPr>
                                  <w:tcW w:w="1872" w:type="dxa"/>
                                  <w:tcBorders>
                                    <w:top w:val="single" w:sz="4" w:space="0" w:color="0E0F1A"/>
                                    <w:left w:val="single" w:sz="4" w:space="0" w:color="020204"/>
                                    <w:right w:val="single" w:sz="4" w:space="0" w:color="000002"/>
                                  </w:tcBorders>
                                  <w:shd w:val="clear" w:color="auto" w:fill="5E64A8"/>
                                  <w:vAlign w:val="center"/>
                                </w:tcPr>
                                <w:p w14:paraId="4A7089C8"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Maximum period (seconds) </w:t>
                                  </w:r>
                                </w:p>
                              </w:tc>
                            </w:tr>
                            <w:tr w:rsidR="00541A14" w14:paraId="1875BBB3" w14:textId="77777777">
                              <w:trPr>
                                <w:trHeight w:val="215"/>
                              </w:trPr>
                              <w:tc>
                                <w:tcPr>
                                  <w:tcW w:w="4537" w:type="dxa"/>
                                  <w:tcBorders>
                                    <w:top w:val="single" w:sz="2" w:space="0" w:color="5E64A8"/>
                                    <w:left w:val="single" w:sz="4" w:space="0" w:color="000002"/>
                                    <w:right w:val="single" w:sz="4" w:space="0" w:color="020204"/>
                                  </w:tcBorders>
                                  <w:shd w:val="clear" w:color="auto" w:fill="E8E7F3"/>
                                  <w:vAlign w:val="center"/>
                                </w:tcPr>
                                <w:p w14:paraId="129CFD5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Isophase light </w:t>
                                  </w:r>
                                </w:p>
                              </w:tc>
                              <w:tc>
                                <w:tcPr>
                                  <w:tcW w:w="1872" w:type="dxa"/>
                                  <w:tcBorders>
                                    <w:top w:val="single" w:sz="2" w:space="0" w:color="5E64A8"/>
                                    <w:left w:val="single" w:sz="4" w:space="0" w:color="020204"/>
                                    <w:right w:val="single" w:sz="4" w:space="0" w:color="000002"/>
                                  </w:tcBorders>
                                  <w:shd w:val="clear" w:color="auto" w:fill="E8E7F3"/>
                                  <w:vAlign w:val="center"/>
                                </w:tcPr>
                                <w:p w14:paraId="2BAFF5C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 </w:t>
                                  </w:r>
                                </w:p>
                              </w:tc>
                            </w:tr>
                            <w:tr w:rsidR="00541A14" w14:paraId="482C7974" w14:textId="77777777">
                              <w:trPr>
                                <w:trHeight w:val="212"/>
                              </w:trPr>
                              <w:tc>
                                <w:tcPr>
                                  <w:tcW w:w="4537" w:type="dxa"/>
                                  <w:tcBorders>
                                    <w:left w:val="single" w:sz="4" w:space="0" w:color="000002"/>
                                    <w:right w:val="single" w:sz="4" w:space="0" w:color="020204"/>
                                  </w:tcBorders>
                                  <w:vAlign w:val="center"/>
                                </w:tcPr>
                                <w:p w14:paraId="77AE900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Single-occulting light </w:t>
                                  </w:r>
                                </w:p>
                              </w:tc>
                              <w:tc>
                                <w:tcPr>
                                  <w:tcW w:w="1872" w:type="dxa"/>
                                  <w:tcBorders>
                                    <w:left w:val="single" w:sz="4" w:space="0" w:color="020204"/>
                                    <w:right w:val="single" w:sz="4" w:space="0" w:color="000002"/>
                                  </w:tcBorders>
                                  <w:vAlign w:val="center"/>
                                </w:tcPr>
                                <w:p w14:paraId="7ED839C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541A14" w14:paraId="72866859" w14:textId="77777777">
                              <w:trPr>
                                <w:trHeight w:val="213"/>
                              </w:trPr>
                              <w:tc>
                                <w:tcPr>
                                  <w:tcW w:w="4537" w:type="dxa"/>
                                  <w:tcBorders>
                                    <w:left w:val="single" w:sz="4" w:space="0" w:color="000002"/>
                                    <w:right w:val="single" w:sz="4" w:space="0" w:color="020204"/>
                                  </w:tcBorders>
                                  <w:shd w:val="clear" w:color="auto" w:fill="E8E7F3"/>
                                  <w:vAlign w:val="center"/>
                                </w:tcPr>
                                <w:p w14:paraId="6D3C36F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Single-flashing light </w:t>
                                  </w:r>
                                </w:p>
                              </w:tc>
                              <w:tc>
                                <w:tcPr>
                                  <w:tcW w:w="1872" w:type="dxa"/>
                                  <w:tcBorders>
                                    <w:left w:val="single" w:sz="4" w:space="0" w:color="020204"/>
                                    <w:right w:val="single" w:sz="4" w:space="0" w:color="000002"/>
                                  </w:tcBorders>
                                  <w:shd w:val="clear" w:color="auto" w:fill="E8E7F3"/>
                                  <w:vAlign w:val="center"/>
                                </w:tcPr>
                                <w:p w14:paraId="3A15D48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541A14" w14:paraId="5E3AEA09" w14:textId="77777777">
                              <w:trPr>
                                <w:trHeight w:val="212"/>
                              </w:trPr>
                              <w:tc>
                                <w:tcPr>
                                  <w:tcW w:w="4537" w:type="dxa"/>
                                  <w:tcBorders>
                                    <w:left w:val="single" w:sz="4" w:space="0" w:color="000002"/>
                                    <w:right w:val="single" w:sz="4" w:space="0" w:color="020204"/>
                                  </w:tcBorders>
                                  <w:vAlign w:val="center"/>
                                </w:tcPr>
                                <w:p w14:paraId="295E187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 very quick light </w:t>
                                  </w:r>
                                </w:p>
                              </w:tc>
                              <w:tc>
                                <w:tcPr>
                                  <w:tcW w:w="1872" w:type="dxa"/>
                                  <w:tcBorders>
                                    <w:left w:val="single" w:sz="4" w:space="0" w:color="020204"/>
                                    <w:right w:val="single" w:sz="4" w:space="0" w:color="000002"/>
                                  </w:tcBorders>
                                  <w:vAlign w:val="center"/>
                                </w:tcPr>
                                <w:p w14:paraId="19DD6A1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541A14" w14:paraId="76EF5926" w14:textId="77777777">
                              <w:trPr>
                                <w:trHeight w:val="212"/>
                              </w:trPr>
                              <w:tc>
                                <w:tcPr>
                                  <w:tcW w:w="4537" w:type="dxa"/>
                                  <w:tcBorders>
                                    <w:left w:val="single" w:sz="4" w:space="0" w:color="000002"/>
                                    <w:right w:val="single" w:sz="4" w:space="0" w:color="020204"/>
                                  </w:tcBorders>
                                  <w:shd w:val="clear" w:color="auto" w:fill="E8E7F3"/>
                                  <w:vAlign w:val="center"/>
                                </w:tcPr>
                                <w:p w14:paraId="15314FA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Interrupted very quick light </w:t>
                                  </w:r>
                                </w:p>
                              </w:tc>
                              <w:tc>
                                <w:tcPr>
                                  <w:tcW w:w="1872" w:type="dxa"/>
                                  <w:tcBorders>
                                    <w:left w:val="single" w:sz="4" w:space="0" w:color="020204"/>
                                    <w:right w:val="single" w:sz="4" w:space="0" w:color="000002"/>
                                  </w:tcBorders>
                                  <w:shd w:val="clear" w:color="auto" w:fill="E8E7F3"/>
                                  <w:vAlign w:val="center"/>
                                </w:tcPr>
                                <w:p w14:paraId="1FC8D71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541A14" w14:paraId="7160F48C" w14:textId="77777777">
                              <w:trPr>
                                <w:trHeight w:val="213"/>
                              </w:trPr>
                              <w:tc>
                                <w:tcPr>
                                  <w:tcW w:w="4537" w:type="dxa"/>
                                  <w:tcBorders>
                                    <w:left w:val="single" w:sz="4" w:space="0" w:color="000002"/>
                                    <w:right w:val="single" w:sz="4" w:space="0" w:color="020204"/>
                                  </w:tcBorders>
                                  <w:vAlign w:val="center"/>
                                </w:tcPr>
                                <w:p w14:paraId="573C0CE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Interrupted ultra quick light </w:t>
                                  </w:r>
                                </w:p>
                              </w:tc>
                              <w:tc>
                                <w:tcPr>
                                  <w:tcW w:w="1872" w:type="dxa"/>
                                  <w:tcBorders>
                                    <w:left w:val="single" w:sz="4" w:space="0" w:color="020204"/>
                                    <w:right w:val="single" w:sz="4" w:space="0" w:color="000002"/>
                                  </w:tcBorders>
                                  <w:vAlign w:val="center"/>
                                </w:tcPr>
                                <w:p w14:paraId="35C8BF5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541A14" w14:paraId="5F431E12" w14:textId="77777777">
                              <w:trPr>
                                <w:trHeight w:val="212"/>
                              </w:trPr>
                              <w:tc>
                                <w:tcPr>
                                  <w:tcW w:w="4537" w:type="dxa"/>
                                  <w:tcBorders>
                                    <w:left w:val="single" w:sz="4" w:space="0" w:color="000002"/>
                                    <w:right w:val="single" w:sz="4" w:space="0" w:color="020204"/>
                                  </w:tcBorders>
                                  <w:shd w:val="clear" w:color="auto" w:fill="E8E7F3"/>
                                  <w:vAlign w:val="center"/>
                                </w:tcPr>
                                <w:p w14:paraId="2F92827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Group-occulting light </w:t>
                                  </w:r>
                                </w:p>
                              </w:tc>
                              <w:tc>
                                <w:tcPr>
                                  <w:tcW w:w="1872" w:type="dxa"/>
                                  <w:tcBorders>
                                    <w:left w:val="single" w:sz="4" w:space="0" w:color="020204"/>
                                    <w:right w:val="single" w:sz="4" w:space="0" w:color="000002"/>
                                  </w:tcBorders>
                                  <w:shd w:val="clear" w:color="auto" w:fill="E8E7F3"/>
                                  <w:vAlign w:val="center"/>
                                </w:tcPr>
                                <w:p w14:paraId="22A2EBF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541A14" w14:paraId="3FD1F7ED" w14:textId="77777777">
                              <w:trPr>
                                <w:trHeight w:val="213"/>
                              </w:trPr>
                              <w:tc>
                                <w:tcPr>
                                  <w:tcW w:w="4537" w:type="dxa"/>
                                  <w:tcBorders>
                                    <w:left w:val="single" w:sz="4" w:space="0" w:color="000002"/>
                                    <w:right w:val="single" w:sz="4" w:space="0" w:color="020204"/>
                                  </w:tcBorders>
                                  <w:vAlign w:val="center"/>
                                </w:tcPr>
                                <w:p w14:paraId="2CE5935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Long-flashing light </w:t>
                                  </w:r>
                                </w:p>
                              </w:tc>
                              <w:tc>
                                <w:tcPr>
                                  <w:tcW w:w="1872" w:type="dxa"/>
                                  <w:tcBorders>
                                    <w:left w:val="single" w:sz="4" w:space="0" w:color="020204"/>
                                    <w:right w:val="single" w:sz="4" w:space="0" w:color="000002"/>
                                  </w:tcBorders>
                                  <w:vAlign w:val="center"/>
                                </w:tcPr>
                                <w:p w14:paraId="7E528C0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541A14" w14:paraId="2ABD7D88" w14:textId="77777777">
                              <w:trPr>
                                <w:trHeight w:val="212"/>
                              </w:trPr>
                              <w:tc>
                                <w:tcPr>
                                  <w:tcW w:w="4537" w:type="dxa"/>
                                  <w:tcBorders>
                                    <w:left w:val="single" w:sz="4" w:space="0" w:color="000002"/>
                                    <w:right w:val="single" w:sz="4" w:space="0" w:color="020204"/>
                                  </w:tcBorders>
                                  <w:shd w:val="clear" w:color="auto" w:fill="E8E7F3"/>
                                  <w:vAlign w:val="center"/>
                                </w:tcPr>
                                <w:p w14:paraId="752118C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Group-flashing lights of two flashes </w:t>
                                  </w:r>
                                </w:p>
                              </w:tc>
                              <w:tc>
                                <w:tcPr>
                                  <w:tcW w:w="1872" w:type="dxa"/>
                                  <w:tcBorders>
                                    <w:left w:val="single" w:sz="4" w:space="0" w:color="020204"/>
                                    <w:right w:val="single" w:sz="4" w:space="0" w:color="000002"/>
                                  </w:tcBorders>
                                  <w:shd w:val="clear" w:color="auto" w:fill="E8E7F3"/>
                                  <w:vAlign w:val="center"/>
                                </w:tcPr>
                                <w:p w14:paraId="11C0C11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541A14" w14:paraId="6DA3C560" w14:textId="77777777">
                              <w:trPr>
                                <w:trHeight w:val="212"/>
                              </w:trPr>
                              <w:tc>
                                <w:tcPr>
                                  <w:tcW w:w="4537" w:type="dxa"/>
                                  <w:tcBorders>
                                    <w:left w:val="single" w:sz="4" w:space="0" w:color="000002"/>
                                    <w:right w:val="single" w:sz="4" w:space="0" w:color="020204"/>
                                  </w:tcBorders>
                                  <w:vAlign w:val="center"/>
                                </w:tcPr>
                                <w:p w14:paraId="428597E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Group-quick light </w:t>
                                  </w:r>
                                </w:p>
                              </w:tc>
                              <w:tc>
                                <w:tcPr>
                                  <w:tcW w:w="1872" w:type="dxa"/>
                                  <w:tcBorders>
                                    <w:left w:val="single" w:sz="4" w:space="0" w:color="020204"/>
                                    <w:right w:val="single" w:sz="4" w:space="0" w:color="000002"/>
                                  </w:tcBorders>
                                  <w:vAlign w:val="center"/>
                                </w:tcPr>
                                <w:p w14:paraId="1A208BE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541A14" w14:paraId="0F9F07A4" w14:textId="77777777">
                              <w:trPr>
                                <w:trHeight w:val="213"/>
                              </w:trPr>
                              <w:tc>
                                <w:tcPr>
                                  <w:tcW w:w="4537" w:type="dxa"/>
                                  <w:tcBorders>
                                    <w:left w:val="single" w:sz="4" w:space="0" w:color="000002"/>
                                    <w:right w:val="single" w:sz="4" w:space="0" w:color="020204"/>
                                  </w:tcBorders>
                                  <w:shd w:val="clear" w:color="auto" w:fill="E8E7F3"/>
                                  <w:vAlign w:val="center"/>
                                </w:tcPr>
                                <w:p w14:paraId="3ED7F76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Interrupted quick light </w:t>
                                  </w:r>
                                </w:p>
                              </w:tc>
                              <w:tc>
                                <w:tcPr>
                                  <w:tcW w:w="1872" w:type="dxa"/>
                                  <w:tcBorders>
                                    <w:left w:val="single" w:sz="4" w:space="0" w:color="020204"/>
                                    <w:right w:val="single" w:sz="4" w:space="0" w:color="000002"/>
                                  </w:tcBorders>
                                  <w:shd w:val="clear" w:color="auto" w:fill="E8E7F3"/>
                                  <w:vAlign w:val="center"/>
                                </w:tcPr>
                                <w:p w14:paraId="7E39EF5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541A14" w14:paraId="70E0C68D" w14:textId="77777777">
                              <w:trPr>
                                <w:trHeight w:val="212"/>
                              </w:trPr>
                              <w:tc>
                                <w:tcPr>
                                  <w:tcW w:w="4537" w:type="dxa"/>
                                  <w:tcBorders>
                                    <w:left w:val="single" w:sz="4" w:space="0" w:color="000002"/>
                                    <w:right w:val="single" w:sz="4" w:space="0" w:color="020204"/>
                                  </w:tcBorders>
                                  <w:vAlign w:val="center"/>
                                </w:tcPr>
                                <w:p w14:paraId="62F4D2F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Group-occulting light of three or more eclipses </w:t>
                                  </w:r>
                                </w:p>
                              </w:tc>
                              <w:tc>
                                <w:tcPr>
                                  <w:tcW w:w="1872" w:type="dxa"/>
                                  <w:tcBorders>
                                    <w:left w:val="single" w:sz="4" w:space="0" w:color="020204"/>
                                    <w:right w:val="single" w:sz="4" w:space="0" w:color="000002"/>
                                  </w:tcBorders>
                                  <w:vAlign w:val="center"/>
                                </w:tcPr>
                                <w:p w14:paraId="654DB33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 </w:t>
                                  </w:r>
                                </w:p>
                              </w:tc>
                            </w:tr>
                            <w:tr w:rsidR="00541A14" w14:paraId="7C93D6EA" w14:textId="77777777">
                              <w:trPr>
                                <w:trHeight w:val="212"/>
                              </w:trPr>
                              <w:tc>
                                <w:tcPr>
                                  <w:tcW w:w="4537" w:type="dxa"/>
                                  <w:tcBorders>
                                    <w:left w:val="single" w:sz="4" w:space="0" w:color="000002"/>
                                    <w:right w:val="single" w:sz="4" w:space="0" w:color="020204"/>
                                  </w:tcBorders>
                                  <w:shd w:val="clear" w:color="auto" w:fill="E8E7F3"/>
                                  <w:vAlign w:val="center"/>
                                </w:tcPr>
                                <w:p w14:paraId="7A2E084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Group-flashing light of three or more flashes </w:t>
                                  </w:r>
                                </w:p>
                              </w:tc>
                              <w:tc>
                                <w:tcPr>
                                  <w:tcW w:w="1872" w:type="dxa"/>
                                  <w:tcBorders>
                                    <w:left w:val="single" w:sz="4" w:space="0" w:color="020204"/>
                                    <w:right w:val="single" w:sz="4" w:space="0" w:color="000002"/>
                                  </w:tcBorders>
                                  <w:shd w:val="clear" w:color="auto" w:fill="E8E7F3"/>
                                  <w:vAlign w:val="center"/>
                                </w:tcPr>
                                <w:p w14:paraId="5301868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 </w:t>
                                  </w:r>
                                </w:p>
                              </w:tc>
                            </w:tr>
                            <w:tr w:rsidR="00541A14" w14:paraId="1BC984C0" w14:textId="77777777">
                              <w:trPr>
                                <w:trHeight w:val="213"/>
                              </w:trPr>
                              <w:tc>
                                <w:tcPr>
                                  <w:tcW w:w="4537" w:type="dxa"/>
                                  <w:tcBorders>
                                    <w:left w:val="single" w:sz="4" w:space="0" w:color="000002"/>
                                    <w:right w:val="single" w:sz="4" w:space="0" w:color="020204"/>
                                  </w:tcBorders>
                                  <w:vAlign w:val="center"/>
                                </w:tcPr>
                                <w:p w14:paraId="4EA8CD5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Composite group-flashing light </w:t>
                                  </w:r>
                                </w:p>
                              </w:tc>
                              <w:tc>
                                <w:tcPr>
                                  <w:tcW w:w="1872" w:type="dxa"/>
                                  <w:tcBorders>
                                    <w:left w:val="single" w:sz="4" w:space="0" w:color="020204"/>
                                    <w:right w:val="single" w:sz="4" w:space="0" w:color="000002"/>
                                  </w:tcBorders>
                                  <w:vAlign w:val="center"/>
                                </w:tcPr>
                                <w:p w14:paraId="3CDA3FA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 </w:t>
                                  </w:r>
                                </w:p>
                              </w:tc>
                            </w:tr>
                            <w:tr w:rsidR="00541A14" w14:paraId="2FC89813" w14:textId="77777777">
                              <w:trPr>
                                <w:trHeight w:val="212"/>
                              </w:trPr>
                              <w:tc>
                                <w:tcPr>
                                  <w:tcW w:w="4537" w:type="dxa"/>
                                  <w:tcBorders>
                                    <w:left w:val="single" w:sz="4" w:space="0" w:color="000002"/>
                                    <w:bottom w:val="single" w:sz="4" w:space="0" w:color="000000"/>
                                    <w:right w:val="single" w:sz="4" w:space="0" w:color="020204"/>
                                  </w:tcBorders>
                                  <w:shd w:val="clear" w:color="auto" w:fill="E8E7F3"/>
                                  <w:vAlign w:val="center"/>
                                </w:tcPr>
                                <w:p w14:paraId="1CF6765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Morse code light </w:t>
                                  </w:r>
                                </w:p>
                              </w:tc>
                              <w:tc>
                                <w:tcPr>
                                  <w:tcW w:w="1872" w:type="dxa"/>
                                  <w:tcBorders>
                                    <w:left w:val="single" w:sz="4" w:space="0" w:color="020204"/>
                                    <w:bottom w:val="single" w:sz="4" w:space="0" w:color="000000"/>
                                    <w:right w:val="single" w:sz="4" w:space="0" w:color="000002"/>
                                  </w:tcBorders>
                                  <w:shd w:val="clear" w:color="auto" w:fill="E8E7F3"/>
                                  <w:vAlign w:val="center"/>
                                </w:tcPr>
                                <w:p w14:paraId="3627CBF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 </w:t>
                                  </w:r>
                                </w:p>
                              </w:tc>
                            </w:tr>
                          </w:tbl>
                          <w:p w14:paraId="3753673F"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39" type="#_x0000_t202" style="position:absolute;margin-left:120.1pt;margin-top:210.3pt;width:360.45pt;height:408.6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15"/>
                        <w:gridCol w:w="42"/>
                        <w:gridCol w:w="33"/>
                        <w:gridCol w:w="120"/>
                        <w:gridCol w:w="182"/>
                        <w:gridCol w:w="5"/>
                        <w:gridCol w:w="28"/>
                        <w:gridCol w:w="70"/>
                        <w:gridCol w:w="65"/>
                        <w:gridCol w:w="167"/>
                        <w:gridCol w:w="10"/>
                        <w:gridCol w:w="125"/>
                        <w:gridCol w:w="55"/>
                        <w:gridCol w:w="20"/>
                        <w:gridCol w:w="50"/>
                        <w:gridCol w:w="50"/>
                        <w:gridCol w:w="118"/>
                        <w:gridCol w:w="95"/>
                        <w:gridCol w:w="2"/>
                        <w:gridCol w:w="33"/>
                        <w:gridCol w:w="155"/>
                        <w:gridCol w:w="20"/>
                        <w:gridCol w:w="197"/>
                        <w:gridCol w:w="112"/>
                        <w:gridCol w:w="5"/>
                        <w:gridCol w:w="123"/>
                        <w:gridCol w:w="22"/>
                        <w:gridCol w:w="15"/>
                        <w:gridCol w:w="73"/>
                        <w:gridCol w:w="192"/>
                        <w:gridCol w:w="235"/>
                        <w:gridCol w:w="5"/>
                        <w:gridCol w:w="60"/>
                        <w:gridCol w:w="237"/>
                        <w:gridCol w:w="38"/>
                        <w:gridCol w:w="15"/>
                        <w:gridCol w:w="25"/>
                        <w:gridCol w:w="50"/>
                        <w:gridCol w:w="103"/>
                        <w:gridCol w:w="33"/>
                        <w:gridCol w:w="234"/>
                        <w:gridCol w:w="5"/>
                        <w:gridCol w:w="5"/>
                        <w:gridCol w:w="12"/>
                        <w:gridCol w:w="47"/>
                        <w:gridCol w:w="168"/>
                        <w:gridCol w:w="48"/>
                        <w:gridCol w:w="4"/>
                        <w:gridCol w:w="110"/>
                        <w:gridCol w:w="12"/>
                        <w:gridCol w:w="108"/>
                        <w:gridCol w:w="4"/>
                        <w:gridCol w:w="362"/>
                        <w:gridCol w:w="48"/>
                        <w:gridCol w:w="89"/>
                        <w:gridCol w:w="47"/>
                        <w:gridCol w:w="355"/>
                        <w:gridCol w:w="10"/>
                        <w:gridCol w:w="207"/>
                        <w:gridCol w:w="86"/>
                        <w:gridCol w:w="70"/>
                        <w:gridCol w:w="8"/>
                        <w:gridCol w:w="78"/>
                        <w:gridCol w:w="152"/>
                        <w:gridCol w:w="122"/>
                        <w:gridCol w:w="157"/>
                        <w:gridCol w:w="183"/>
                        <w:gridCol w:w="55"/>
                        <w:gridCol w:w="2"/>
                        <w:gridCol w:w="283"/>
                        <w:gridCol w:w="254"/>
                        <w:gridCol w:w="76"/>
                        <w:gridCol w:w="119"/>
                        <w:gridCol w:w="23"/>
                        <w:gridCol w:w="1086"/>
                        <w:gridCol w:w="161"/>
                        <w:gridCol w:w="173"/>
                        <w:gridCol w:w="71"/>
                        <w:gridCol w:w="6"/>
                        <w:gridCol w:w="13"/>
                        <w:gridCol w:w="2"/>
                        <w:gridCol w:w="8"/>
                      </w:tblGrid>
                      <w:tr w:rsidR="00000000" w14:paraId="5A62928C" w14:textId="77777777">
                        <w:tblPrEx>
                          <w:tblCellMar>
                            <w:top w:w="0" w:type="dxa"/>
                            <w:bottom w:w="0" w:type="dxa"/>
                          </w:tblCellMar>
                        </w:tblPrEx>
                        <w:trPr>
                          <w:gridAfter w:val="17"/>
                          <w:wAfter w:w="3335" w:type="dxa"/>
                          <w:trHeight w:val="323"/>
                        </w:trPr>
                        <w:tc>
                          <w:tcPr>
                            <w:tcW w:w="4537" w:type="dxa"/>
                            <w:gridSpan w:val="49"/>
                            <w:tcBorders>
                              <w:top w:val="single" w:sz="4" w:space="0" w:color="0E0F1A"/>
                              <w:left w:val="single" w:sz="4" w:space="0" w:color="000002"/>
                              <w:right w:val="single" w:sz="4" w:space="0" w:color="020204"/>
                            </w:tcBorders>
                            <w:shd w:val="clear" w:color="auto" w:fill="5E64A8"/>
                            <w:vAlign w:val="center"/>
                          </w:tcPr>
                          <w:p w14:paraId="73FCF5D9"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Character Class </w:t>
                            </w:r>
                          </w:p>
                        </w:tc>
                        <w:tc>
                          <w:tcPr>
                            <w:tcW w:w="1872" w:type="dxa"/>
                            <w:gridSpan w:val="18"/>
                            <w:tcBorders>
                              <w:top w:val="single" w:sz="4" w:space="0" w:color="0E0F1A"/>
                              <w:left w:val="single" w:sz="4" w:space="0" w:color="020204"/>
                              <w:right w:val="single" w:sz="4" w:space="0" w:color="000002"/>
                            </w:tcBorders>
                            <w:shd w:val="clear" w:color="auto" w:fill="5E64A8"/>
                            <w:vAlign w:val="center"/>
                          </w:tcPr>
                          <w:p w14:paraId="4A7089C8"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Maximum period (seconds) </w:t>
                            </w:r>
                          </w:p>
                        </w:tc>
                      </w:tr>
                      <w:tr w:rsidR="00000000" w14:paraId="1875BBB3" w14:textId="77777777">
                        <w:tblPrEx>
                          <w:tblCellMar>
                            <w:top w:w="0" w:type="dxa"/>
                            <w:bottom w:w="0" w:type="dxa"/>
                          </w:tblCellMar>
                        </w:tblPrEx>
                        <w:trPr>
                          <w:gridAfter w:val="17"/>
                          <w:wAfter w:w="3335" w:type="dxa"/>
                          <w:trHeight w:val="215"/>
                        </w:trPr>
                        <w:tc>
                          <w:tcPr>
                            <w:tcW w:w="4537" w:type="dxa"/>
                            <w:gridSpan w:val="49"/>
                            <w:tcBorders>
                              <w:top w:val="single" w:sz="2" w:space="0" w:color="5E64A8"/>
                              <w:left w:val="single" w:sz="4" w:space="0" w:color="000002"/>
                              <w:right w:val="single" w:sz="4" w:space="0" w:color="020204"/>
                            </w:tcBorders>
                            <w:shd w:val="clear" w:color="auto" w:fill="E8E7F3"/>
                            <w:vAlign w:val="center"/>
                          </w:tcPr>
                          <w:p w14:paraId="129CFD5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Isophase light </w:t>
                            </w:r>
                          </w:p>
                        </w:tc>
                        <w:tc>
                          <w:tcPr>
                            <w:tcW w:w="1872" w:type="dxa"/>
                            <w:gridSpan w:val="18"/>
                            <w:tcBorders>
                              <w:top w:val="single" w:sz="2" w:space="0" w:color="5E64A8"/>
                              <w:left w:val="single" w:sz="4" w:space="0" w:color="020204"/>
                              <w:right w:val="single" w:sz="4" w:space="0" w:color="000002"/>
                            </w:tcBorders>
                            <w:shd w:val="clear" w:color="auto" w:fill="E8E7F3"/>
                            <w:vAlign w:val="center"/>
                          </w:tcPr>
                          <w:p w14:paraId="2BAFF5C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 </w:t>
                            </w:r>
                          </w:p>
                        </w:tc>
                      </w:tr>
                      <w:tr w:rsidR="00000000" w14:paraId="482C7974" w14:textId="77777777">
                        <w:tblPrEx>
                          <w:tblCellMar>
                            <w:top w:w="0" w:type="dxa"/>
                            <w:bottom w:w="0" w:type="dxa"/>
                          </w:tblCellMar>
                        </w:tblPrEx>
                        <w:trPr>
                          <w:gridAfter w:val="17"/>
                          <w:wAfter w:w="3335" w:type="dxa"/>
                          <w:trHeight w:val="212"/>
                        </w:trPr>
                        <w:tc>
                          <w:tcPr>
                            <w:tcW w:w="4537" w:type="dxa"/>
                            <w:gridSpan w:val="49"/>
                            <w:tcBorders>
                              <w:left w:val="single" w:sz="4" w:space="0" w:color="000002"/>
                              <w:right w:val="single" w:sz="4" w:space="0" w:color="020204"/>
                            </w:tcBorders>
                            <w:vAlign w:val="center"/>
                          </w:tcPr>
                          <w:p w14:paraId="77AE900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Single-occulting light </w:t>
                            </w:r>
                          </w:p>
                        </w:tc>
                        <w:tc>
                          <w:tcPr>
                            <w:tcW w:w="1872" w:type="dxa"/>
                            <w:gridSpan w:val="18"/>
                            <w:tcBorders>
                              <w:left w:val="single" w:sz="4" w:space="0" w:color="020204"/>
                              <w:right w:val="single" w:sz="4" w:space="0" w:color="000002"/>
                            </w:tcBorders>
                            <w:vAlign w:val="center"/>
                          </w:tcPr>
                          <w:p w14:paraId="7ED839C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000000" w14:paraId="72866859" w14:textId="77777777">
                        <w:tblPrEx>
                          <w:tblCellMar>
                            <w:top w:w="0" w:type="dxa"/>
                            <w:bottom w:w="0" w:type="dxa"/>
                          </w:tblCellMar>
                        </w:tblPrEx>
                        <w:trPr>
                          <w:gridAfter w:val="17"/>
                          <w:wAfter w:w="3335" w:type="dxa"/>
                          <w:trHeight w:val="213"/>
                        </w:trPr>
                        <w:tc>
                          <w:tcPr>
                            <w:tcW w:w="4537" w:type="dxa"/>
                            <w:gridSpan w:val="49"/>
                            <w:tcBorders>
                              <w:left w:val="single" w:sz="4" w:space="0" w:color="000002"/>
                              <w:right w:val="single" w:sz="4" w:space="0" w:color="020204"/>
                            </w:tcBorders>
                            <w:shd w:val="clear" w:color="auto" w:fill="E8E7F3"/>
                            <w:vAlign w:val="center"/>
                          </w:tcPr>
                          <w:p w14:paraId="6D3C36F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Single-flashing light </w:t>
                            </w:r>
                          </w:p>
                        </w:tc>
                        <w:tc>
                          <w:tcPr>
                            <w:tcW w:w="1872" w:type="dxa"/>
                            <w:gridSpan w:val="18"/>
                            <w:tcBorders>
                              <w:left w:val="single" w:sz="4" w:space="0" w:color="020204"/>
                              <w:right w:val="single" w:sz="4" w:space="0" w:color="000002"/>
                            </w:tcBorders>
                            <w:shd w:val="clear" w:color="auto" w:fill="E8E7F3"/>
                            <w:vAlign w:val="center"/>
                          </w:tcPr>
                          <w:p w14:paraId="3A15D48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000000" w14:paraId="5E3AEA09" w14:textId="77777777">
                        <w:tblPrEx>
                          <w:tblCellMar>
                            <w:top w:w="0" w:type="dxa"/>
                            <w:bottom w:w="0" w:type="dxa"/>
                          </w:tblCellMar>
                        </w:tblPrEx>
                        <w:trPr>
                          <w:gridAfter w:val="17"/>
                          <w:wAfter w:w="3335" w:type="dxa"/>
                          <w:trHeight w:val="212"/>
                        </w:trPr>
                        <w:tc>
                          <w:tcPr>
                            <w:tcW w:w="4537" w:type="dxa"/>
                            <w:gridSpan w:val="49"/>
                            <w:tcBorders>
                              <w:left w:val="single" w:sz="4" w:space="0" w:color="000002"/>
                              <w:right w:val="single" w:sz="4" w:space="0" w:color="020204"/>
                            </w:tcBorders>
                            <w:vAlign w:val="center"/>
                          </w:tcPr>
                          <w:p w14:paraId="295E187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 very quick light </w:t>
                            </w:r>
                          </w:p>
                        </w:tc>
                        <w:tc>
                          <w:tcPr>
                            <w:tcW w:w="1872" w:type="dxa"/>
                            <w:gridSpan w:val="18"/>
                            <w:tcBorders>
                              <w:left w:val="single" w:sz="4" w:space="0" w:color="020204"/>
                              <w:right w:val="single" w:sz="4" w:space="0" w:color="000002"/>
                            </w:tcBorders>
                            <w:vAlign w:val="center"/>
                          </w:tcPr>
                          <w:p w14:paraId="19DD6A1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000000" w14:paraId="76EF5926" w14:textId="77777777">
                        <w:tblPrEx>
                          <w:tblCellMar>
                            <w:top w:w="0" w:type="dxa"/>
                            <w:bottom w:w="0" w:type="dxa"/>
                          </w:tblCellMar>
                        </w:tblPrEx>
                        <w:trPr>
                          <w:gridAfter w:val="17"/>
                          <w:wAfter w:w="3335" w:type="dxa"/>
                          <w:trHeight w:val="212"/>
                        </w:trPr>
                        <w:tc>
                          <w:tcPr>
                            <w:tcW w:w="4537" w:type="dxa"/>
                            <w:gridSpan w:val="49"/>
                            <w:tcBorders>
                              <w:left w:val="single" w:sz="4" w:space="0" w:color="000002"/>
                              <w:right w:val="single" w:sz="4" w:space="0" w:color="020204"/>
                            </w:tcBorders>
                            <w:shd w:val="clear" w:color="auto" w:fill="E8E7F3"/>
                            <w:vAlign w:val="center"/>
                          </w:tcPr>
                          <w:p w14:paraId="15314FA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Interrupted very quick light </w:t>
                            </w:r>
                          </w:p>
                        </w:tc>
                        <w:tc>
                          <w:tcPr>
                            <w:tcW w:w="1872" w:type="dxa"/>
                            <w:gridSpan w:val="18"/>
                            <w:tcBorders>
                              <w:left w:val="single" w:sz="4" w:space="0" w:color="020204"/>
                              <w:right w:val="single" w:sz="4" w:space="0" w:color="000002"/>
                            </w:tcBorders>
                            <w:shd w:val="clear" w:color="auto" w:fill="E8E7F3"/>
                            <w:vAlign w:val="center"/>
                          </w:tcPr>
                          <w:p w14:paraId="1FC8D71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000000" w14:paraId="7160F48C" w14:textId="77777777">
                        <w:tblPrEx>
                          <w:tblCellMar>
                            <w:top w:w="0" w:type="dxa"/>
                            <w:bottom w:w="0" w:type="dxa"/>
                          </w:tblCellMar>
                        </w:tblPrEx>
                        <w:trPr>
                          <w:gridAfter w:val="17"/>
                          <w:wAfter w:w="3335" w:type="dxa"/>
                          <w:trHeight w:val="213"/>
                        </w:trPr>
                        <w:tc>
                          <w:tcPr>
                            <w:tcW w:w="4537" w:type="dxa"/>
                            <w:gridSpan w:val="49"/>
                            <w:tcBorders>
                              <w:left w:val="single" w:sz="4" w:space="0" w:color="000002"/>
                              <w:right w:val="single" w:sz="4" w:space="0" w:color="020204"/>
                            </w:tcBorders>
                            <w:vAlign w:val="center"/>
                          </w:tcPr>
                          <w:p w14:paraId="573C0CE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Interrupted ultra quick light </w:t>
                            </w:r>
                          </w:p>
                        </w:tc>
                        <w:tc>
                          <w:tcPr>
                            <w:tcW w:w="1872" w:type="dxa"/>
                            <w:gridSpan w:val="18"/>
                            <w:tcBorders>
                              <w:left w:val="single" w:sz="4" w:space="0" w:color="020204"/>
                              <w:right w:val="single" w:sz="4" w:space="0" w:color="000002"/>
                            </w:tcBorders>
                            <w:vAlign w:val="center"/>
                          </w:tcPr>
                          <w:p w14:paraId="35C8BF5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000000" w14:paraId="5F431E12" w14:textId="77777777">
                        <w:tblPrEx>
                          <w:tblCellMar>
                            <w:top w:w="0" w:type="dxa"/>
                            <w:bottom w:w="0" w:type="dxa"/>
                          </w:tblCellMar>
                        </w:tblPrEx>
                        <w:trPr>
                          <w:gridAfter w:val="17"/>
                          <w:wAfter w:w="3335" w:type="dxa"/>
                          <w:trHeight w:val="212"/>
                        </w:trPr>
                        <w:tc>
                          <w:tcPr>
                            <w:tcW w:w="4537" w:type="dxa"/>
                            <w:gridSpan w:val="49"/>
                            <w:tcBorders>
                              <w:left w:val="single" w:sz="4" w:space="0" w:color="000002"/>
                              <w:right w:val="single" w:sz="4" w:space="0" w:color="020204"/>
                            </w:tcBorders>
                            <w:shd w:val="clear" w:color="auto" w:fill="E8E7F3"/>
                            <w:vAlign w:val="center"/>
                          </w:tcPr>
                          <w:p w14:paraId="2F92827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Group-occulting light </w:t>
                            </w:r>
                          </w:p>
                        </w:tc>
                        <w:tc>
                          <w:tcPr>
                            <w:tcW w:w="1872" w:type="dxa"/>
                            <w:gridSpan w:val="18"/>
                            <w:tcBorders>
                              <w:left w:val="single" w:sz="4" w:space="0" w:color="020204"/>
                              <w:right w:val="single" w:sz="4" w:space="0" w:color="000002"/>
                            </w:tcBorders>
                            <w:shd w:val="clear" w:color="auto" w:fill="E8E7F3"/>
                            <w:vAlign w:val="center"/>
                          </w:tcPr>
                          <w:p w14:paraId="22A2EBF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000000" w14:paraId="3FD1F7ED" w14:textId="77777777">
                        <w:tblPrEx>
                          <w:tblCellMar>
                            <w:top w:w="0" w:type="dxa"/>
                            <w:bottom w:w="0" w:type="dxa"/>
                          </w:tblCellMar>
                        </w:tblPrEx>
                        <w:trPr>
                          <w:gridAfter w:val="17"/>
                          <w:wAfter w:w="3335" w:type="dxa"/>
                          <w:trHeight w:val="213"/>
                        </w:trPr>
                        <w:tc>
                          <w:tcPr>
                            <w:tcW w:w="4537" w:type="dxa"/>
                            <w:gridSpan w:val="49"/>
                            <w:tcBorders>
                              <w:left w:val="single" w:sz="4" w:space="0" w:color="000002"/>
                              <w:right w:val="single" w:sz="4" w:space="0" w:color="020204"/>
                            </w:tcBorders>
                            <w:vAlign w:val="center"/>
                          </w:tcPr>
                          <w:p w14:paraId="2CE5935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Long-flashing light </w:t>
                            </w:r>
                          </w:p>
                        </w:tc>
                        <w:tc>
                          <w:tcPr>
                            <w:tcW w:w="1872" w:type="dxa"/>
                            <w:gridSpan w:val="18"/>
                            <w:tcBorders>
                              <w:left w:val="single" w:sz="4" w:space="0" w:color="020204"/>
                              <w:right w:val="single" w:sz="4" w:space="0" w:color="000002"/>
                            </w:tcBorders>
                            <w:vAlign w:val="center"/>
                          </w:tcPr>
                          <w:p w14:paraId="7E528C0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000000" w14:paraId="2ABD7D88" w14:textId="77777777">
                        <w:tblPrEx>
                          <w:tblCellMar>
                            <w:top w:w="0" w:type="dxa"/>
                            <w:bottom w:w="0" w:type="dxa"/>
                          </w:tblCellMar>
                        </w:tblPrEx>
                        <w:trPr>
                          <w:gridAfter w:val="17"/>
                          <w:wAfter w:w="3335" w:type="dxa"/>
                          <w:trHeight w:val="212"/>
                        </w:trPr>
                        <w:tc>
                          <w:tcPr>
                            <w:tcW w:w="4537" w:type="dxa"/>
                            <w:gridSpan w:val="49"/>
                            <w:tcBorders>
                              <w:left w:val="single" w:sz="4" w:space="0" w:color="000002"/>
                              <w:right w:val="single" w:sz="4" w:space="0" w:color="020204"/>
                            </w:tcBorders>
                            <w:shd w:val="clear" w:color="auto" w:fill="E8E7F3"/>
                            <w:vAlign w:val="center"/>
                          </w:tcPr>
                          <w:p w14:paraId="752118C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Group-flashing lights of two flashes </w:t>
                            </w:r>
                          </w:p>
                        </w:tc>
                        <w:tc>
                          <w:tcPr>
                            <w:tcW w:w="1872" w:type="dxa"/>
                            <w:gridSpan w:val="18"/>
                            <w:tcBorders>
                              <w:left w:val="single" w:sz="4" w:space="0" w:color="020204"/>
                              <w:right w:val="single" w:sz="4" w:space="0" w:color="000002"/>
                            </w:tcBorders>
                            <w:shd w:val="clear" w:color="auto" w:fill="E8E7F3"/>
                            <w:vAlign w:val="center"/>
                          </w:tcPr>
                          <w:p w14:paraId="11C0C11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000000" w14:paraId="6DA3C560" w14:textId="77777777">
                        <w:tblPrEx>
                          <w:tblCellMar>
                            <w:top w:w="0" w:type="dxa"/>
                            <w:bottom w:w="0" w:type="dxa"/>
                          </w:tblCellMar>
                        </w:tblPrEx>
                        <w:trPr>
                          <w:gridAfter w:val="17"/>
                          <w:wAfter w:w="3335" w:type="dxa"/>
                          <w:trHeight w:val="212"/>
                        </w:trPr>
                        <w:tc>
                          <w:tcPr>
                            <w:tcW w:w="4537" w:type="dxa"/>
                            <w:gridSpan w:val="49"/>
                            <w:tcBorders>
                              <w:left w:val="single" w:sz="4" w:space="0" w:color="000002"/>
                              <w:right w:val="single" w:sz="4" w:space="0" w:color="020204"/>
                            </w:tcBorders>
                            <w:vAlign w:val="center"/>
                          </w:tcPr>
                          <w:p w14:paraId="428597E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Group-quick light </w:t>
                            </w:r>
                          </w:p>
                        </w:tc>
                        <w:tc>
                          <w:tcPr>
                            <w:tcW w:w="1872" w:type="dxa"/>
                            <w:gridSpan w:val="18"/>
                            <w:tcBorders>
                              <w:left w:val="single" w:sz="4" w:space="0" w:color="020204"/>
                              <w:right w:val="single" w:sz="4" w:space="0" w:color="000002"/>
                            </w:tcBorders>
                            <w:vAlign w:val="center"/>
                          </w:tcPr>
                          <w:p w14:paraId="1A208BE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000000" w14:paraId="0F9F07A4" w14:textId="77777777">
                        <w:tblPrEx>
                          <w:tblCellMar>
                            <w:top w:w="0" w:type="dxa"/>
                            <w:bottom w:w="0" w:type="dxa"/>
                          </w:tblCellMar>
                        </w:tblPrEx>
                        <w:trPr>
                          <w:gridAfter w:val="17"/>
                          <w:wAfter w:w="3335" w:type="dxa"/>
                          <w:trHeight w:val="213"/>
                        </w:trPr>
                        <w:tc>
                          <w:tcPr>
                            <w:tcW w:w="4537" w:type="dxa"/>
                            <w:gridSpan w:val="49"/>
                            <w:tcBorders>
                              <w:left w:val="single" w:sz="4" w:space="0" w:color="000002"/>
                              <w:right w:val="single" w:sz="4" w:space="0" w:color="020204"/>
                            </w:tcBorders>
                            <w:shd w:val="clear" w:color="auto" w:fill="E8E7F3"/>
                            <w:vAlign w:val="center"/>
                          </w:tcPr>
                          <w:p w14:paraId="3ED7F76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Interrupted quick light </w:t>
                            </w:r>
                          </w:p>
                        </w:tc>
                        <w:tc>
                          <w:tcPr>
                            <w:tcW w:w="1872" w:type="dxa"/>
                            <w:gridSpan w:val="18"/>
                            <w:tcBorders>
                              <w:left w:val="single" w:sz="4" w:space="0" w:color="020204"/>
                              <w:right w:val="single" w:sz="4" w:space="0" w:color="000002"/>
                            </w:tcBorders>
                            <w:shd w:val="clear" w:color="auto" w:fill="E8E7F3"/>
                            <w:vAlign w:val="center"/>
                          </w:tcPr>
                          <w:p w14:paraId="7E39EF5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000000" w14:paraId="70E0C68D" w14:textId="77777777">
                        <w:tblPrEx>
                          <w:tblCellMar>
                            <w:top w:w="0" w:type="dxa"/>
                            <w:bottom w:w="0" w:type="dxa"/>
                          </w:tblCellMar>
                        </w:tblPrEx>
                        <w:trPr>
                          <w:gridAfter w:val="17"/>
                          <w:wAfter w:w="3335" w:type="dxa"/>
                          <w:trHeight w:val="212"/>
                        </w:trPr>
                        <w:tc>
                          <w:tcPr>
                            <w:tcW w:w="4537" w:type="dxa"/>
                            <w:gridSpan w:val="49"/>
                            <w:tcBorders>
                              <w:left w:val="single" w:sz="4" w:space="0" w:color="000002"/>
                              <w:right w:val="single" w:sz="4" w:space="0" w:color="020204"/>
                            </w:tcBorders>
                            <w:vAlign w:val="center"/>
                          </w:tcPr>
                          <w:p w14:paraId="62F4D2F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Group-occulting light of three or more eclipses </w:t>
                            </w:r>
                          </w:p>
                        </w:tc>
                        <w:tc>
                          <w:tcPr>
                            <w:tcW w:w="1872" w:type="dxa"/>
                            <w:gridSpan w:val="18"/>
                            <w:tcBorders>
                              <w:left w:val="single" w:sz="4" w:space="0" w:color="020204"/>
                              <w:right w:val="single" w:sz="4" w:space="0" w:color="000002"/>
                            </w:tcBorders>
                            <w:vAlign w:val="center"/>
                          </w:tcPr>
                          <w:p w14:paraId="654DB33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 </w:t>
                            </w:r>
                          </w:p>
                        </w:tc>
                      </w:tr>
                      <w:tr w:rsidR="00000000" w14:paraId="7C93D6EA" w14:textId="77777777">
                        <w:tblPrEx>
                          <w:tblCellMar>
                            <w:top w:w="0" w:type="dxa"/>
                            <w:bottom w:w="0" w:type="dxa"/>
                          </w:tblCellMar>
                        </w:tblPrEx>
                        <w:trPr>
                          <w:gridAfter w:val="17"/>
                          <w:wAfter w:w="3335" w:type="dxa"/>
                          <w:trHeight w:val="212"/>
                        </w:trPr>
                        <w:tc>
                          <w:tcPr>
                            <w:tcW w:w="4537" w:type="dxa"/>
                            <w:gridSpan w:val="49"/>
                            <w:tcBorders>
                              <w:left w:val="single" w:sz="4" w:space="0" w:color="000002"/>
                              <w:right w:val="single" w:sz="4" w:space="0" w:color="020204"/>
                            </w:tcBorders>
                            <w:shd w:val="clear" w:color="auto" w:fill="E8E7F3"/>
                            <w:vAlign w:val="center"/>
                          </w:tcPr>
                          <w:p w14:paraId="7A2E084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Group-flashing light of three or more flashes </w:t>
                            </w:r>
                          </w:p>
                        </w:tc>
                        <w:tc>
                          <w:tcPr>
                            <w:tcW w:w="1872" w:type="dxa"/>
                            <w:gridSpan w:val="18"/>
                            <w:tcBorders>
                              <w:left w:val="single" w:sz="4" w:space="0" w:color="020204"/>
                              <w:right w:val="single" w:sz="4" w:space="0" w:color="000002"/>
                            </w:tcBorders>
                            <w:shd w:val="clear" w:color="auto" w:fill="E8E7F3"/>
                            <w:vAlign w:val="center"/>
                          </w:tcPr>
                          <w:p w14:paraId="5301868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 </w:t>
                            </w:r>
                          </w:p>
                        </w:tc>
                      </w:tr>
                      <w:tr w:rsidR="00000000" w14:paraId="1BC984C0" w14:textId="77777777">
                        <w:tblPrEx>
                          <w:tblCellMar>
                            <w:top w:w="0" w:type="dxa"/>
                            <w:bottom w:w="0" w:type="dxa"/>
                          </w:tblCellMar>
                        </w:tblPrEx>
                        <w:trPr>
                          <w:gridAfter w:val="17"/>
                          <w:wAfter w:w="3335" w:type="dxa"/>
                          <w:trHeight w:val="213"/>
                        </w:trPr>
                        <w:tc>
                          <w:tcPr>
                            <w:tcW w:w="4537" w:type="dxa"/>
                            <w:gridSpan w:val="49"/>
                            <w:tcBorders>
                              <w:left w:val="single" w:sz="4" w:space="0" w:color="000002"/>
                              <w:right w:val="single" w:sz="4" w:space="0" w:color="020204"/>
                            </w:tcBorders>
                            <w:vAlign w:val="center"/>
                          </w:tcPr>
                          <w:p w14:paraId="4EA8CD5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Composite group-flashing light </w:t>
                            </w:r>
                          </w:p>
                        </w:tc>
                        <w:tc>
                          <w:tcPr>
                            <w:tcW w:w="1872" w:type="dxa"/>
                            <w:gridSpan w:val="18"/>
                            <w:tcBorders>
                              <w:left w:val="single" w:sz="4" w:space="0" w:color="020204"/>
                              <w:right w:val="single" w:sz="4" w:space="0" w:color="000002"/>
                            </w:tcBorders>
                            <w:vAlign w:val="center"/>
                          </w:tcPr>
                          <w:p w14:paraId="3CDA3FA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 </w:t>
                            </w:r>
                          </w:p>
                        </w:tc>
                      </w:tr>
                      <w:tr w:rsidR="00000000" w14:paraId="2FC89813" w14:textId="77777777">
                        <w:tblPrEx>
                          <w:tblCellMar>
                            <w:top w:w="0" w:type="dxa"/>
                            <w:bottom w:w="0" w:type="dxa"/>
                          </w:tblCellMar>
                        </w:tblPrEx>
                        <w:trPr>
                          <w:gridAfter w:val="17"/>
                          <w:wAfter w:w="3335" w:type="dxa"/>
                          <w:trHeight w:val="212"/>
                        </w:trPr>
                        <w:tc>
                          <w:tcPr>
                            <w:tcW w:w="4537" w:type="dxa"/>
                            <w:gridSpan w:val="49"/>
                            <w:tcBorders>
                              <w:left w:val="single" w:sz="4" w:space="0" w:color="000002"/>
                              <w:bottom w:val="single" w:sz="4" w:space="0" w:color="000000"/>
                              <w:right w:val="single" w:sz="4" w:space="0" w:color="020204"/>
                            </w:tcBorders>
                            <w:shd w:val="clear" w:color="auto" w:fill="E8E7F3"/>
                            <w:vAlign w:val="center"/>
                          </w:tcPr>
                          <w:p w14:paraId="1CF6765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Morse code light </w:t>
                            </w:r>
                          </w:p>
                        </w:tc>
                        <w:tc>
                          <w:tcPr>
                            <w:tcW w:w="1872" w:type="dxa"/>
                            <w:gridSpan w:val="18"/>
                            <w:tcBorders>
                              <w:left w:val="single" w:sz="4" w:space="0" w:color="020204"/>
                              <w:bottom w:val="single" w:sz="4" w:space="0" w:color="000000"/>
                              <w:right w:val="single" w:sz="4" w:space="0" w:color="000002"/>
                            </w:tcBorders>
                            <w:shd w:val="clear" w:color="auto" w:fill="E8E7F3"/>
                            <w:vAlign w:val="center"/>
                          </w:tcPr>
                          <w:p w14:paraId="3627CBF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 </w:t>
                            </w:r>
                          </w:p>
                        </w:tc>
                      </w:tr>
                    </w:tbl>
                  </w:txbxContent>
                </v:textbox>
                <w10:wrap type="through" anchorx="page" anchory="page"/>
              </v:shape>
            </w:pict>
          </mc:Fallback>
        </mc:AlternateContent>
      </w:r>
    </w:p>
    <w:p w14:paraId="62E983D7"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Timing of Astronomical Events </w:t>
      </w:r>
    </w:p>
    <w:p w14:paraId="3373A7AC" w14:textId="77777777" w:rsidR="00541A14" w:rsidRDefault="00A450E1">
      <w:pPr>
        <w:pStyle w:val="CM165"/>
        <w:spacing w:after="85"/>
        <w:ind w:right="187"/>
        <w:rPr>
          <w:rFonts w:ascii="Palatino" w:hAnsi="Palatino" w:cs="Palatino"/>
          <w:color w:val="000000"/>
          <w:sz w:val="20"/>
          <w:szCs w:val="20"/>
        </w:rPr>
      </w:pPr>
      <w:r>
        <w:rPr>
          <w:rFonts w:ascii="Palatino" w:hAnsi="Palatino" w:cs="Palatino"/>
          <w:color w:val="000000"/>
          <w:sz w:val="20"/>
          <w:szCs w:val="20"/>
        </w:rPr>
        <w:t xml:space="preserve">The description of a lighted Aid to Navigation emphasises the night time operations but daytime </w:t>
      </w:r>
    </w:p>
    <w:p w14:paraId="76F43FC8"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role is often as important.  The astronomical events that define the transitions from day to night are </w:t>
      </w:r>
    </w:p>
    <w:p w14:paraId="133FD4BE" w14:textId="77777777" w:rsidR="00541A14" w:rsidRDefault="00A450E1">
      <w:pPr>
        <w:pStyle w:val="CM12"/>
        <w:spacing w:after="2280"/>
        <w:jc w:val="both"/>
        <w:rPr>
          <w:rFonts w:ascii="Palatino" w:hAnsi="Palatino" w:cs="Palatino"/>
          <w:color w:val="000000"/>
          <w:sz w:val="20"/>
          <w:szCs w:val="20"/>
        </w:rPr>
      </w:pPr>
      <w:r>
        <w:rPr>
          <w:rFonts w:ascii="Palatino" w:hAnsi="Palatino" w:cs="Palatino"/>
          <w:color w:val="000000"/>
          <w:sz w:val="20"/>
          <w:szCs w:val="20"/>
        </w:rPr>
        <w:t>shown in Table 10</w:t>
      </w:r>
      <w:r>
        <w:rPr>
          <w:rFonts w:ascii="Palatino" w:hAnsi="Palatino" w:cs="Palatino"/>
          <w:color w:val="000000"/>
          <w:position w:val="7"/>
          <w:sz w:val="11"/>
          <w:szCs w:val="11"/>
          <w:vertAlign w:val="superscript"/>
        </w:rPr>
        <w:t>20</w:t>
      </w:r>
      <w:r>
        <w:rPr>
          <w:rFonts w:ascii="Palatino" w:hAnsi="Palatino" w:cs="Palatino"/>
          <w:color w:val="000000"/>
          <w:sz w:val="20"/>
          <w:szCs w:val="20"/>
        </w:rPr>
        <w:t>.</w:t>
      </w:r>
    </w:p>
    <w:p w14:paraId="12D144E2" w14:textId="77777777" w:rsidR="00541A14" w:rsidRDefault="00A450E1">
      <w:pPr>
        <w:pStyle w:val="CM162"/>
        <w:spacing w:after="552" w:line="216" w:lineRule="atLeast"/>
        <w:ind w:right="150"/>
        <w:jc w:val="both"/>
        <w:rPr>
          <w:rFonts w:ascii="Palatino" w:hAnsi="Palatino" w:cs="Palatino"/>
          <w:color w:val="000000"/>
          <w:sz w:val="20"/>
          <w:szCs w:val="20"/>
        </w:rPr>
      </w:pPr>
      <w:r>
        <w:rPr>
          <w:rFonts w:ascii="Palatino" w:hAnsi="Palatino" w:cs="Palatino"/>
          <w:color w:val="000000"/>
          <w:position w:val="6"/>
          <w:sz w:val="20"/>
          <w:szCs w:val="20"/>
          <w:vertAlign w:val="superscript"/>
        </w:rPr>
        <w:t xml:space="preserve"> 20</w:t>
      </w:r>
      <w:r>
        <w:rPr>
          <w:rFonts w:ascii="Palatino" w:hAnsi="Palatino" w:cs="Palatino"/>
          <w:color w:val="000000"/>
          <w:sz w:val="20"/>
          <w:szCs w:val="20"/>
        </w:rPr>
        <w:t xml:space="preserve">The timing of astronomical events can also be applied to calculations (computer programs) for sizing solar power supplies. </w:t>
      </w:r>
    </w:p>
    <w:p w14:paraId="014C4D00"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767F8448" wp14:editId="1502B332">
            <wp:extent cx="7542530" cy="420370"/>
            <wp:effectExtent l="0" t="0" r="1270" b="1143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6732A3A2" w14:textId="77777777" w:rsidR="00541A14" w:rsidRDefault="00DD420F">
      <w:pPr>
        <w:pStyle w:val="Default"/>
        <w:pageBreakBefore/>
        <w:framePr w:w="24763" w:wrap="auto" w:vAnchor="page" w:hAnchor="page" w:x="101" w:y="1"/>
        <w:spacing w:after="680"/>
        <w:rPr>
          <w:rFonts w:ascii="Palatino" w:hAnsi="Palatino" w:cs="Palatino"/>
          <w:sz w:val="20"/>
          <w:szCs w:val="20"/>
        </w:rPr>
      </w:pPr>
      <w:r>
        <w:rPr>
          <w:rFonts w:ascii="Palatino" w:hAnsi="Palatino" w:cs="Palatino"/>
          <w:noProof/>
          <w:sz w:val="20"/>
          <w:szCs w:val="20"/>
        </w:rPr>
        <w:drawing>
          <wp:inline distT="0" distB="0" distL="0" distR="0" wp14:anchorId="23A15484" wp14:editId="7F340D23">
            <wp:extent cx="7553960" cy="115316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1CBC6542"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72576" behindDoc="0" locked="0" layoutInCell="0" allowOverlap="1" wp14:anchorId="0AE8F8F8" wp14:editId="26A4024F">
                <wp:simplePos x="0" y="0"/>
                <wp:positionH relativeFrom="page">
                  <wp:posOffset>772795</wp:posOffset>
                </wp:positionH>
                <wp:positionV relativeFrom="page">
                  <wp:posOffset>1367790</wp:posOffset>
                </wp:positionV>
                <wp:extent cx="6260465" cy="3929380"/>
                <wp:effectExtent l="0" t="0" r="0" b="0"/>
                <wp:wrapThrough wrapText="bothSides">
                  <wp:wrapPolygon edited="0">
                    <wp:start x="0" y="0"/>
                    <wp:lineTo x="21600" y="0"/>
                    <wp:lineTo x="21600" y="21600"/>
                    <wp:lineTo x="0" y="21600"/>
                    <wp:lineTo x="0" y="0"/>
                  </wp:wrapPolygon>
                </wp:wrapThrough>
                <wp:docPr id="542"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0465" cy="392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5C7411" w14:textId="77777777" w:rsidR="00541A14" w:rsidRDefault="00A450E1">
                            <w:pPr>
                              <w:widowControl w:val="0"/>
                              <w:autoSpaceDE w:val="0"/>
                              <w:autoSpaceDN w:val="0"/>
                              <w:adjustRightInd w:val="0"/>
                              <w:spacing w:after="267"/>
                              <w:rPr>
                                <w:rFonts w:ascii="Palatino" w:hAnsi="Palatino" w:cs="Palatino"/>
                                <w:color w:val="000000"/>
                              </w:rPr>
                            </w:pPr>
                            <w:r>
                              <w:rPr>
                                <w:rFonts w:ascii="Palatino" w:hAnsi="Palatino" w:cs="Palatino"/>
                                <w:b/>
                                <w:bCs/>
                              </w:rPr>
                              <w:t xml:space="preserve">table 10 – timing of Astronomical Events </w:t>
                            </w:r>
                          </w:p>
                          <w:tbl>
                            <w:tblPr>
                              <w:tblW w:w="0" w:type="auto"/>
                              <w:tblBorders>
                                <w:top w:val="nil"/>
                                <w:left w:val="nil"/>
                                <w:bottom w:val="nil"/>
                                <w:right w:val="nil"/>
                              </w:tblBorders>
                              <w:tblLayout w:type="fixed"/>
                              <w:tblLook w:val="0000" w:firstRow="0" w:lastRow="0" w:firstColumn="0" w:lastColumn="0" w:noHBand="0" w:noVBand="0"/>
                            </w:tblPr>
                            <w:tblGrid>
                              <w:gridCol w:w="1427"/>
                              <w:gridCol w:w="2570"/>
                              <w:gridCol w:w="1195"/>
                              <w:gridCol w:w="3867"/>
                            </w:tblGrid>
                            <w:tr w:rsidR="00541A14" w14:paraId="41098C12" w14:textId="77777777">
                              <w:trPr>
                                <w:trHeight w:val="405"/>
                              </w:trPr>
                              <w:tc>
                                <w:tcPr>
                                  <w:tcW w:w="1427" w:type="dxa"/>
                                  <w:tcBorders>
                                    <w:top w:val="single" w:sz="4" w:space="0" w:color="0E0F1B"/>
                                    <w:left w:val="single" w:sz="4" w:space="0" w:color="020204"/>
                                    <w:right w:val="single" w:sz="4" w:space="0" w:color="050509"/>
                                  </w:tcBorders>
                                  <w:shd w:val="clear" w:color="auto" w:fill="5E64A8"/>
                                  <w:vAlign w:val="center"/>
                                </w:tcPr>
                                <w:p w14:paraId="1DDD8E4A"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Event </w:t>
                                  </w:r>
                                </w:p>
                              </w:tc>
                              <w:tc>
                                <w:tcPr>
                                  <w:tcW w:w="2570" w:type="dxa"/>
                                  <w:tcBorders>
                                    <w:top w:val="single" w:sz="4" w:space="0" w:color="0E0F1B"/>
                                    <w:left w:val="single" w:sz="4" w:space="0" w:color="050509"/>
                                    <w:right w:val="single" w:sz="4" w:space="0" w:color="050509"/>
                                  </w:tcBorders>
                                  <w:shd w:val="clear" w:color="auto" w:fill="5E64A8"/>
                                  <w:vAlign w:val="center"/>
                                </w:tcPr>
                                <w:p w14:paraId="57A865C1"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Condition </w:t>
                                  </w:r>
                                </w:p>
                              </w:tc>
                              <w:tc>
                                <w:tcPr>
                                  <w:tcW w:w="1195" w:type="dxa"/>
                                  <w:tcBorders>
                                    <w:top w:val="single" w:sz="4" w:space="0" w:color="0E0F1B"/>
                                    <w:left w:val="single" w:sz="4" w:space="0" w:color="050509"/>
                                    <w:right w:val="single" w:sz="4" w:space="0" w:color="050509"/>
                                  </w:tcBorders>
                                  <w:shd w:val="clear" w:color="auto" w:fill="5E64A8"/>
                                  <w:vAlign w:val="center"/>
                                </w:tcPr>
                                <w:p w14:paraId="725471C8"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Typical Illumination Lux </w:t>
                                  </w:r>
                                </w:p>
                              </w:tc>
                              <w:tc>
                                <w:tcPr>
                                  <w:tcW w:w="3867" w:type="dxa"/>
                                  <w:tcBorders>
                                    <w:top w:val="single" w:sz="4" w:space="0" w:color="0E0F1B"/>
                                    <w:left w:val="single" w:sz="4" w:space="0" w:color="050509"/>
                                    <w:right w:val="single" w:sz="4" w:space="0" w:color="020204"/>
                                  </w:tcBorders>
                                  <w:shd w:val="clear" w:color="auto" w:fill="5E64A8"/>
                                  <w:vAlign w:val="center"/>
                                </w:tcPr>
                                <w:p w14:paraId="2C9DE93D" w14:textId="77777777" w:rsidR="00541A14" w:rsidRDefault="00A450E1">
                                  <w:pPr>
                                    <w:pStyle w:val="Default"/>
                                    <w:rPr>
                                      <w:rFonts w:ascii="Helvetica 55 Roman" w:hAnsi="Helvetica 55 Roman" w:cs="Helvetica 55 Roman"/>
                                      <w:color w:val="FFFFFF"/>
                                      <w:sz w:val="18"/>
                                      <w:szCs w:val="18"/>
                                    </w:rPr>
                                  </w:pPr>
                                  <w:r>
                                    <w:rPr>
                                      <w:rFonts w:ascii="Helvetica 65 Medium" w:hAnsi="Helvetica 65 Medium" w:cs="Helvetica 65 Medium"/>
                                      <w:color w:val="FFFFFF"/>
                                      <w:sz w:val="18"/>
                                      <w:szCs w:val="18"/>
                                    </w:rPr>
                                    <w:t xml:space="preserve">Comment </w:t>
                                  </w:r>
                                  <w:r>
                                    <w:rPr>
                                      <w:rFonts w:ascii="Helvetica 55 Roman" w:hAnsi="Helvetica 55 Roman" w:cs="Helvetica 55 Roman"/>
                                      <w:color w:val="FFFFFF"/>
                                      <w:sz w:val="18"/>
                                      <w:szCs w:val="18"/>
                                    </w:rPr>
                                    <w:t xml:space="preserve">(Assuming the absence of moonlight, artificial lighting or adverse atmospheric conditions) </w:t>
                                  </w:r>
                                </w:p>
                              </w:tc>
                            </w:tr>
                            <w:tr w:rsidR="00541A14" w14:paraId="66BFE2A2" w14:textId="77777777">
                              <w:trPr>
                                <w:trHeight w:val="293"/>
                              </w:trPr>
                              <w:tc>
                                <w:tcPr>
                                  <w:tcW w:w="1427" w:type="dxa"/>
                                  <w:tcBorders>
                                    <w:top w:val="single" w:sz="2" w:space="0" w:color="5E64A8"/>
                                    <w:left w:val="single" w:sz="4" w:space="0" w:color="020204"/>
                                    <w:right w:val="single" w:sz="4" w:space="0" w:color="050509"/>
                                  </w:tcBorders>
                                  <w:shd w:val="clear" w:color="auto" w:fill="E8E7F3"/>
                                </w:tcPr>
                                <w:p w14:paraId="264F703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Sunset/Sunrise </w:t>
                                  </w:r>
                                </w:p>
                              </w:tc>
                              <w:tc>
                                <w:tcPr>
                                  <w:tcW w:w="2570" w:type="dxa"/>
                                  <w:tcBorders>
                                    <w:top w:val="single" w:sz="2" w:space="0" w:color="5E64A8"/>
                                    <w:left w:val="single" w:sz="4" w:space="0" w:color="050509"/>
                                    <w:right w:val="single" w:sz="4" w:space="0" w:color="050509"/>
                                  </w:tcBorders>
                                  <w:shd w:val="clear" w:color="auto" w:fill="E8E7F3"/>
                                  <w:vAlign w:val="center"/>
                                </w:tcPr>
                                <w:p w14:paraId="5091F55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Upper edge of the sun’s disc is coincident with the horizon. </w:t>
                                  </w:r>
                                </w:p>
                              </w:tc>
                              <w:tc>
                                <w:tcPr>
                                  <w:tcW w:w="1195" w:type="dxa"/>
                                  <w:tcBorders>
                                    <w:top w:val="single" w:sz="2" w:space="0" w:color="5E64A8"/>
                                    <w:left w:val="single" w:sz="4" w:space="0" w:color="050509"/>
                                    <w:right w:val="single" w:sz="4" w:space="0" w:color="050509"/>
                                  </w:tcBorders>
                                  <w:shd w:val="clear" w:color="auto" w:fill="E8E7F3"/>
                                </w:tcPr>
                                <w:p w14:paraId="0A7D8C8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600 </w:t>
                                  </w:r>
                                </w:p>
                              </w:tc>
                              <w:tc>
                                <w:tcPr>
                                  <w:tcW w:w="3867" w:type="dxa"/>
                                  <w:tcBorders>
                                    <w:top w:val="single" w:sz="2" w:space="0" w:color="5E64A8"/>
                                    <w:left w:val="single" w:sz="4" w:space="0" w:color="050509"/>
                                    <w:right w:val="single" w:sz="4" w:space="0" w:color="020204"/>
                                  </w:tcBorders>
                                  <w:shd w:val="clear" w:color="auto" w:fill="E8E7F3"/>
                                </w:tcPr>
                                <w:p w14:paraId="0D85F2CA" w14:textId="77777777" w:rsidR="00541A14" w:rsidRDefault="00541A14">
                                  <w:pPr>
                                    <w:pStyle w:val="Default"/>
                                    <w:rPr>
                                      <w:rFonts w:cs="Times New Roman"/>
                                      <w:color w:val="auto"/>
                                    </w:rPr>
                                  </w:pPr>
                                </w:p>
                              </w:tc>
                            </w:tr>
                            <w:tr w:rsidR="00541A14" w14:paraId="1BF2A1D5" w14:textId="77777777">
                              <w:trPr>
                                <w:trHeight w:val="673"/>
                              </w:trPr>
                              <w:tc>
                                <w:tcPr>
                                  <w:tcW w:w="1427" w:type="dxa"/>
                                  <w:tcBorders>
                                    <w:left w:val="single" w:sz="4" w:space="0" w:color="020204"/>
                                    <w:right w:val="single" w:sz="4" w:space="0" w:color="050509"/>
                                  </w:tcBorders>
                                </w:tcPr>
                                <w:p w14:paraId="6A6643F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Civil Twilight (beginning / ending) </w:t>
                                  </w:r>
                                </w:p>
                              </w:tc>
                              <w:tc>
                                <w:tcPr>
                                  <w:tcW w:w="2570" w:type="dxa"/>
                                  <w:tcBorders>
                                    <w:left w:val="single" w:sz="4" w:space="0" w:color="050509"/>
                                    <w:right w:val="single" w:sz="4" w:space="0" w:color="050509"/>
                                  </w:tcBorders>
                                </w:tcPr>
                                <w:p w14:paraId="704AD9E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Centre of the sun is at a depression angle of six (6) degrees below the horizon. </w:t>
                                  </w:r>
                                </w:p>
                              </w:tc>
                              <w:tc>
                                <w:tcPr>
                                  <w:tcW w:w="1195" w:type="dxa"/>
                                  <w:tcBorders>
                                    <w:left w:val="single" w:sz="4" w:space="0" w:color="050509"/>
                                    <w:right w:val="single" w:sz="4" w:space="0" w:color="050509"/>
                                  </w:tcBorders>
                                </w:tcPr>
                                <w:p w14:paraId="0297994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6 </w:t>
                                  </w:r>
                                </w:p>
                              </w:tc>
                              <w:tc>
                                <w:tcPr>
                                  <w:tcW w:w="3867" w:type="dxa"/>
                                  <w:tcBorders>
                                    <w:left w:val="single" w:sz="4" w:space="0" w:color="050509"/>
                                    <w:right w:val="single" w:sz="4" w:space="0" w:color="020204"/>
                                  </w:tcBorders>
                                </w:tcPr>
                                <w:p w14:paraId="0CE0824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Illumination is sufficient for large objects to be seen but no detail is discernible. The brightest stars and planets can be seen. For navigation at sea, the sea horizon is clearly defined. </w:t>
                                  </w:r>
                                </w:p>
                              </w:tc>
                            </w:tr>
                            <w:tr w:rsidR="00541A14" w14:paraId="4D1D60A6" w14:textId="77777777">
                              <w:trPr>
                                <w:trHeight w:val="508"/>
                              </w:trPr>
                              <w:tc>
                                <w:tcPr>
                                  <w:tcW w:w="1427" w:type="dxa"/>
                                  <w:tcBorders>
                                    <w:left w:val="single" w:sz="4" w:space="0" w:color="020204"/>
                                    <w:right w:val="single" w:sz="4" w:space="0" w:color="050509"/>
                                  </w:tcBorders>
                                  <w:shd w:val="clear" w:color="auto" w:fill="E8E7F3"/>
                                </w:tcPr>
                                <w:p w14:paraId="4637302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Nautical Twilight (beginning / ending) </w:t>
                                  </w:r>
                                </w:p>
                              </w:tc>
                              <w:tc>
                                <w:tcPr>
                                  <w:tcW w:w="2570" w:type="dxa"/>
                                  <w:tcBorders>
                                    <w:left w:val="single" w:sz="4" w:space="0" w:color="050509"/>
                                    <w:right w:val="single" w:sz="4" w:space="0" w:color="050509"/>
                                  </w:tcBorders>
                                  <w:shd w:val="clear" w:color="auto" w:fill="E8E7F3"/>
                                </w:tcPr>
                                <w:p w14:paraId="4E3F133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Centre of the sun is at a depression angle of twelve (12) degrees below the horizon. </w:t>
                                  </w:r>
                                </w:p>
                              </w:tc>
                              <w:tc>
                                <w:tcPr>
                                  <w:tcW w:w="1195" w:type="dxa"/>
                                  <w:tcBorders>
                                    <w:left w:val="single" w:sz="4" w:space="0" w:color="050509"/>
                                    <w:right w:val="single" w:sz="4" w:space="0" w:color="050509"/>
                                  </w:tcBorders>
                                  <w:shd w:val="clear" w:color="auto" w:fill="E8E7F3"/>
                                </w:tcPr>
                                <w:p w14:paraId="64D0C1E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0.06 </w:t>
                                  </w:r>
                                </w:p>
                              </w:tc>
                              <w:tc>
                                <w:tcPr>
                                  <w:tcW w:w="3867" w:type="dxa"/>
                                  <w:tcBorders>
                                    <w:left w:val="single" w:sz="4" w:space="0" w:color="050509"/>
                                    <w:right w:val="single" w:sz="4" w:space="0" w:color="020204"/>
                                  </w:tcBorders>
                                  <w:shd w:val="clear" w:color="auto" w:fill="E8E7F3"/>
                                </w:tcPr>
                                <w:p w14:paraId="37AB991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It is dark for normal practical purposes. For navigation at sea, the sea horizon is not normally visible. </w:t>
                                  </w:r>
                                </w:p>
                              </w:tc>
                            </w:tr>
                            <w:tr w:rsidR="00541A14" w14:paraId="247F6BCE" w14:textId="77777777">
                              <w:trPr>
                                <w:trHeight w:val="507"/>
                              </w:trPr>
                              <w:tc>
                                <w:tcPr>
                                  <w:tcW w:w="1427" w:type="dxa"/>
                                  <w:tcBorders>
                                    <w:left w:val="single" w:sz="4" w:space="0" w:color="020204"/>
                                    <w:bottom w:val="single" w:sz="4" w:space="0" w:color="000000"/>
                                    <w:right w:val="single" w:sz="4" w:space="0" w:color="050509"/>
                                  </w:tcBorders>
                                </w:tcPr>
                                <w:p w14:paraId="7B1190D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Astronomical Twilight (beginning / ending) </w:t>
                                  </w:r>
                                </w:p>
                              </w:tc>
                              <w:tc>
                                <w:tcPr>
                                  <w:tcW w:w="2570" w:type="dxa"/>
                                  <w:tcBorders>
                                    <w:left w:val="single" w:sz="4" w:space="0" w:color="050509"/>
                                    <w:bottom w:val="single" w:sz="4" w:space="0" w:color="000000"/>
                                    <w:right w:val="single" w:sz="4" w:space="0" w:color="050509"/>
                                  </w:tcBorders>
                                </w:tcPr>
                                <w:p w14:paraId="6BEEDF2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Centre of the sun is at a depression angle of eighteen (18) degrees below the horizon. </w:t>
                                  </w:r>
                                </w:p>
                              </w:tc>
                              <w:tc>
                                <w:tcPr>
                                  <w:tcW w:w="1195" w:type="dxa"/>
                                  <w:tcBorders>
                                    <w:left w:val="single" w:sz="4" w:space="0" w:color="050509"/>
                                    <w:bottom w:val="single" w:sz="4" w:space="0" w:color="000000"/>
                                    <w:right w:val="single" w:sz="4" w:space="0" w:color="050509"/>
                                  </w:tcBorders>
                                </w:tcPr>
                                <w:p w14:paraId="45F39AA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0.0006 </w:t>
                                  </w:r>
                                </w:p>
                              </w:tc>
                              <w:tc>
                                <w:tcPr>
                                  <w:tcW w:w="3867" w:type="dxa"/>
                                  <w:tcBorders>
                                    <w:left w:val="single" w:sz="4" w:space="0" w:color="050509"/>
                                    <w:bottom w:val="single" w:sz="4" w:space="0" w:color="000000"/>
                                    <w:right w:val="single" w:sz="4" w:space="0" w:color="020204"/>
                                  </w:tcBorders>
                                </w:tcPr>
                                <w:p w14:paraId="2D800CF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Illumination due to scattered light from the sun is less than that from starlight and other natural light sources in the sky. </w:t>
                                  </w:r>
                                </w:p>
                              </w:tc>
                            </w:tr>
                          </w:tbl>
                          <w:p w14:paraId="1CC1BDE2"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40" type="#_x0000_t202" style="position:absolute;margin-left:60.85pt;margin-top:107.7pt;width:492.95pt;height:309.4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" o:allowincell="f" filled="f" stroked="f">
                <v:textbox>
                  <w:txbxContent>
                    <w:p w14:paraId="485C7411" w14:textId="77777777" w:rsidR="00000000" w:rsidRDefault="00A450E1">
                      <w:pPr>
                        <w:widowControl w:val="0"/>
                        <w:autoSpaceDE w:val="0"/>
                        <w:autoSpaceDN w:val="0"/>
                        <w:adjustRightInd w:val="0"/>
                        <w:spacing w:after="267"/>
                        <w:rPr>
                          <w:rFonts w:ascii="Palatino" w:hAnsi="Palatino" w:cs="Palatino"/>
                          <w:color w:val="000000"/>
                        </w:rPr>
                      </w:pPr>
                      <w:r>
                        <w:rPr>
                          <w:rFonts w:ascii="Palatino" w:hAnsi="Palatino" w:cs="Palatino"/>
                          <w:b/>
                          <w:bCs/>
                        </w:rPr>
                        <w:t xml:space="preserve">table 10 – timing of Astronomical Events </w:t>
                      </w:r>
                    </w:p>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15"/>
                        <w:gridCol w:w="42"/>
                        <w:gridCol w:w="33"/>
                        <w:gridCol w:w="120"/>
                        <w:gridCol w:w="182"/>
                        <w:gridCol w:w="5"/>
                        <w:gridCol w:w="28"/>
                        <w:gridCol w:w="70"/>
                        <w:gridCol w:w="65"/>
                        <w:gridCol w:w="167"/>
                        <w:gridCol w:w="10"/>
                        <w:gridCol w:w="125"/>
                        <w:gridCol w:w="55"/>
                        <w:gridCol w:w="20"/>
                        <w:gridCol w:w="50"/>
                        <w:gridCol w:w="50"/>
                        <w:gridCol w:w="118"/>
                        <w:gridCol w:w="95"/>
                        <w:gridCol w:w="2"/>
                        <w:gridCol w:w="33"/>
                        <w:gridCol w:w="155"/>
                        <w:gridCol w:w="20"/>
                        <w:gridCol w:w="197"/>
                        <w:gridCol w:w="112"/>
                        <w:gridCol w:w="5"/>
                        <w:gridCol w:w="123"/>
                        <w:gridCol w:w="22"/>
                        <w:gridCol w:w="15"/>
                        <w:gridCol w:w="73"/>
                        <w:gridCol w:w="192"/>
                        <w:gridCol w:w="235"/>
                        <w:gridCol w:w="5"/>
                        <w:gridCol w:w="60"/>
                        <w:gridCol w:w="237"/>
                        <w:gridCol w:w="38"/>
                        <w:gridCol w:w="15"/>
                        <w:gridCol w:w="25"/>
                        <w:gridCol w:w="50"/>
                        <w:gridCol w:w="103"/>
                        <w:gridCol w:w="33"/>
                        <w:gridCol w:w="234"/>
                        <w:gridCol w:w="5"/>
                        <w:gridCol w:w="5"/>
                        <w:gridCol w:w="12"/>
                        <w:gridCol w:w="47"/>
                        <w:gridCol w:w="168"/>
                        <w:gridCol w:w="48"/>
                        <w:gridCol w:w="4"/>
                        <w:gridCol w:w="110"/>
                        <w:gridCol w:w="12"/>
                        <w:gridCol w:w="108"/>
                        <w:gridCol w:w="4"/>
                        <w:gridCol w:w="362"/>
                        <w:gridCol w:w="48"/>
                        <w:gridCol w:w="89"/>
                        <w:gridCol w:w="47"/>
                        <w:gridCol w:w="355"/>
                        <w:gridCol w:w="10"/>
                        <w:gridCol w:w="207"/>
                        <w:gridCol w:w="86"/>
                        <w:gridCol w:w="70"/>
                        <w:gridCol w:w="8"/>
                        <w:gridCol w:w="78"/>
                        <w:gridCol w:w="152"/>
                        <w:gridCol w:w="279"/>
                        <w:gridCol w:w="183"/>
                        <w:gridCol w:w="55"/>
                        <w:gridCol w:w="2"/>
                        <w:gridCol w:w="283"/>
                        <w:gridCol w:w="254"/>
                        <w:gridCol w:w="76"/>
                        <w:gridCol w:w="119"/>
                        <w:gridCol w:w="23"/>
                        <w:gridCol w:w="1086"/>
                        <w:gridCol w:w="161"/>
                        <w:gridCol w:w="173"/>
                        <w:gridCol w:w="71"/>
                        <w:gridCol w:w="6"/>
                        <w:gridCol w:w="13"/>
                        <w:gridCol w:w="2"/>
                        <w:gridCol w:w="8"/>
                      </w:tblGrid>
                      <w:tr w:rsidR="00000000" w14:paraId="41098C12" w14:textId="77777777">
                        <w:tblPrEx>
                          <w:tblCellMar>
                            <w:top w:w="0" w:type="dxa"/>
                            <w:bottom w:w="0" w:type="dxa"/>
                          </w:tblCellMar>
                        </w:tblPrEx>
                        <w:trPr>
                          <w:gridAfter w:val="4"/>
                          <w:wAfter w:w="2011" w:type="dxa"/>
                          <w:trHeight w:val="405"/>
                        </w:trPr>
                        <w:tc>
                          <w:tcPr>
                            <w:tcW w:w="1427" w:type="dxa"/>
                            <w:gridSpan w:val="8"/>
                            <w:tcBorders>
                              <w:top w:val="single" w:sz="4" w:space="0" w:color="0E0F1B"/>
                              <w:left w:val="single" w:sz="4" w:space="0" w:color="020204"/>
                              <w:right w:val="single" w:sz="4" w:space="0" w:color="050509"/>
                            </w:tcBorders>
                            <w:shd w:val="clear" w:color="auto" w:fill="5E64A8"/>
                            <w:vAlign w:val="center"/>
                          </w:tcPr>
                          <w:p w14:paraId="1DDD8E4A"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Event </w:t>
                            </w:r>
                          </w:p>
                        </w:tc>
                        <w:tc>
                          <w:tcPr>
                            <w:tcW w:w="2570" w:type="dxa"/>
                            <w:gridSpan w:val="33"/>
                            <w:tcBorders>
                              <w:top w:val="single" w:sz="4" w:space="0" w:color="0E0F1B"/>
                              <w:left w:val="single" w:sz="4" w:space="0" w:color="050509"/>
                              <w:right w:val="single" w:sz="4" w:space="0" w:color="050509"/>
                            </w:tcBorders>
                            <w:shd w:val="clear" w:color="auto" w:fill="5E64A8"/>
                            <w:vAlign w:val="center"/>
                          </w:tcPr>
                          <w:p w14:paraId="57A865C1"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Condition </w:t>
                            </w:r>
                          </w:p>
                        </w:tc>
                        <w:tc>
                          <w:tcPr>
                            <w:tcW w:w="1195" w:type="dxa"/>
                            <w:gridSpan w:val="15"/>
                            <w:tcBorders>
                              <w:top w:val="single" w:sz="4" w:space="0" w:color="0E0F1B"/>
                              <w:left w:val="single" w:sz="4" w:space="0" w:color="050509"/>
                              <w:right w:val="single" w:sz="4" w:space="0" w:color="050509"/>
                            </w:tcBorders>
                            <w:shd w:val="clear" w:color="auto" w:fill="5E64A8"/>
                            <w:vAlign w:val="center"/>
                          </w:tcPr>
                          <w:p w14:paraId="725471C8"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Typical Illumination Lux </w:t>
                            </w:r>
                          </w:p>
                        </w:tc>
                        <w:tc>
                          <w:tcPr>
                            <w:tcW w:w="3867" w:type="dxa"/>
                            <w:gridSpan w:val="23"/>
                            <w:tcBorders>
                              <w:top w:val="single" w:sz="4" w:space="0" w:color="0E0F1B"/>
                              <w:left w:val="single" w:sz="4" w:space="0" w:color="050509"/>
                              <w:right w:val="single" w:sz="4" w:space="0" w:color="020204"/>
                            </w:tcBorders>
                            <w:shd w:val="clear" w:color="auto" w:fill="5E64A8"/>
                            <w:vAlign w:val="center"/>
                          </w:tcPr>
                          <w:p w14:paraId="2C9DE93D" w14:textId="77777777" w:rsidR="00000000" w:rsidRDefault="00A450E1">
                            <w:pPr>
                              <w:pStyle w:val="Default"/>
                              <w:rPr>
                                <w:rFonts w:ascii="Helvetica 55 Roman" w:hAnsi="Helvetica 55 Roman" w:cs="Helvetica 55 Roman"/>
                                <w:color w:val="FFFFFF"/>
                                <w:sz w:val="18"/>
                                <w:szCs w:val="18"/>
                              </w:rPr>
                            </w:pPr>
                            <w:r>
                              <w:rPr>
                                <w:rFonts w:ascii="Helvetica 65 Medium" w:hAnsi="Helvetica 65 Medium" w:cs="Helvetica 65 Medium"/>
                                <w:color w:val="FFFFFF"/>
                                <w:sz w:val="18"/>
                                <w:szCs w:val="18"/>
                              </w:rPr>
                              <w:t xml:space="preserve">Comment </w:t>
                            </w:r>
                            <w:r>
                              <w:rPr>
                                <w:rFonts w:ascii="Helvetica 55 Roman" w:hAnsi="Helvetica 55 Roman" w:cs="Helvetica 55 Roman"/>
                                <w:color w:val="FFFFFF"/>
                                <w:sz w:val="18"/>
                                <w:szCs w:val="18"/>
                              </w:rPr>
                              <w:t xml:space="preserve">(Assuming the absence of moonlight, artificial lighting or adverse atmospheric conditions) </w:t>
                            </w:r>
                          </w:p>
                        </w:tc>
                      </w:tr>
                      <w:tr w:rsidR="00000000" w14:paraId="66BFE2A2" w14:textId="77777777">
                        <w:tblPrEx>
                          <w:tblCellMar>
                            <w:top w:w="0" w:type="dxa"/>
                            <w:bottom w:w="0" w:type="dxa"/>
                          </w:tblCellMar>
                        </w:tblPrEx>
                        <w:trPr>
                          <w:gridAfter w:val="4"/>
                          <w:wAfter w:w="2011" w:type="dxa"/>
                          <w:trHeight w:val="293"/>
                        </w:trPr>
                        <w:tc>
                          <w:tcPr>
                            <w:tcW w:w="1427" w:type="dxa"/>
                            <w:gridSpan w:val="8"/>
                            <w:tcBorders>
                              <w:top w:val="single" w:sz="2" w:space="0" w:color="5E64A8"/>
                              <w:left w:val="single" w:sz="4" w:space="0" w:color="020204"/>
                              <w:right w:val="single" w:sz="4" w:space="0" w:color="050509"/>
                            </w:tcBorders>
                            <w:shd w:val="clear" w:color="auto" w:fill="E8E7F3"/>
                          </w:tcPr>
                          <w:p w14:paraId="264F703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Sunset/Sunrise </w:t>
                            </w:r>
                          </w:p>
                        </w:tc>
                        <w:tc>
                          <w:tcPr>
                            <w:tcW w:w="2570" w:type="dxa"/>
                            <w:gridSpan w:val="33"/>
                            <w:tcBorders>
                              <w:top w:val="single" w:sz="2" w:space="0" w:color="5E64A8"/>
                              <w:left w:val="single" w:sz="4" w:space="0" w:color="050509"/>
                              <w:right w:val="single" w:sz="4" w:space="0" w:color="050509"/>
                            </w:tcBorders>
                            <w:shd w:val="clear" w:color="auto" w:fill="E8E7F3"/>
                            <w:vAlign w:val="center"/>
                          </w:tcPr>
                          <w:p w14:paraId="5091F55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Upper edge of the sun’s disc is coincident with the horizon. </w:t>
                            </w:r>
                          </w:p>
                        </w:tc>
                        <w:tc>
                          <w:tcPr>
                            <w:tcW w:w="1195" w:type="dxa"/>
                            <w:gridSpan w:val="15"/>
                            <w:tcBorders>
                              <w:top w:val="single" w:sz="2" w:space="0" w:color="5E64A8"/>
                              <w:left w:val="single" w:sz="4" w:space="0" w:color="050509"/>
                              <w:right w:val="single" w:sz="4" w:space="0" w:color="050509"/>
                            </w:tcBorders>
                            <w:shd w:val="clear" w:color="auto" w:fill="E8E7F3"/>
                          </w:tcPr>
                          <w:p w14:paraId="0A7D8C8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600 </w:t>
                            </w:r>
                          </w:p>
                        </w:tc>
                        <w:tc>
                          <w:tcPr>
                            <w:tcW w:w="3867" w:type="dxa"/>
                            <w:gridSpan w:val="23"/>
                            <w:tcBorders>
                              <w:top w:val="single" w:sz="2" w:space="0" w:color="5E64A8"/>
                              <w:left w:val="single" w:sz="4" w:space="0" w:color="050509"/>
                              <w:right w:val="single" w:sz="4" w:space="0" w:color="020204"/>
                            </w:tcBorders>
                            <w:shd w:val="clear" w:color="auto" w:fill="E8E7F3"/>
                          </w:tcPr>
                          <w:p w14:paraId="0D85F2CA" w14:textId="77777777" w:rsidR="00000000" w:rsidRDefault="00A450E1">
                            <w:pPr>
                              <w:pStyle w:val="Default"/>
                              <w:rPr>
                                <w:rFonts w:cs="Times New Roman"/>
                                <w:color w:val="auto"/>
                              </w:rPr>
                            </w:pPr>
                          </w:p>
                        </w:tc>
                      </w:tr>
                      <w:tr w:rsidR="00000000" w14:paraId="1BF2A1D5" w14:textId="77777777">
                        <w:tblPrEx>
                          <w:tblCellMar>
                            <w:top w:w="0" w:type="dxa"/>
                            <w:bottom w:w="0" w:type="dxa"/>
                          </w:tblCellMar>
                        </w:tblPrEx>
                        <w:trPr>
                          <w:gridAfter w:val="4"/>
                          <w:wAfter w:w="2011" w:type="dxa"/>
                          <w:trHeight w:val="673"/>
                        </w:trPr>
                        <w:tc>
                          <w:tcPr>
                            <w:tcW w:w="1427" w:type="dxa"/>
                            <w:gridSpan w:val="8"/>
                            <w:tcBorders>
                              <w:left w:val="single" w:sz="4" w:space="0" w:color="020204"/>
                              <w:right w:val="single" w:sz="4" w:space="0" w:color="050509"/>
                            </w:tcBorders>
                          </w:tcPr>
                          <w:p w14:paraId="6A6643F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Civil Twilight (beginning / ending) </w:t>
                            </w:r>
                          </w:p>
                        </w:tc>
                        <w:tc>
                          <w:tcPr>
                            <w:tcW w:w="2570" w:type="dxa"/>
                            <w:gridSpan w:val="33"/>
                            <w:tcBorders>
                              <w:left w:val="single" w:sz="4" w:space="0" w:color="050509"/>
                              <w:right w:val="single" w:sz="4" w:space="0" w:color="050509"/>
                            </w:tcBorders>
                          </w:tcPr>
                          <w:p w14:paraId="704AD9E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Centre of the sun is at a depression angle of six (6) degrees below the horizon. </w:t>
                            </w:r>
                          </w:p>
                        </w:tc>
                        <w:tc>
                          <w:tcPr>
                            <w:tcW w:w="1195" w:type="dxa"/>
                            <w:gridSpan w:val="15"/>
                            <w:tcBorders>
                              <w:left w:val="single" w:sz="4" w:space="0" w:color="050509"/>
                              <w:right w:val="single" w:sz="4" w:space="0" w:color="050509"/>
                            </w:tcBorders>
                          </w:tcPr>
                          <w:p w14:paraId="0297994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6 </w:t>
                            </w:r>
                          </w:p>
                        </w:tc>
                        <w:tc>
                          <w:tcPr>
                            <w:tcW w:w="3867" w:type="dxa"/>
                            <w:gridSpan w:val="23"/>
                            <w:tcBorders>
                              <w:left w:val="single" w:sz="4" w:space="0" w:color="050509"/>
                              <w:right w:val="single" w:sz="4" w:space="0" w:color="020204"/>
                            </w:tcBorders>
                          </w:tcPr>
                          <w:p w14:paraId="0CE0824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Illumination is sufficient for large objects to be seen but no detail is discernible. The brightest stars and planets can be seen. For navigation at sea, the sea horizon is clearly defined. </w:t>
                            </w:r>
                          </w:p>
                        </w:tc>
                      </w:tr>
                      <w:tr w:rsidR="00000000" w14:paraId="4D1D60A6" w14:textId="77777777">
                        <w:tblPrEx>
                          <w:tblCellMar>
                            <w:top w:w="0" w:type="dxa"/>
                            <w:bottom w:w="0" w:type="dxa"/>
                          </w:tblCellMar>
                        </w:tblPrEx>
                        <w:trPr>
                          <w:gridAfter w:val="4"/>
                          <w:wAfter w:w="2011" w:type="dxa"/>
                          <w:trHeight w:val="508"/>
                        </w:trPr>
                        <w:tc>
                          <w:tcPr>
                            <w:tcW w:w="1427" w:type="dxa"/>
                            <w:gridSpan w:val="8"/>
                            <w:tcBorders>
                              <w:left w:val="single" w:sz="4" w:space="0" w:color="020204"/>
                              <w:right w:val="single" w:sz="4" w:space="0" w:color="050509"/>
                            </w:tcBorders>
                            <w:shd w:val="clear" w:color="auto" w:fill="E8E7F3"/>
                          </w:tcPr>
                          <w:p w14:paraId="4637302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Nautical Twilight (beginning / ending) </w:t>
                            </w:r>
                          </w:p>
                        </w:tc>
                        <w:tc>
                          <w:tcPr>
                            <w:tcW w:w="2570" w:type="dxa"/>
                            <w:gridSpan w:val="33"/>
                            <w:tcBorders>
                              <w:left w:val="single" w:sz="4" w:space="0" w:color="050509"/>
                              <w:right w:val="single" w:sz="4" w:space="0" w:color="050509"/>
                            </w:tcBorders>
                            <w:shd w:val="clear" w:color="auto" w:fill="E8E7F3"/>
                          </w:tcPr>
                          <w:p w14:paraId="4E3F133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Centre of the sun is at a depression angle of twelve (12) degrees below the horizon. </w:t>
                            </w:r>
                          </w:p>
                        </w:tc>
                        <w:tc>
                          <w:tcPr>
                            <w:tcW w:w="1195" w:type="dxa"/>
                            <w:gridSpan w:val="15"/>
                            <w:tcBorders>
                              <w:left w:val="single" w:sz="4" w:space="0" w:color="050509"/>
                              <w:right w:val="single" w:sz="4" w:space="0" w:color="050509"/>
                            </w:tcBorders>
                            <w:shd w:val="clear" w:color="auto" w:fill="E8E7F3"/>
                          </w:tcPr>
                          <w:p w14:paraId="64D0C1E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0.06 </w:t>
                            </w:r>
                          </w:p>
                        </w:tc>
                        <w:tc>
                          <w:tcPr>
                            <w:tcW w:w="3867" w:type="dxa"/>
                            <w:gridSpan w:val="23"/>
                            <w:tcBorders>
                              <w:left w:val="single" w:sz="4" w:space="0" w:color="050509"/>
                              <w:right w:val="single" w:sz="4" w:space="0" w:color="020204"/>
                            </w:tcBorders>
                            <w:shd w:val="clear" w:color="auto" w:fill="E8E7F3"/>
                          </w:tcPr>
                          <w:p w14:paraId="37AB991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It is dark for normal practical purposes. For navigation at sea, the sea horizon is not normally visible. </w:t>
                            </w:r>
                          </w:p>
                        </w:tc>
                      </w:tr>
                      <w:tr w:rsidR="00000000" w14:paraId="247F6BCE" w14:textId="77777777">
                        <w:tblPrEx>
                          <w:tblCellMar>
                            <w:top w:w="0" w:type="dxa"/>
                            <w:bottom w:w="0" w:type="dxa"/>
                          </w:tblCellMar>
                        </w:tblPrEx>
                        <w:trPr>
                          <w:gridAfter w:val="4"/>
                          <w:wAfter w:w="2011" w:type="dxa"/>
                          <w:trHeight w:val="507"/>
                        </w:trPr>
                        <w:tc>
                          <w:tcPr>
                            <w:tcW w:w="1427" w:type="dxa"/>
                            <w:gridSpan w:val="8"/>
                            <w:tcBorders>
                              <w:left w:val="single" w:sz="4" w:space="0" w:color="020204"/>
                              <w:bottom w:val="single" w:sz="4" w:space="0" w:color="000000"/>
                              <w:right w:val="single" w:sz="4" w:space="0" w:color="050509"/>
                            </w:tcBorders>
                          </w:tcPr>
                          <w:p w14:paraId="7B1190D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Astronomical Twilight (beginning / ending) </w:t>
                            </w:r>
                          </w:p>
                        </w:tc>
                        <w:tc>
                          <w:tcPr>
                            <w:tcW w:w="2570" w:type="dxa"/>
                            <w:gridSpan w:val="33"/>
                            <w:tcBorders>
                              <w:left w:val="single" w:sz="4" w:space="0" w:color="050509"/>
                              <w:bottom w:val="single" w:sz="4" w:space="0" w:color="000000"/>
                              <w:right w:val="single" w:sz="4" w:space="0" w:color="050509"/>
                            </w:tcBorders>
                          </w:tcPr>
                          <w:p w14:paraId="6BEEDF2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Centre of the sun is at a depression angle of eighteen (18) degrees below the horizon. </w:t>
                            </w:r>
                          </w:p>
                        </w:tc>
                        <w:tc>
                          <w:tcPr>
                            <w:tcW w:w="1195" w:type="dxa"/>
                            <w:gridSpan w:val="15"/>
                            <w:tcBorders>
                              <w:left w:val="single" w:sz="4" w:space="0" w:color="050509"/>
                              <w:bottom w:val="single" w:sz="4" w:space="0" w:color="000000"/>
                              <w:right w:val="single" w:sz="4" w:space="0" w:color="050509"/>
                            </w:tcBorders>
                          </w:tcPr>
                          <w:p w14:paraId="45F39AA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0.0006 </w:t>
                            </w:r>
                          </w:p>
                        </w:tc>
                        <w:tc>
                          <w:tcPr>
                            <w:tcW w:w="3867" w:type="dxa"/>
                            <w:gridSpan w:val="23"/>
                            <w:tcBorders>
                              <w:left w:val="single" w:sz="4" w:space="0" w:color="050509"/>
                              <w:bottom w:val="single" w:sz="4" w:space="0" w:color="000000"/>
                              <w:right w:val="single" w:sz="4" w:space="0" w:color="020204"/>
                            </w:tcBorders>
                          </w:tcPr>
                          <w:p w14:paraId="2D800CF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Illumination due to scattered light from the sun is less than that from starlight and other natural light sources in the sky. </w:t>
                            </w:r>
                          </w:p>
                        </w:tc>
                      </w:tr>
                    </w:tbl>
                  </w:txbxContent>
                </v:textbox>
                <w10:wrap type="through" anchorx="page" anchory="page"/>
              </v:shape>
            </w:pict>
          </mc:Fallback>
        </mc:AlternateContent>
      </w:r>
    </w:p>
    <w:p w14:paraId="02854708"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Switch-on / Switch-off Light Levels </w:t>
      </w:r>
    </w:p>
    <w:p w14:paraId="4E02BE45" w14:textId="77777777" w:rsidR="00541A14" w:rsidRDefault="00A450E1">
      <w:pPr>
        <w:pStyle w:val="CM83"/>
        <w:ind w:right="82"/>
        <w:jc w:val="both"/>
        <w:rPr>
          <w:rFonts w:ascii="Palatino" w:hAnsi="Palatino" w:cs="Palatino"/>
          <w:color w:val="000000"/>
          <w:sz w:val="20"/>
          <w:szCs w:val="20"/>
        </w:rPr>
      </w:pPr>
      <w:r>
        <w:rPr>
          <w:rFonts w:ascii="Palatino" w:hAnsi="Palatino" w:cs="Palatino"/>
          <w:color w:val="000000"/>
          <w:sz w:val="20"/>
          <w:szCs w:val="20"/>
        </w:rPr>
        <w:t xml:space="preserve">For lighted aids to navigation that only operate at night, the ambient light levels at which an AtoN light switches on should be chosen so that the AtoN light switches on while the ambient light level </w:t>
      </w:r>
    </w:p>
    <w:p w14:paraId="5A4A3808"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is sufficiently high to allow safe navigation, while not switching on during overcast conditions </w:t>
      </w:r>
    </w:p>
    <w:p w14:paraId="6C546904" w14:textId="77777777" w:rsidR="00541A14" w:rsidRDefault="00A450E1">
      <w:pPr>
        <w:pStyle w:val="CM172"/>
        <w:spacing w:after="202" w:line="296" w:lineRule="atLeast"/>
        <w:jc w:val="both"/>
        <w:rPr>
          <w:rFonts w:ascii="Palatino" w:hAnsi="Palatino" w:cs="Palatino"/>
          <w:color w:val="000000"/>
          <w:sz w:val="20"/>
          <w:szCs w:val="20"/>
        </w:rPr>
      </w:pPr>
      <w:r>
        <w:rPr>
          <w:rFonts w:ascii="Palatino" w:hAnsi="Palatino" w:cs="Palatino"/>
          <w:color w:val="000000"/>
          <w:sz w:val="20"/>
          <w:szCs w:val="20"/>
        </w:rPr>
        <w:t xml:space="preserve">when the AtoN is not necessary for safe navigation. </w:t>
      </w:r>
    </w:p>
    <w:p w14:paraId="7D4D9DAF"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25A73DAF" w14:textId="77777777" w:rsidR="00541A14" w:rsidRDefault="009E3F25">
      <w:pPr>
        <w:pStyle w:val="CM197"/>
        <w:spacing w:after="390" w:line="296" w:lineRule="atLeast"/>
        <w:ind w:left="305"/>
        <w:jc w:val="both"/>
        <w:rPr>
          <w:rFonts w:ascii="Palatino" w:hAnsi="Palatino" w:cs="Palatino"/>
          <w:color w:val="000000"/>
          <w:sz w:val="20"/>
          <w:szCs w:val="20"/>
        </w:rPr>
      </w:pPr>
      <w:hyperlink r:id="rId136" w:history="1">
        <w:r w:rsidR="00A450E1">
          <w:rPr>
            <w:rFonts w:ascii="Palatino" w:hAnsi="Palatino" w:cs="Palatino"/>
            <w:i/>
            <w:iCs/>
            <w:color w:val="000000"/>
            <w:sz w:val="20"/>
            <w:szCs w:val="20"/>
          </w:rPr>
          <w:t xml:space="preserve">IALA Guideline 1038 on Ambient Light Levels at which Aids to Navigation should switch on and off. </w:t>
        </w:r>
      </w:hyperlink>
    </w:p>
    <w:p w14:paraId="1BF626D6" w14:textId="77777777" w:rsidR="00541A14" w:rsidRDefault="00A450E1">
      <w:pPr>
        <w:pStyle w:val="CM165"/>
        <w:spacing w:after="85" w:line="296"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Night Operations </w:t>
      </w:r>
    </w:p>
    <w:p w14:paraId="4D3CA56D"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b/>
          <w:bCs/>
          <w:color w:val="000000"/>
          <w:sz w:val="20"/>
          <w:szCs w:val="20"/>
        </w:rPr>
        <w:t xml:space="preserve">Nominal Range and luminous Intensity </w:t>
      </w:r>
    </w:p>
    <w:p w14:paraId="2AA31D97" w14:textId="77777777" w:rsidR="00541A14" w:rsidRDefault="00A450E1">
      <w:pPr>
        <w:pStyle w:val="CM172"/>
        <w:spacing w:after="202" w:line="296" w:lineRule="atLeast"/>
        <w:jc w:val="both"/>
        <w:rPr>
          <w:rFonts w:ascii="Palatino" w:hAnsi="Palatino" w:cs="Palatino"/>
          <w:color w:val="000000"/>
          <w:sz w:val="20"/>
          <w:szCs w:val="20"/>
        </w:rPr>
      </w:pPr>
      <w:r>
        <w:rPr>
          <w:rFonts w:ascii="Palatino" w:hAnsi="Palatino" w:cs="Palatino"/>
          <w:color w:val="000000"/>
          <w:sz w:val="20"/>
          <w:szCs w:val="20"/>
        </w:rPr>
        <w:t xml:space="preserve">Table 11 provides a conversion between nominal range and luminous intensity. </w:t>
      </w:r>
    </w:p>
    <w:p w14:paraId="4EB2FF46" w14:textId="77777777" w:rsidR="00541A14" w:rsidRDefault="00A450E1">
      <w:pPr>
        <w:pStyle w:val="CM165"/>
        <w:spacing w:after="85" w:line="300" w:lineRule="atLeast"/>
        <w:ind w:left="197"/>
        <w:jc w:val="both"/>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43F7FCF7" w14:textId="77777777" w:rsidR="00541A14" w:rsidRDefault="009E3F25">
      <w:pPr>
        <w:pStyle w:val="CM177"/>
        <w:spacing w:after="3442" w:line="300" w:lineRule="atLeast"/>
        <w:ind w:left="197"/>
        <w:jc w:val="both"/>
        <w:rPr>
          <w:rFonts w:ascii="Palatino" w:hAnsi="Palatino" w:cs="Palatino"/>
          <w:color w:val="000000"/>
          <w:sz w:val="20"/>
          <w:szCs w:val="20"/>
        </w:rPr>
      </w:pPr>
      <w:hyperlink r:id="rId137" w:history="1">
        <w:r w:rsidR="00A450E1">
          <w:rPr>
            <w:rFonts w:ascii="Palatino" w:hAnsi="Palatino" w:cs="Palatino"/>
            <w:i/>
            <w:iCs/>
            <w:color w:val="000000"/>
            <w:sz w:val="20"/>
            <w:szCs w:val="20"/>
          </w:rPr>
          <w:t xml:space="preserve">Recommendation E200-2 On Marine Signal Lights -Calculation, definition and notation of luminous range. </w:t>
        </w:r>
      </w:hyperlink>
    </w:p>
    <w:p w14:paraId="1BB07616"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7CF95DB9" wp14:editId="058D77EC">
            <wp:extent cx="7553960" cy="420370"/>
            <wp:effectExtent l="0" t="0" r="0" b="1143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5BAEE21D" w14:textId="77777777" w:rsidR="00541A14" w:rsidRDefault="00DD420F">
      <w:pPr>
        <w:pStyle w:val="Default"/>
        <w:pageBreakBefore/>
        <w:framePr w:w="12857" w:wrap="auto" w:vAnchor="page" w:hAnchor="page" w:x="101" w:y="1"/>
        <w:spacing w:after="580"/>
        <w:rPr>
          <w:rFonts w:ascii="Palatino" w:hAnsi="Palatino" w:cs="Palatino"/>
          <w:sz w:val="20"/>
          <w:szCs w:val="20"/>
        </w:rPr>
      </w:pPr>
      <w:r>
        <w:rPr>
          <w:rFonts w:ascii="Palatino" w:hAnsi="Palatino" w:cs="Palatino"/>
          <w:noProof/>
          <w:sz w:val="20"/>
          <w:szCs w:val="20"/>
        </w:rPr>
        <w:drawing>
          <wp:inline distT="0" distB="0" distL="0" distR="0" wp14:anchorId="1F3E5A00" wp14:editId="360F6D7E">
            <wp:extent cx="7553960" cy="115316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5F254E3F" w14:textId="77777777" w:rsidR="00541A14" w:rsidRDefault="00A450E1">
      <w:pPr>
        <w:pStyle w:val="CM172"/>
        <w:spacing w:after="202" w:line="413" w:lineRule="atLeast"/>
        <w:jc w:val="both"/>
        <w:rPr>
          <w:rFonts w:ascii="Palatino" w:hAnsi="Palatino" w:cs="Palatino"/>
          <w:color w:val="000000"/>
          <w:sz w:val="20"/>
          <w:szCs w:val="20"/>
        </w:rPr>
      </w:pPr>
      <w:r>
        <w:rPr>
          <w:rFonts w:ascii="Palatino" w:hAnsi="Palatino" w:cs="Palatino"/>
          <w:color w:val="000000"/>
          <w:sz w:val="20"/>
          <w:szCs w:val="20"/>
        </w:rPr>
        <w:t xml:space="preserve">0.2 microlux. </w:t>
      </w:r>
    </w:p>
    <w:p w14:paraId="3537AD51"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73600" behindDoc="0" locked="0" layoutInCell="0" allowOverlap="1" wp14:anchorId="08E85D28" wp14:editId="554A8DF6">
                <wp:simplePos x="0" y="0"/>
                <wp:positionH relativeFrom="page">
                  <wp:posOffset>772795</wp:posOffset>
                </wp:positionH>
                <wp:positionV relativeFrom="page">
                  <wp:posOffset>1411605</wp:posOffset>
                </wp:positionV>
                <wp:extent cx="6280785" cy="5523230"/>
                <wp:effectExtent l="0" t="0" r="0" b="0"/>
                <wp:wrapThrough wrapText="bothSides">
                  <wp:wrapPolygon edited="0">
                    <wp:start x="0" y="0"/>
                    <wp:lineTo x="21600" y="0"/>
                    <wp:lineTo x="21600" y="21600"/>
                    <wp:lineTo x="0" y="21600"/>
                    <wp:lineTo x="0" y="0"/>
                  </wp:wrapPolygon>
                </wp:wrapThrough>
                <wp:docPr id="54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0785" cy="5523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311A7" w14:textId="77777777" w:rsidR="00541A14" w:rsidRDefault="00A450E1">
                            <w:pPr>
                              <w:widowControl w:val="0"/>
                              <w:autoSpaceDE w:val="0"/>
                              <w:autoSpaceDN w:val="0"/>
                              <w:adjustRightInd w:val="0"/>
                              <w:spacing w:after="113" w:line="413" w:lineRule="atLeast"/>
                              <w:jc w:val="both"/>
                              <w:rPr>
                                <w:rFonts w:ascii="Palatino" w:hAnsi="Palatino" w:cs="Palatino"/>
                                <w:color w:val="000000"/>
                              </w:rPr>
                            </w:pPr>
                            <w:r>
                              <w:rPr>
                                <w:rFonts w:ascii="Palatino" w:hAnsi="Palatino" w:cs="Palatino"/>
                                <w:b/>
                                <w:bCs/>
                                <w:color w:val="000000"/>
                              </w:rPr>
                              <w:t>table 11 – IAlA conversion table for luminous Intensity and Nominal Range for night observations Note</w:t>
                            </w:r>
                            <w:r>
                              <w:rPr>
                                <w:rFonts w:ascii="Palatino" w:hAnsi="Palatino" w:cs="Palatino"/>
                                <w:color w:val="000000"/>
                              </w:rPr>
                              <w:t xml:space="preserve"> - This assumes an atmospheric transmissivity of T=0.74 and a threshold of illumination of </w:t>
                            </w:r>
                          </w:p>
                          <w:tbl>
                            <w:tblPr>
                              <w:tblW w:w="0" w:type="auto"/>
                              <w:tblBorders>
                                <w:top w:val="nil"/>
                                <w:left w:val="nil"/>
                                <w:bottom w:val="nil"/>
                                <w:right w:val="nil"/>
                              </w:tblBorders>
                              <w:tblLayout w:type="fixed"/>
                              <w:tblLook w:val="0000" w:firstRow="0" w:lastRow="0" w:firstColumn="0" w:lastColumn="0" w:noHBand="0" w:noVBand="0"/>
                            </w:tblPr>
                            <w:tblGrid>
                              <w:gridCol w:w="2280"/>
                              <w:gridCol w:w="2265"/>
                              <w:gridCol w:w="2267"/>
                              <w:gridCol w:w="2267"/>
                            </w:tblGrid>
                            <w:tr w:rsidR="00541A14" w14:paraId="6D892348" w14:textId="77777777">
                              <w:trPr>
                                <w:trHeight w:val="323"/>
                              </w:trPr>
                              <w:tc>
                                <w:tcPr>
                                  <w:tcW w:w="2280" w:type="dxa"/>
                                  <w:tcBorders>
                                    <w:top w:val="single" w:sz="4" w:space="0" w:color="0E0F1B"/>
                                    <w:left w:val="single" w:sz="4" w:space="0" w:color="000102"/>
                                    <w:right w:val="single" w:sz="4" w:space="0" w:color="020305"/>
                                  </w:tcBorders>
                                  <w:shd w:val="clear" w:color="auto" w:fill="5E64A8"/>
                                  <w:vAlign w:val="center"/>
                                </w:tcPr>
                                <w:p w14:paraId="1C48D829"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Nominal Range (nautical miles) </w:t>
                                  </w:r>
                                </w:p>
                              </w:tc>
                              <w:tc>
                                <w:tcPr>
                                  <w:tcW w:w="2265" w:type="dxa"/>
                                  <w:tcBorders>
                                    <w:top w:val="single" w:sz="4" w:space="0" w:color="0E0F1B"/>
                                    <w:left w:val="single" w:sz="4" w:space="0" w:color="020305"/>
                                    <w:right w:val="single" w:sz="4" w:space="0" w:color="020305"/>
                                  </w:tcBorders>
                                  <w:shd w:val="clear" w:color="auto" w:fill="5E64A8"/>
                                  <w:vAlign w:val="center"/>
                                </w:tcPr>
                                <w:p w14:paraId="319961FB"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Luminous Intensity (candela) </w:t>
                                  </w:r>
                                </w:p>
                              </w:tc>
                              <w:tc>
                                <w:tcPr>
                                  <w:tcW w:w="2267" w:type="dxa"/>
                                  <w:tcBorders>
                                    <w:top w:val="single" w:sz="4" w:space="0" w:color="0E0F1B"/>
                                    <w:left w:val="single" w:sz="4" w:space="0" w:color="020305"/>
                                    <w:right w:val="single" w:sz="4" w:space="0" w:color="020305"/>
                                  </w:tcBorders>
                                  <w:shd w:val="clear" w:color="auto" w:fill="5E64A8"/>
                                  <w:vAlign w:val="center"/>
                                </w:tcPr>
                                <w:p w14:paraId="6450AB4B"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Nominal Range (nautical miles) </w:t>
                                  </w:r>
                                </w:p>
                              </w:tc>
                              <w:tc>
                                <w:tcPr>
                                  <w:tcW w:w="2267" w:type="dxa"/>
                                  <w:tcBorders>
                                    <w:top w:val="single" w:sz="4" w:space="0" w:color="0E0F1B"/>
                                    <w:left w:val="single" w:sz="4" w:space="0" w:color="020305"/>
                                    <w:right w:val="single" w:sz="4" w:space="0" w:color="000102"/>
                                  </w:tcBorders>
                                  <w:shd w:val="clear" w:color="auto" w:fill="5E64A8"/>
                                  <w:vAlign w:val="center"/>
                                </w:tcPr>
                                <w:p w14:paraId="05C83AEC"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Luminous Intensity (candela) </w:t>
                                  </w:r>
                                </w:p>
                              </w:tc>
                            </w:tr>
                            <w:tr w:rsidR="00541A14" w14:paraId="6B93C91B" w14:textId="77777777">
                              <w:trPr>
                                <w:trHeight w:val="187"/>
                              </w:trPr>
                              <w:tc>
                                <w:tcPr>
                                  <w:tcW w:w="2280" w:type="dxa"/>
                                  <w:tcBorders>
                                    <w:top w:val="single" w:sz="2" w:space="0" w:color="5E64A8"/>
                                    <w:left w:val="single" w:sz="4" w:space="0" w:color="000102"/>
                                    <w:right w:val="single" w:sz="4" w:space="0" w:color="020305"/>
                                  </w:tcBorders>
                                  <w:shd w:val="clear" w:color="auto" w:fill="E8E7F3"/>
                                  <w:vAlign w:val="center"/>
                                </w:tcPr>
                                <w:p w14:paraId="411B802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 </w:t>
                                  </w:r>
                                </w:p>
                              </w:tc>
                              <w:tc>
                                <w:tcPr>
                                  <w:tcW w:w="2265" w:type="dxa"/>
                                  <w:tcBorders>
                                    <w:top w:val="single" w:sz="2" w:space="0" w:color="5E64A8"/>
                                    <w:left w:val="single" w:sz="4" w:space="0" w:color="020305"/>
                                    <w:right w:val="single" w:sz="4" w:space="0" w:color="020305"/>
                                  </w:tcBorders>
                                  <w:shd w:val="clear" w:color="auto" w:fill="E8E7F3"/>
                                  <w:vAlign w:val="center"/>
                                </w:tcPr>
                                <w:p w14:paraId="57107A3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0.9 </w:t>
                                  </w:r>
                                </w:p>
                              </w:tc>
                              <w:tc>
                                <w:tcPr>
                                  <w:tcW w:w="2267" w:type="dxa"/>
                                  <w:tcBorders>
                                    <w:top w:val="single" w:sz="2" w:space="0" w:color="5E64A8"/>
                                    <w:left w:val="single" w:sz="4" w:space="0" w:color="020305"/>
                                    <w:right w:val="single" w:sz="4" w:space="0" w:color="020305"/>
                                  </w:tcBorders>
                                  <w:shd w:val="clear" w:color="auto" w:fill="E8E7F3"/>
                                  <w:vAlign w:val="center"/>
                                </w:tcPr>
                                <w:p w14:paraId="2E2E4BB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 </w:t>
                                  </w:r>
                                </w:p>
                              </w:tc>
                              <w:tc>
                                <w:tcPr>
                                  <w:tcW w:w="2267" w:type="dxa"/>
                                  <w:tcBorders>
                                    <w:top w:val="single" w:sz="2" w:space="0" w:color="5E64A8"/>
                                    <w:left w:val="single" w:sz="4" w:space="0" w:color="020305"/>
                                    <w:right w:val="single" w:sz="4" w:space="0" w:color="000102"/>
                                  </w:tcBorders>
                                  <w:shd w:val="clear" w:color="auto" w:fill="E8E7F3"/>
                                  <w:vAlign w:val="center"/>
                                </w:tcPr>
                                <w:p w14:paraId="411C090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3600 </w:t>
                                  </w:r>
                                </w:p>
                              </w:tc>
                            </w:tr>
                            <w:tr w:rsidR="00541A14" w14:paraId="3B414CBC" w14:textId="77777777">
                              <w:trPr>
                                <w:trHeight w:val="183"/>
                              </w:trPr>
                              <w:tc>
                                <w:tcPr>
                                  <w:tcW w:w="2280" w:type="dxa"/>
                                  <w:tcBorders>
                                    <w:left w:val="single" w:sz="4" w:space="0" w:color="000102"/>
                                    <w:right w:val="single" w:sz="4" w:space="0" w:color="020305"/>
                                  </w:tcBorders>
                                  <w:vAlign w:val="center"/>
                                </w:tcPr>
                                <w:p w14:paraId="1F96F00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c>
                                <w:tcPr>
                                  <w:tcW w:w="2265" w:type="dxa"/>
                                  <w:tcBorders>
                                    <w:left w:val="single" w:sz="4" w:space="0" w:color="020305"/>
                                    <w:right w:val="single" w:sz="4" w:space="0" w:color="020305"/>
                                  </w:tcBorders>
                                  <w:vAlign w:val="center"/>
                                </w:tcPr>
                                <w:p w14:paraId="7C83AAB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2.4 </w:t>
                                  </w:r>
                                </w:p>
                              </w:tc>
                              <w:tc>
                                <w:tcPr>
                                  <w:tcW w:w="2267" w:type="dxa"/>
                                  <w:tcBorders>
                                    <w:left w:val="single" w:sz="4" w:space="0" w:color="020305"/>
                                    <w:right w:val="single" w:sz="4" w:space="0" w:color="020305"/>
                                  </w:tcBorders>
                                  <w:vAlign w:val="center"/>
                                </w:tcPr>
                                <w:p w14:paraId="6239FF3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 </w:t>
                                  </w:r>
                                </w:p>
                              </w:tc>
                              <w:tc>
                                <w:tcPr>
                                  <w:tcW w:w="2267" w:type="dxa"/>
                                  <w:tcBorders>
                                    <w:left w:val="single" w:sz="4" w:space="0" w:color="020305"/>
                                    <w:right w:val="single" w:sz="4" w:space="0" w:color="000102"/>
                                  </w:tcBorders>
                                  <w:vAlign w:val="center"/>
                                </w:tcPr>
                                <w:p w14:paraId="6600797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5700 </w:t>
                                  </w:r>
                                </w:p>
                              </w:tc>
                            </w:tr>
                            <w:tr w:rsidR="00541A14" w14:paraId="621E3FF0" w14:textId="77777777">
                              <w:trPr>
                                <w:trHeight w:val="185"/>
                              </w:trPr>
                              <w:tc>
                                <w:tcPr>
                                  <w:tcW w:w="2280" w:type="dxa"/>
                                  <w:tcBorders>
                                    <w:left w:val="single" w:sz="4" w:space="0" w:color="000102"/>
                                    <w:right w:val="single" w:sz="4" w:space="0" w:color="020305"/>
                                  </w:tcBorders>
                                  <w:shd w:val="clear" w:color="auto" w:fill="E8E7F3"/>
                                  <w:vAlign w:val="center"/>
                                </w:tcPr>
                                <w:p w14:paraId="5329951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 </w:t>
                                  </w:r>
                                </w:p>
                              </w:tc>
                              <w:tc>
                                <w:tcPr>
                                  <w:tcW w:w="2265" w:type="dxa"/>
                                  <w:tcBorders>
                                    <w:left w:val="single" w:sz="4" w:space="0" w:color="020305"/>
                                    <w:right w:val="single" w:sz="4" w:space="0" w:color="020305"/>
                                  </w:tcBorders>
                                  <w:shd w:val="clear" w:color="auto" w:fill="E8E7F3"/>
                                  <w:vAlign w:val="center"/>
                                </w:tcPr>
                                <w:p w14:paraId="7D49C0E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 </w:t>
                                  </w:r>
                                </w:p>
                              </w:tc>
                              <w:tc>
                                <w:tcPr>
                                  <w:tcW w:w="2267" w:type="dxa"/>
                                  <w:tcBorders>
                                    <w:left w:val="single" w:sz="4" w:space="0" w:color="020305"/>
                                    <w:right w:val="single" w:sz="4" w:space="0" w:color="020305"/>
                                  </w:tcBorders>
                                  <w:shd w:val="clear" w:color="auto" w:fill="E8E7F3"/>
                                  <w:vAlign w:val="center"/>
                                </w:tcPr>
                                <w:p w14:paraId="1179B86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 </w:t>
                                  </w:r>
                                </w:p>
                              </w:tc>
                              <w:tc>
                                <w:tcPr>
                                  <w:tcW w:w="2267" w:type="dxa"/>
                                  <w:tcBorders>
                                    <w:left w:val="single" w:sz="4" w:space="0" w:color="020305"/>
                                    <w:right w:val="single" w:sz="4" w:space="0" w:color="000102"/>
                                  </w:tcBorders>
                                  <w:shd w:val="clear" w:color="auto" w:fill="E8E7F3"/>
                                  <w:vAlign w:val="center"/>
                                </w:tcPr>
                                <w:p w14:paraId="05A33B1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8900 </w:t>
                                  </w:r>
                                </w:p>
                              </w:tc>
                            </w:tr>
                            <w:tr w:rsidR="00541A14" w14:paraId="7A280D32" w14:textId="77777777">
                              <w:trPr>
                                <w:trHeight w:val="185"/>
                              </w:trPr>
                              <w:tc>
                                <w:tcPr>
                                  <w:tcW w:w="2280" w:type="dxa"/>
                                  <w:tcBorders>
                                    <w:left w:val="single" w:sz="4" w:space="0" w:color="000102"/>
                                    <w:right w:val="single" w:sz="4" w:space="0" w:color="020305"/>
                                  </w:tcBorders>
                                  <w:vAlign w:val="center"/>
                                </w:tcPr>
                                <w:p w14:paraId="3D87B39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 </w:t>
                                  </w:r>
                                </w:p>
                              </w:tc>
                              <w:tc>
                                <w:tcPr>
                                  <w:tcW w:w="2265" w:type="dxa"/>
                                  <w:tcBorders>
                                    <w:left w:val="single" w:sz="4" w:space="0" w:color="020305"/>
                                    <w:right w:val="single" w:sz="4" w:space="0" w:color="020305"/>
                                  </w:tcBorders>
                                  <w:vAlign w:val="center"/>
                                </w:tcPr>
                                <w:p w14:paraId="1A0102F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 </w:t>
                                  </w:r>
                                </w:p>
                              </w:tc>
                              <w:tc>
                                <w:tcPr>
                                  <w:tcW w:w="2267" w:type="dxa"/>
                                  <w:tcBorders>
                                    <w:left w:val="single" w:sz="4" w:space="0" w:color="020305"/>
                                    <w:right w:val="single" w:sz="4" w:space="0" w:color="020305"/>
                                  </w:tcBorders>
                                  <w:vAlign w:val="center"/>
                                </w:tcPr>
                                <w:p w14:paraId="33DC960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c>
                                <w:tcPr>
                                  <w:tcW w:w="2267" w:type="dxa"/>
                                  <w:tcBorders>
                                    <w:left w:val="single" w:sz="4" w:space="0" w:color="020305"/>
                                    <w:right w:val="single" w:sz="4" w:space="0" w:color="000102"/>
                                  </w:tcBorders>
                                  <w:vAlign w:val="center"/>
                                </w:tcPr>
                                <w:p w14:paraId="3074568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14000 </w:t>
                                  </w:r>
                                </w:p>
                              </w:tc>
                            </w:tr>
                            <w:tr w:rsidR="00541A14" w14:paraId="33F20322" w14:textId="77777777">
                              <w:trPr>
                                <w:trHeight w:val="185"/>
                              </w:trPr>
                              <w:tc>
                                <w:tcPr>
                                  <w:tcW w:w="2280" w:type="dxa"/>
                                  <w:tcBorders>
                                    <w:left w:val="single" w:sz="4" w:space="0" w:color="000102"/>
                                    <w:right w:val="single" w:sz="4" w:space="0" w:color="020305"/>
                                  </w:tcBorders>
                                  <w:shd w:val="clear" w:color="auto" w:fill="E8E7F3"/>
                                  <w:vAlign w:val="center"/>
                                </w:tcPr>
                                <w:p w14:paraId="6D8F320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 </w:t>
                                  </w:r>
                                </w:p>
                              </w:tc>
                              <w:tc>
                                <w:tcPr>
                                  <w:tcW w:w="2265" w:type="dxa"/>
                                  <w:tcBorders>
                                    <w:left w:val="single" w:sz="4" w:space="0" w:color="020305"/>
                                    <w:right w:val="single" w:sz="4" w:space="0" w:color="020305"/>
                                  </w:tcBorders>
                                  <w:shd w:val="clear" w:color="auto" w:fill="E8E7F3"/>
                                  <w:vAlign w:val="center"/>
                                </w:tcPr>
                                <w:p w14:paraId="297FCC0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c>
                                <w:tcPr>
                                  <w:tcW w:w="2267" w:type="dxa"/>
                                  <w:tcBorders>
                                    <w:left w:val="single" w:sz="4" w:space="0" w:color="020305"/>
                                    <w:right w:val="single" w:sz="4" w:space="0" w:color="020305"/>
                                  </w:tcBorders>
                                  <w:shd w:val="clear" w:color="auto" w:fill="E8E7F3"/>
                                  <w:vAlign w:val="center"/>
                                </w:tcPr>
                                <w:p w14:paraId="26C20D8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 </w:t>
                                  </w:r>
                                </w:p>
                              </w:tc>
                              <w:tc>
                                <w:tcPr>
                                  <w:tcW w:w="2267" w:type="dxa"/>
                                  <w:tcBorders>
                                    <w:left w:val="single" w:sz="4" w:space="0" w:color="020305"/>
                                    <w:right w:val="single" w:sz="4" w:space="0" w:color="000102"/>
                                  </w:tcBorders>
                                  <w:shd w:val="clear" w:color="auto" w:fill="E8E7F3"/>
                                  <w:vAlign w:val="center"/>
                                </w:tcPr>
                                <w:p w14:paraId="7D8D61E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21000 </w:t>
                                  </w:r>
                                </w:p>
                              </w:tc>
                            </w:tr>
                            <w:tr w:rsidR="00541A14" w14:paraId="6B30FC1C" w14:textId="77777777">
                              <w:trPr>
                                <w:trHeight w:val="183"/>
                              </w:trPr>
                              <w:tc>
                                <w:tcPr>
                                  <w:tcW w:w="2280" w:type="dxa"/>
                                  <w:tcBorders>
                                    <w:left w:val="single" w:sz="4" w:space="0" w:color="000102"/>
                                    <w:right w:val="single" w:sz="4" w:space="0" w:color="020305"/>
                                  </w:tcBorders>
                                  <w:vAlign w:val="center"/>
                                </w:tcPr>
                                <w:p w14:paraId="666F00F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3.5 </w:t>
                                  </w:r>
                                </w:p>
                              </w:tc>
                              <w:tc>
                                <w:tcPr>
                                  <w:tcW w:w="2265" w:type="dxa"/>
                                  <w:tcBorders>
                                    <w:left w:val="single" w:sz="4" w:space="0" w:color="020305"/>
                                    <w:right w:val="single" w:sz="4" w:space="0" w:color="020305"/>
                                  </w:tcBorders>
                                  <w:vAlign w:val="center"/>
                                </w:tcPr>
                                <w:p w14:paraId="4B843CB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24 </w:t>
                                  </w:r>
                                </w:p>
                              </w:tc>
                              <w:tc>
                                <w:tcPr>
                                  <w:tcW w:w="2267" w:type="dxa"/>
                                  <w:tcBorders>
                                    <w:left w:val="single" w:sz="4" w:space="0" w:color="020305"/>
                                    <w:right w:val="single" w:sz="4" w:space="0" w:color="020305"/>
                                  </w:tcBorders>
                                  <w:vAlign w:val="center"/>
                                </w:tcPr>
                                <w:p w14:paraId="2B19716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 </w:t>
                                  </w:r>
                                </w:p>
                              </w:tc>
                              <w:tc>
                                <w:tcPr>
                                  <w:tcW w:w="2267" w:type="dxa"/>
                                  <w:tcBorders>
                                    <w:left w:val="single" w:sz="4" w:space="0" w:color="020305"/>
                                    <w:right w:val="single" w:sz="4" w:space="0" w:color="000102"/>
                                  </w:tcBorders>
                                  <w:vAlign w:val="center"/>
                                </w:tcPr>
                                <w:p w14:paraId="0A1F3B4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32000 </w:t>
                                  </w:r>
                                </w:p>
                              </w:tc>
                            </w:tr>
                            <w:tr w:rsidR="00541A14" w14:paraId="6A340D4E" w14:textId="77777777">
                              <w:trPr>
                                <w:trHeight w:val="185"/>
                              </w:trPr>
                              <w:tc>
                                <w:tcPr>
                                  <w:tcW w:w="2280" w:type="dxa"/>
                                  <w:tcBorders>
                                    <w:left w:val="single" w:sz="4" w:space="0" w:color="000102"/>
                                    <w:right w:val="single" w:sz="4" w:space="0" w:color="020305"/>
                                  </w:tcBorders>
                                  <w:shd w:val="clear" w:color="auto" w:fill="E8E7F3"/>
                                  <w:vAlign w:val="center"/>
                                </w:tcPr>
                                <w:p w14:paraId="5144B3A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 </w:t>
                                  </w:r>
                                </w:p>
                              </w:tc>
                              <w:tc>
                                <w:tcPr>
                                  <w:tcW w:w="2265" w:type="dxa"/>
                                  <w:tcBorders>
                                    <w:left w:val="single" w:sz="4" w:space="0" w:color="020305"/>
                                    <w:right w:val="single" w:sz="4" w:space="0" w:color="020305"/>
                                  </w:tcBorders>
                                  <w:shd w:val="clear" w:color="auto" w:fill="E8E7F3"/>
                                  <w:vAlign w:val="center"/>
                                </w:tcPr>
                                <w:p w14:paraId="53AD2D0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36 </w:t>
                                  </w:r>
                                </w:p>
                              </w:tc>
                              <w:tc>
                                <w:tcPr>
                                  <w:tcW w:w="2267" w:type="dxa"/>
                                  <w:tcBorders>
                                    <w:left w:val="single" w:sz="4" w:space="0" w:color="020305"/>
                                    <w:right w:val="single" w:sz="4" w:space="0" w:color="020305"/>
                                  </w:tcBorders>
                                  <w:shd w:val="clear" w:color="auto" w:fill="E8E7F3"/>
                                  <w:vAlign w:val="center"/>
                                </w:tcPr>
                                <w:p w14:paraId="35A5BFE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18 </w:t>
                                  </w:r>
                                </w:p>
                              </w:tc>
                              <w:tc>
                                <w:tcPr>
                                  <w:tcW w:w="2267" w:type="dxa"/>
                                  <w:tcBorders>
                                    <w:left w:val="single" w:sz="4" w:space="0" w:color="020305"/>
                                    <w:right w:val="single" w:sz="4" w:space="0" w:color="000102"/>
                                  </w:tcBorders>
                                  <w:shd w:val="clear" w:color="auto" w:fill="E8E7F3"/>
                                  <w:vAlign w:val="center"/>
                                </w:tcPr>
                                <w:p w14:paraId="32BF267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49000 </w:t>
                                  </w:r>
                                </w:p>
                              </w:tc>
                            </w:tr>
                            <w:tr w:rsidR="00541A14" w14:paraId="7C111190" w14:textId="77777777">
                              <w:trPr>
                                <w:trHeight w:val="185"/>
                              </w:trPr>
                              <w:tc>
                                <w:tcPr>
                                  <w:tcW w:w="2280" w:type="dxa"/>
                                  <w:tcBorders>
                                    <w:left w:val="single" w:sz="4" w:space="0" w:color="000102"/>
                                    <w:right w:val="single" w:sz="4" w:space="0" w:color="020305"/>
                                  </w:tcBorders>
                                  <w:vAlign w:val="center"/>
                                </w:tcPr>
                                <w:p w14:paraId="69EF544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4.5 </w:t>
                                  </w:r>
                                </w:p>
                              </w:tc>
                              <w:tc>
                                <w:tcPr>
                                  <w:tcW w:w="2265" w:type="dxa"/>
                                  <w:tcBorders>
                                    <w:left w:val="single" w:sz="4" w:space="0" w:color="020305"/>
                                    <w:right w:val="single" w:sz="4" w:space="0" w:color="020305"/>
                                  </w:tcBorders>
                                  <w:vAlign w:val="center"/>
                                </w:tcPr>
                                <w:p w14:paraId="1D80498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53 </w:t>
                                  </w:r>
                                </w:p>
                              </w:tc>
                              <w:tc>
                                <w:tcPr>
                                  <w:tcW w:w="2267" w:type="dxa"/>
                                  <w:tcBorders>
                                    <w:left w:val="single" w:sz="4" w:space="0" w:color="020305"/>
                                    <w:right w:val="single" w:sz="4" w:space="0" w:color="020305"/>
                                  </w:tcBorders>
                                  <w:vAlign w:val="center"/>
                                </w:tcPr>
                                <w:p w14:paraId="5D91D34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19 </w:t>
                                  </w:r>
                                </w:p>
                              </w:tc>
                              <w:tc>
                                <w:tcPr>
                                  <w:tcW w:w="2267" w:type="dxa"/>
                                  <w:tcBorders>
                                    <w:left w:val="single" w:sz="4" w:space="0" w:color="020305"/>
                                    <w:right w:val="single" w:sz="4" w:space="0" w:color="000102"/>
                                  </w:tcBorders>
                                  <w:vAlign w:val="center"/>
                                </w:tcPr>
                                <w:p w14:paraId="3E6321B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73000 </w:t>
                                  </w:r>
                                </w:p>
                              </w:tc>
                            </w:tr>
                            <w:tr w:rsidR="00541A14" w14:paraId="37DE9673" w14:textId="77777777">
                              <w:trPr>
                                <w:trHeight w:val="185"/>
                              </w:trPr>
                              <w:tc>
                                <w:tcPr>
                                  <w:tcW w:w="2280" w:type="dxa"/>
                                  <w:tcBorders>
                                    <w:left w:val="single" w:sz="4" w:space="0" w:color="000102"/>
                                    <w:right w:val="single" w:sz="4" w:space="0" w:color="020305"/>
                                  </w:tcBorders>
                                  <w:shd w:val="clear" w:color="auto" w:fill="E8E7F3"/>
                                  <w:vAlign w:val="center"/>
                                </w:tcPr>
                                <w:p w14:paraId="35DBC85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 </w:t>
                                  </w:r>
                                </w:p>
                              </w:tc>
                              <w:tc>
                                <w:tcPr>
                                  <w:tcW w:w="2265" w:type="dxa"/>
                                  <w:tcBorders>
                                    <w:left w:val="single" w:sz="4" w:space="0" w:color="020305"/>
                                    <w:right w:val="single" w:sz="4" w:space="0" w:color="020305"/>
                                  </w:tcBorders>
                                  <w:shd w:val="clear" w:color="auto" w:fill="E8E7F3"/>
                                  <w:vAlign w:val="center"/>
                                </w:tcPr>
                                <w:p w14:paraId="4BA14B0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77 </w:t>
                                  </w:r>
                                </w:p>
                              </w:tc>
                              <w:tc>
                                <w:tcPr>
                                  <w:tcW w:w="2267" w:type="dxa"/>
                                  <w:tcBorders>
                                    <w:left w:val="single" w:sz="4" w:space="0" w:color="020305"/>
                                    <w:right w:val="single" w:sz="4" w:space="0" w:color="020305"/>
                                  </w:tcBorders>
                                  <w:shd w:val="clear" w:color="auto" w:fill="E8E7F3"/>
                                  <w:vAlign w:val="center"/>
                                </w:tcPr>
                                <w:p w14:paraId="05C7554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c>
                                <w:tcPr>
                                  <w:tcW w:w="2267" w:type="dxa"/>
                                  <w:tcBorders>
                                    <w:left w:val="single" w:sz="4" w:space="0" w:color="020305"/>
                                    <w:right w:val="single" w:sz="4" w:space="0" w:color="000102"/>
                                  </w:tcBorders>
                                  <w:shd w:val="clear" w:color="auto" w:fill="E8E7F3"/>
                                  <w:vAlign w:val="center"/>
                                </w:tcPr>
                                <w:p w14:paraId="4B20796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110000 </w:t>
                                  </w:r>
                                </w:p>
                              </w:tc>
                            </w:tr>
                            <w:tr w:rsidR="00541A14" w14:paraId="196680C5" w14:textId="77777777">
                              <w:trPr>
                                <w:trHeight w:val="183"/>
                              </w:trPr>
                              <w:tc>
                                <w:tcPr>
                                  <w:tcW w:w="2280" w:type="dxa"/>
                                  <w:tcBorders>
                                    <w:left w:val="single" w:sz="4" w:space="0" w:color="000102"/>
                                    <w:right w:val="single" w:sz="4" w:space="0" w:color="020305"/>
                                  </w:tcBorders>
                                  <w:vAlign w:val="center"/>
                                </w:tcPr>
                                <w:p w14:paraId="713E836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6 </w:t>
                                  </w:r>
                                </w:p>
                              </w:tc>
                              <w:tc>
                                <w:tcPr>
                                  <w:tcW w:w="2265" w:type="dxa"/>
                                  <w:tcBorders>
                                    <w:left w:val="single" w:sz="4" w:space="0" w:color="020305"/>
                                    <w:right w:val="single" w:sz="4" w:space="0" w:color="020305"/>
                                  </w:tcBorders>
                                  <w:vAlign w:val="center"/>
                                </w:tcPr>
                                <w:p w14:paraId="0645020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c>
                                <w:tcPr>
                                  <w:tcW w:w="2267" w:type="dxa"/>
                                  <w:tcBorders>
                                    <w:left w:val="single" w:sz="4" w:space="0" w:color="020305"/>
                                    <w:right w:val="single" w:sz="4" w:space="0" w:color="020305"/>
                                  </w:tcBorders>
                                  <w:vAlign w:val="center"/>
                                </w:tcPr>
                                <w:p w14:paraId="206AC1B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21 </w:t>
                                  </w:r>
                                </w:p>
                              </w:tc>
                              <w:tc>
                                <w:tcPr>
                                  <w:tcW w:w="2267" w:type="dxa"/>
                                  <w:tcBorders>
                                    <w:left w:val="single" w:sz="4" w:space="0" w:color="020305"/>
                                    <w:right w:val="single" w:sz="4" w:space="0" w:color="000102"/>
                                  </w:tcBorders>
                                  <w:vAlign w:val="center"/>
                                </w:tcPr>
                                <w:p w14:paraId="3A95A1A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160000 </w:t>
                                  </w:r>
                                </w:p>
                              </w:tc>
                            </w:tr>
                            <w:tr w:rsidR="00541A14" w14:paraId="32470BFC" w14:textId="77777777">
                              <w:trPr>
                                <w:trHeight w:val="185"/>
                              </w:trPr>
                              <w:tc>
                                <w:tcPr>
                                  <w:tcW w:w="2280" w:type="dxa"/>
                                  <w:tcBorders>
                                    <w:left w:val="single" w:sz="4" w:space="0" w:color="000102"/>
                                    <w:right w:val="single" w:sz="4" w:space="0" w:color="020305"/>
                                  </w:tcBorders>
                                  <w:shd w:val="clear" w:color="auto" w:fill="E8E7F3"/>
                                  <w:vAlign w:val="center"/>
                                </w:tcPr>
                                <w:p w14:paraId="0C66D2E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 </w:t>
                                  </w:r>
                                </w:p>
                              </w:tc>
                              <w:tc>
                                <w:tcPr>
                                  <w:tcW w:w="2265" w:type="dxa"/>
                                  <w:tcBorders>
                                    <w:left w:val="single" w:sz="4" w:space="0" w:color="020305"/>
                                    <w:right w:val="single" w:sz="4" w:space="0" w:color="020305"/>
                                  </w:tcBorders>
                                  <w:shd w:val="clear" w:color="auto" w:fill="E8E7F3"/>
                                  <w:vAlign w:val="center"/>
                                </w:tcPr>
                                <w:p w14:paraId="5FB5600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270 </w:t>
                                  </w:r>
                                </w:p>
                              </w:tc>
                              <w:tc>
                                <w:tcPr>
                                  <w:tcW w:w="2267" w:type="dxa"/>
                                  <w:tcBorders>
                                    <w:left w:val="single" w:sz="4" w:space="0" w:color="020305"/>
                                    <w:right w:val="single" w:sz="4" w:space="0" w:color="020305"/>
                                  </w:tcBorders>
                                  <w:shd w:val="clear" w:color="auto" w:fill="E8E7F3"/>
                                  <w:vAlign w:val="center"/>
                                </w:tcPr>
                                <w:p w14:paraId="4C32A9C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22 </w:t>
                                  </w:r>
                                </w:p>
                              </w:tc>
                              <w:tc>
                                <w:tcPr>
                                  <w:tcW w:w="2267" w:type="dxa"/>
                                  <w:tcBorders>
                                    <w:left w:val="single" w:sz="4" w:space="0" w:color="020305"/>
                                    <w:right w:val="single" w:sz="4" w:space="0" w:color="000102"/>
                                  </w:tcBorders>
                                  <w:shd w:val="clear" w:color="auto" w:fill="E8E7F3"/>
                                  <w:vAlign w:val="center"/>
                                </w:tcPr>
                                <w:p w14:paraId="4EA886C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240000 </w:t>
                                  </w:r>
                                </w:p>
                              </w:tc>
                            </w:tr>
                            <w:tr w:rsidR="00541A14" w14:paraId="3C14C711" w14:textId="77777777">
                              <w:trPr>
                                <w:trHeight w:val="185"/>
                              </w:trPr>
                              <w:tc>
                                <w:tcPr>
                                  <w:tcW w:w="2280" w:type="dxa"/>
                                  <w:tcBorders>
                                    <w:left w:val="single" w:sz="4" w:space="0" w:color="000102"/>
                                    <w:right w:val="single" w:sz="4" w:space="0" w:color="020305"/>
                                  </w:tcBorders>
                                  <w:vAlign w:val="center"/>
                                </w:tcPr>
                                <w:p w14:paraId="6AA382E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 </w:t>
                                  </w:r>
                                </w:p>
                              </w:tc>
                              <w:tc>
                                <w:tcPr>
                                  <w:tcW w:w="2265" w:type="dxa"/>
                                  <w:tcBorders>
                                    <w:left w:val="single" w:sz="4" w:space="0" w:color="020305"/>
                                    <w:right w:val="single" w:sz="4" w:space="0" w:color="020305"/>
                                  </w:tcBorders>
                                  <w:vAlign w:val="center"/>
                                </w:tcPr>
                                <w:p w14:paraId="1DE1FF9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480 </w:t>
                                  </w:r>
                                </w:p>
                              </w:tc>
                              <w:tc>
                                <w:tcPr>
                                  <w:tcW w:w="2267" w:type="dxa"/>
                                  <w:tcBorders>
                                    <w:left w:val="single" w:sz="4" w:space="0" w:color="020305"/>
                                    <w:right w:val="single" w:sz="4" w:space="0" w:color="020305"/>
                                  </w:tcBorders>
                                  <w:vAlign w:val="center"/>
                                </w:tcPr>
                                <w:p w14:paraId="0217CAC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23 </w:t>
                                  </w:r>
                                </w:p>
                              </w:tc>
                              <w:tc>
                                <w:tcPr>
                                  <w:tcW w:w="2267" w:type="dxa"/>
                                  <w:tcBorders>
                                    <w:left w:val="single" w:sz="4" w:space="0" w:color="020305"/>
                                    <w:right w:val="single" w:sz="4" w:space="0" w:color="000102"/>
                                  </w:tcBorders>
                                  <w:vAlign w:val="center"/>
                                </w:tcPr>
                                <w:p w14:paraId="65CB1C9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360000 </w:t>
                                  </w:r>
                                </w:p>
                              </w:tc>
                            </w:tr>
                            <w:tr w:rsidR="00541A14" w14:paraId="45542DA8" w14:textId="77777777">
                              <w:trPr>
                                <w:trHeight w:val="185"/>
                              </w:trPr>
                              <w:tc>
                                <w:tcPr>
                                  <w:tcW w:w="2280" w:type="dxa"/>
                                  <w:tcBorders>
                                    <w:left w:val="single" w:sz="4" w:space="0" w:color="000102"/>
                                    <w:right w:val="single" w:sz="4" w:space="0" w:color="020305"/>
                                  </w:tcBorders>
                                  <w:shd w:val="clear" w:color="auto" w:fill="E8E7F3"/>
                                  <w:vAlign w:val="center"/>
                                </w:tcPr>
                                <w:p w14:paraId="0425AB7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 </w:t>
                                  </w:r>
                                </w:p>
                              </w:tc>
                              <w:tc>
                                <w:tcPr>
                                  <w:tcW w:w="2265" w:type="dxa"/>
                                  <w:tcBorders>
                                    <w:left w:val="single" w:sz="4" w:space="0" w:color="020305"/>
                                    <w:right w:val="single" w:sz="4" w:space="0" w:color="020305"/>
                                  </w:tcBorders>
                                  <w:shd w:val="clear" w:color="auto" w:fill="E8E7F3"/>
                                  <w:vAlign w:val="center"/>
                                </w:tcPr>
                                <w:p w14:paraId="343001B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820 </w:t>
                                  </w:r>
                                </w:p>
                              </w:tc>
                              <w:tc>
                                <w:tcPr>
                                  <w:tcW w:w="2267" w:type="dxa"/>
                                  <w:tcBorders>
                                    <w:left w:val="single" w:sz="4" w:space="0" w:color="020305"/>
                                    <w:right w:val="single" w:sz="4" w:space="0" w:color="020305"/>
                                  </w:tcBorders>
                                  <w:shd w:val="clear" w:color="auto" w:fill="E8E7F3"/>
                                  <w:vAlign w:val="center"/>
                                </w:tcPr>
                                <w:p w14:paraId="30BDE11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24 </w:t>
                                  </w:r>
                                </w:p>
                              </w:tc>
                              <w:tc>
                                <w:tcPr>
                                  <w:tcW w:w="2267" w:type="dxa"/>
                                  <w:tcBorders>
                                    <w:left w:val="single" w:sz="4" w:space="0" w:color="020305"/>
                                    <w:right w:val="single" w:sz="4" w:space="0" w:color="000102"/>
                                  </w:tcBorders>
                                  <w:shd w:val="clear" w:color="auto" w:fill="E8E7F3"/>
                                  <w:vAlign w:val="center"/>
                                </w:tcPr>
                                <w:p w14:paraId="7F71A1A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520000 </w:t>
                                  </w:r>
                                </w:p>
                              </w:tc>
                            </w:tr>
                            <w:tr w:rsidR="00541A14" w14:paraId="00E3DFD2" w14:textId="77777777">
                              <w:trPr>
                                <w:trHeight w:val="183"/>
                              </w:trPr>
                              <w:tc>
                                <w:tcPr>
                                  <w:tcW w:w="2280" w:type="dxa"/>
                                  <w:tcBorders>
                                    <w:left w:val="single" w:sz="4" w:space="0" w:color="000102"/>
                                    <w:right w:val="single" w:sz="4" w:space="0" w:color="020305"/>
                                  </w:tcBorders>
                                  <w:vAlign w:val="center"/>
                                </w:tcPr>
                                <w:p w14:paraId="49686EB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 </w:t>
                                  </w:r>
                                </w:p>
                              </w:tc>
                              <w:tc>
                                <w:tcPr>
                                  <w:tcW w:w="2265" w:type="dxa"/>
                                  <w:tcBorders>
                                    <w:left w:val="single" w:sz="4" w:space="0" w:color="020305"/>
                                    <w:right w:val="single" w:sz="4" w:space="0" w:color="020305"/>
                                  </w:tcBorders>
                                  <w:vAlign w:val="center"/>
                                </w:tcPr>
                                <w:p w14:paraId="466BE61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1400 </w:t>
                                  </w:r>
                                </w:p>
                              </w:tc>
                              <w:tc>
                                <w:tcPr>
                                  <w:tcW w:w="2267" w:type="dxa"/>
                                  <w:tcBorders>
                                    <w:left w:val="single" w:sz="4" w:space="0" w:color="020305"/>
                                    <w:right w:val="single" w:sz="4" w:space="0" w:color="020305"/>
                                  </w:tcBorders>
                                  <w:vAlign w:val="center"/>
                                </w:tcPr>
                                <w:p w14:paraId="34665C5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 </w:t>
                                  </w:r>
                                </w:p>
                              </w:tc>
                              <w:tc>
                                <w:tcPr>
                                  <w:tcW w:w="2267" w:type="dxa"/>
                                  <w:tcBorders>
                                    <w:left w:val="single" w:sz="4" w:space="0" w:color="020305"/>
                                    <w:right w:val="single" w:sz="4" w:space="0" w:color="000102"/>
                                  </w:tcBorders>
                                  <w:vAlign w:val="center"/>
                                </w:tcPr>
                                <w:p w14:paraId="55F05B1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770000 </w:t>
                                  </w:r>
                                </w:p>
                              </w:tc>
                            </w:tr>
                            <w:tr w:rsidR="00541A14" w14:paraId="4FEBFBF7" w14:textId="77777777">
                              <w:trPr>
                                <w:trHeight w:val="183"/>
                              </w:trPr>
                              <w:tc>
                                <w:tcPr>
                                  <w:tcW w:w="2280" w:type="dxa"/>
                                  <w:tcBorders>
                                    <w:left w:val="single" w:sz="4" w:space="0" w:color="000102"/>
                                    <w:bottom w:val="single" w:sz="4" w:space="0" w:color="000000"/>
                                    <w:right w:val="single" w:sz="4" w:space="0" w:color="020305"/>
                                  </w:tcBorders>
                                  <w:shd w:val="clear" w:color="auto" w:fill="E8E7F3"/>
                                  <w:vAlign w:val="center"/>
                                </w:tcPr>
                                <w:p w14:paraId="410E39E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 </w:t>
                                  </w:r>
                                </w:p>
                              </w:tc>
                              <w:tc>
                                <w:tcPr>
                                  <w:tcW w:w="2265" w:type="dxa"/>
                                  <w:tcBorders>
                                    <w:left w:val="single" w:sz="4" w:space="0" w:color="020305"/>
                                    <w:bottom w:val="single" w:sz="4" w:space="0" w:color="000000"/>
                                    <w:right w:val="single" w:sz="4" w:space="0" w:color="020305"/>
                                  </w:tcBorders>
                                  <w:shd w:val="clear" w:color="auto" w:fill="E8E7F3"/>
                                  <w:vAlign w:val="center"/>
                                </w:tcPr>
                                <w:p w14:paraId="59D1339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2200 </w:t>
                                  </w:r>
                                </w:p>
                              </w:tc>
                              <w:tc>
                                <w:tcPr>
                                  <w:tcW w:w="2267" w:type="dxa"/>
                                  <w:tcBorders>
                                    <w:left w:val="single" w:sz="4" w:space="0" w:color="020305"/>
                                    <w:bottom w:val="single" w:sz="4" w:space="0" w:color="000000"/>
                                    <w:right w:val="single" w:sz="4" w:space="0" w:color="020305"/>
                                  </w:tcBorders>
                                  <w:shd w:val="clear" w:color="auto" w:fill="E8E7F3"/>
                                  <w:vAlign w:val="center"/>
                                </w:tcPr>
                                <w:p w14:paraId="49B5A5F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26 </w:t>
                                  </w:r>
                                </w:p>
                              </w:tc>
                              <w:tc>
                                <w:tcPr>
                                  <w:tcW w:w="2267" w:type="dxa"/>
                                  <w:tcBorders>
                                    <w:left w:val="single" w:sz="4" w:space="0" w:color="020305"/>
                                    <w:bottom w:val="single" w:sz="4" w:space="0" w:color="000000"/>
                                    <w:right w:val="single" w:sz="4" w:space="0" w:color="000102"/>
                                  </w:tcBorders>
                                  <w:shd w:val="clear" w:color="auto" w:fill="E8E7F3"/>
                                  <w:vAlign w:val="center"/>
                                </w:tcPr>
                                <w:p w14:paraId="58ABBFD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1100000 </w:t>
                                  </w:r>
                                </w:p>
                              </w:tc>
                            </w:tr>
                          </w:tbl>
                          <w:p w14:paraId="07FFE5FD"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41" type="#_x0000_t202" style="position:absolute;margin-left:60.85pt;margin-top:111.15pt;width:494.55pt;height:434.9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" o:allowincell="f" filled="f" stroked="f">
                <v:textbox>
                  <w:txbxContent>
                    <w:p w14:paraId="018311A7" w14:textId="77777777" w:rsidR="00000000" w:rsidRDefault="00A450E1">
                      <w:pPr>
                        <w:widowControl w:val="0"/>
                        <w:autoSpaceDE w:val="0"/>
                        <w:autoSpaceDN w:val="0"/>
                        <w:adjustRightInd w:val="0"/>
                        <w:spacing w:after="113" w:line="413" w:lineRule="atLeast"/>
                        <w:jc w:val="both"/>
                        <w:rPr>
                          <w:rFonts w:ascii="Palatino" w:hAnsi="Palatino" w:cs="Palatino"/>
                          <w:color w:val="000000"/>
                        </w:rPr>
                      </w:pPr>
                      <w:r>
                        <w:rPr>
                          <w:rFonts w:ascii="Palatino" w:hAnsi="Palatino" w:cs="Palatino"/>
                          <w:b/>
                          <w:bCs/>
                          <w:color w:val="000000"/>
                        </w:rPr>
                        <w:t>table 11 – IAlA conversion table for luminous Intensity and Nominal Range for night observations Note</w:t>
                      </w:r>
                      <w:r>
                        <w:rPr>
                          <w:rFonts w:ascii="Palatino" w:hAnsi="Palatino" w:cs="Palatino"/>
                          <w:color w:val="000000"/>
                        </w:rPr>
                        <w:t xml:space="preserve"> - This assumes an atmos</w:t>
                      </w:r>
                      <w:r>
                        <w:rPr>
                          <w:rFonts w:ascii="Palatino" w:hAnsi="Palatino" w:cs="Palatino"/>
                          <w:color w:val="000000"/>
                        </w:rPr>
                        <w:t xml:space="preserve">pheric transmissivity of T=0.74 and a threshold of illumination of </w:t>
                      </w:r>
                    </w:p>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15"/>
                        <w:gridCol w:w="42"/>
                        <w:gridCol w:w="33"/>
                        <w:gridCol w:w="120"/>
                        <w:gridCol w:w="182"/>
                        <w:gridCol w:w="33"/>
                        <w:gridCol w:w="70"/>
                        <w:gridCol w:w="65"/>
                        <w:gridCol w:w="167"/>
                        <w:gridCol w:w="10"/>
                        <w:gridCol w:w="125"/>
                        <w:gridCol w:w="55"/>
                        <w:gridCol w:w="20"/>
                        <w:gridCol w:w="50"/>
                        <w:gridCol w:w="50"/>
                        <w:gridCol w:w="118"/>
                        <w:gridCol w:w="95"/>
                        <w:gridCol w:w="2"/>
                        <w:gridCol w:w="33"/>
                        <w:gridCol w:w="155"/>
                        <w:gridCol w:w="20"/>
                        <w:gridCol w:w="197"/>
                        <w:gridCol w:w="112"/>
                        <w:gridCol w:w="5"/>
                        <w:gridCol w:w="123"/>
                        <w:gridCol w:w="22"/>
                        <w:gridCol w:w="15"/>
                        <w:gridCol w:w="73"/>
                        <w:gridCol w:w="192"/>
                        <w:gridCol w:w="235"/>
                        <w:gridCol w:w="5"/>
                        <w:gridCol w:w="60"/>
                        <w:gridCol w:w="237"/>
                        <w:gridCol w:w="38"/>
                        <w:gridCol w:w="15"/>
                        <w:gridCol w:w="25"/>
                        <w:gridCol w:w="50"/>
                        <w:gridCol w:w="136"/>
                        <w:gridCol w:w="234"/>
                        <w:gridCol w:w="5"/>
                        <w:gridCol w:w="5"/>
                        <w:gridCol w:w="12"/>
                        <w:gridCol w:w="47"/>
                        <w:gridCol w:w="168"/>
                        <w:gridCol w:w="48"/>
                        <w:gridCol w:w="4"/>
                        <w:gridCol w:w="110"/>
                        <w:gridCol w:w="12"/>
                        <w:gridCol w:w="108"/>
                        <w:gridCol w:w="4"/>
                        <w:gridCol w:w="362"/>
                        <w:gridCol w:w="137"/>
                        <w:gridCol w:w="47"/>
                        <w:gridCol w:w="355"/>
                        <w:gridCol w:w="10"/>
                        <w:gridCol w:w="207"/>
                        <w:gridCol w:w="86"/>
                        <w:gridCol w:w="70"/>
                        <w:gridCol w:w="8"/>
                        <w:gridCol w:w="78"/>
                        <w:gridCol w:w="152"/>
                        <w:gridCol w:w="279"/>
                        <w:gridCol w:w="183"/>
                        <w:gridCol w:w="55"/>
                        <w:gridCol w:w="2"/>
                        <w:gridCol w:w="283"/>
                        <w:gridCol w:w="254"/>
                        <w:gridCol w:w="76"/>
                        <w:gridCol w:w="119"/>
                        <w:gridCol w:w="23"/>
                        <w:gridCol w:w="1086"/>
                        <w:gridCol w:w="161"/>
                        <w:gridCol w:w="173"/>
                        <w:gridCol w:w="71"/>
                        <w:gridCol w:w="6"/>
                        <w:gridCol w:w="13"/>
                        <w:gridCol w:w="2"/>
                        <w:gridCol w:w="8"/>
                      </w:tblGrid>
                      <w:tr w:rsidR="00000000" w14:paraId="6D892348" w14:textId="77777777">
                        <w:tblPrEx>
                          <w:tblCellMar>
                            <w:top w:w="0" w:type="dxa"/>
                            <w:bottom w:w="0" w:type="dxa"/>
                          </w:tblCellMar>
                        </w:tblPrEx>
                        <w:trPr>
                          <w:gridAfter w:val="2"/>
                          <w:wAfter w:w="2001" w:type="dxa"/>
                          <w:trHeight w:val="323"/>
                        </w:trPr>
                        <w:tc>
                          <w:tcPr>
                            <w:tcW w:w="2280" w:type="dxa"/>
                            <w:gridSpan w:val="19"/>
                            <w:tcBorders>
                              <w:top w:val="single" w:sz="4" w:space="0" w:color="0E0F1B"/>
                              <w:left w:val="single" w:sz="4" w:space="0" w:color="000102"/>
                              <w:right w:val="single" w:sz="4" w:space="0" w:color="020305"/>
                            </w:tcBorders>
                            <w:shd w:val="clear" w:color="auto" w:fill="5E64A8"/>
                            <w:vAlign w:val="center"/>
                          </w:tcPr>
                          <w:p w14:paraId="1C48D829"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Nominal Range (nautical miles) </w:t>
                            </w:r>
                          </w:p>
                        </w:tc>
                        <w:tc>
                          <w:tcPr>
                            <w:tcW w:w="2265" w:type="dxa"/>
                            <w:gridSpan w:val="28"/>
                            <w:tcBorders>
                              <w:top w:val="single" w:sz="4" w:space="0" w:color="0E0F1B"/>
                              <w:left w:val="single" w:sz="4" w:space="0" w:color="020305"/>
                              <w:right w:val="single" w:sz="4" w:space="0" w:color="020305"/>
                            </w:tcBorders>
                            <w:shd w:val="clear" w:color="auto" w:fill="5E64A8"/>
                            <w:vAlign w:val="center"/>
                          </w:tcPr>
                          <w:p w14:paraId="319961FB"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Luminous Intensity (candela) </w:t>
                            </w:r>
                          </w:p>
                        </w:tc>
                        <w:tc>
                          <w:tcPr>
                            <w:tcW w:w="2267" w:type="dxa"/>
                            <w:gridSpan w:val="19"/>
                            <w:tcBorders>
                              <w:top w:val="single" w:sz="4" w:space="0" w:color="0E0F1B"/>
                              <w:left w:val="single" w:sz="4" w:space="0" w:color="020305"/>
                              <w:right w:val="single" w:sz="4" w:space="0" w:color="020305"/>
                            </w:tcBorders>
                            <w:shd w:val="clear" w:color="auto" w:fill="5E64A8"/>
                            <w:vAlign w:val="center"/>
                          </w:tcPr>
                          <w:p w14:paraId="6450AB4B"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Nominal Range (nautical miles) </w:t>
                            </w:r>
                          </w:p>
                        </w:tc>
                        <w:tc>
                          <w:tcPr>
                            <w:tcW w:w="2267" w:type="dxa"/>
                            <w:gridSpan w:val="12"/>
                            <w:tcBorders>
                              <w:top w:val="single" w:sz="4" w:space="0" w:color="0E0F1B"/>
                              <w:left w:val="single" w:sz="4" w:space="0" w:color="020305"/>
                              <w:right w:val="single" w:sz="4" w:space="0" w:color="000102"/>
                            </w:tcBorders>
                            <w:shd w:val="clear" w:color="auto" w:fill="5E64A8"/>
                            <w:vAlign w:val="center"/>
                          </w:tcPr>
                          <w:p w14:paraId="05C83AEC"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Luminous Intensity (candela) </w:t>
                            </w:r>
                          </w:p>
                        </w:tc>
                      </w:tr>
                      <w:tr w:rsidR="00000000" w14:paraId="6B93C91B" w14:textId="77777777">
                        <w:tblPrEx>
                          <w:tblCellMar>
                            <w:top w:w="0" w:type="dxa"/>
                            <w:bottom w:w="0" w:type="dxa"/>
                          </w:tblCellMar>
                        </w:tblPrEx>
                        <w:trPr>
                          <w:gridAfter w:val="2"/>
                          <w:wAfter w:w="2001" w:type="dxa"/>
                          <w:trHeight w:val="187"/>
                        </w:trPr>
                        <w:tc>
                          <w:tcPr>
                            <w:tcW w:w="2280" w:type="dxa"/>
                            <w:gridSpan w:val="19"/>
                            <w:tcBorders>
                              <w:top w:val="single" w:sz="2" w:space="0" w:color="5E64A8"/>
                              <w:left w:val="single" w:sz="4" w:space="0" w:color="000102"/>
                              <w:right w:val="single" w:sz="4" w:space="0" w:color="020305"/>
                            </w:tcBorders>
                            <w:shd w:val="clear" w:color="auto" w:fill="E8E7F3"/>
                            <w:vAlign w:val="center"/>
                          </w:tcPr>
                          <w:p w14:paraId="411B802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 </w:t>
                            </w:r>
                          </w:p>
                        </w:tc>
                        <w:tc>
                          <w:tcPr>
                            <w:tcW w:w="2265" w:type="dxa"/>
                            <w:gridSpan w:val="28"/>
                            <w:tcBorders>
                              <w:top w:val="single" w:sz="2" w:space="0" w:color="5E64A8"/>
                              <w:left w:val="single" w:sz="4" w:space="0" w:color="020305"/>
                              <w:right w:val="single" w:sz="4" w:space="0" w:color="020305"/>
                            </w:tcBorders>
                            <w:shd w:val="clear" w:color="auto" w:fill="E8E7F3"/>
                            <w:vAlign w:val="center"/>
                          </w:tcPr>
                          <w:p w14:paraId="57107A3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0.9 </w:t>
                            </w:r>
                          </w:p>
                        </w:tc>
                        <w:tc>
                          <w:tcPr>
                            <w:tcW w:w="2267" w:type="dxa"/>
                            <w:gridSpan w:val="19"/>
                            <w:tcBorders>
                              <w:top w:val="single" w:sz="2" w:space="0" w:color="5E64A8"/>
                              <w:left w:val="single" w:sz="4" w:space="0" w:color="020305"/>
                              <w:right w:val="single" w:sz="4" w:space="0" w:color="020305"/>
                            </w:tcBorders>
                            <w:shd w:val="clear" w:color="auto" w:fill="E8E7F3"/>
                            <w:vAlign w:val="center"/>
                          </w:tcPr>
                          <w:p w14:paraId="2E2E4BB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 </w:t>
                            </w:r>
                          </w:p>
                        </w:tc>
                        <w:tc>
                          <w:tcPr>
                            <w:tcW w:w="2267" w:type="dxa"/>
                            <w:gridSpan w:val="12"/>
                            <w:tcBorders>
                              <w:top w:val="single" w:sz="2" w:space="0" w:color="5E64A8"/>
                              <w:left w:val="single" w:sz="4" w:space="0" w:color="020305"/>
                              <w:right w:val="single" w:sz="4" w:space="0" w:color="000102"/>
                            </w:tcBorders>
                            <w:shd w:val="clear" w:color="auto" w:fill="E8E7F3"/>
                            <w:vAlign w:val="center"/>
                          </w:tcPr>
                          <w:p w14:paraId="411C090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3600 </w:t>
                            </w:r>
                          </w:p>
                        </w:tc>
                      </w:tr>
                      <w:tr w:rsidR="00000000" w14:paraId="3B414CBC" w14:textId="77777777">
                        <w:tblPrEx>
                          <w:tblCellMar>
                            <w:top w:w="0" w:type="dxa"/>
                            <w:bottom w:w="0" w:type="dxa"/>
                          </w:tblCellMar>
                        </w:tblPrEx>
                        <w:trPr>
                          <w:gridAfter w:val="2"/>
                          <w:wAfter w:w="2001" w:type="dxa"/>
                          <w:trHeight w:val="183"/>
                        </w:trPr>
                        <w:tc>
                          <w:tcPr>
                            <w:tcW w:w="2280" w:type="dxa"/>
                            <w:gridSpan w:val="19"/>
                            <w:tcBorders>
                              <w:left w:val="single" w:sz="4" w:space="0" w:color="000102"/>
                              <w:right w:val="single" w:sz="4" w:space="0" w:color="020305"/>
                            </w:tcBorders>
                            <w:vAlign w:val="center"/>
                          </w:tcPr>
                          <w:p w14:paraId="1F96F00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c>
                          <w:tcPr>
                            <w:tcW w:w="2265" w:type="dxa"/>
                            <w:gridSpan w:val="28"/>
                            <w:tcBorders>
                              <w:left w:val="single" w:sz="4" w:space="0" w:color="020305"/>
                              <w:right w:val="single" w:sz="4" w:space="0" w:color="020305"/>
                            </w:tcBorders>
                            <w:vAlign w:val="center"/>
                          </w:tcPr>
                          <w:p w14:paraId="7C83AAB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2.4 </w:t>
                            </w:r>
                          </w:p>
                        </w:tc>
                        <w:tc>
                          <w:tcPr>
                            <w:tcW w:w="2267" w:type="dxa"/>
                            <w:gridSpan w:val="19"/>
                            <w:tcBorders>
                              <w:left w:val="single" w:sz="4" w:space="0" w:color="020305"/>
                              <w:right w:val="single" w:sz="4" w:space="0" w:color="020305"/>
                            </w:tcBorders>
                            <w:vAlign w:val="center"/>
                          </w:tcPr>
                          <w:p w14:paraId="6239FF3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 </w:t>
                            </w:r>
                          </w:p>
                        </w:tc>
                        <w:tc>
                          <w:tcPr>
                            <w:tcW w:w="2267" w:type="dxa"/>
                            <w:gridSpan w:val="12"/>
                            <w:tcBorders>
                              <w:left w:val="single" w:sz="4" w:space="0" w:color="020305"/>
                              <w:right w:val="single" w:sz="4" w:space="0" w:color="000102"/>
                            </w:tcBorders>
                            <w:vAlign w:val="center"/>
                          </w:tcPr>
                          <w:p w14:paraId="6600797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5700 </w:t>
                            </w:r>
                          </w:p>
                        </w:tc>
                      </w:tr>
                      <w:tr w:rsidR="00000000" w14:paraId="621E3FF0" w14:textId="77777777">
                        <w:tblPrEx>
                          <w:tblCellMar>
                            <w:top w:w="0" w:type="dxa"/>
                            <w:bottom w:w="0" w:type="dxa"/>
                          </w:tblCellMar>
                        </w:tblPrEx>
                        <w:trPr>
                          <w:gridAfter w:val="2"/>
                          <w:wAfter w:w="2001" w:type="dxa"/>
                          <w:trHeight w:val="185"/>
                        </w:trPr>
                        <w:tc>
                          <w:tcPr>
                            <w:tcW w:w="2280" w:type="dxa"/>
                            <w:gridSpan w:val="19"/>
                            <w:tcBorders>
                              <w:left w:val="single" w:sz="4" w:space="0" w:color="000102"/>
                              <w:right w:val="single" w:sz="4" w:space="0" w:color="020305"/>
                            </w:tcBorders>
                            <w:shd w:val="clear" w:color="auto" w:fill="E8E7F3"/>
                            <w:vAlign w:val="center"/>
                          </w:tcPr>
                          <w:p w14:paraId="5329951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 </w:t>
                            </w:r>
                          </w:p>
                        </w:tc>
                        <w:tc>
                          <w:tcPr>
                            <w:tcW w:w="2265" w:type="dxa"/>
                            <w:gridSpan w:val="28"/>
                            <w:tcBorders>
                              <w:left w:val="single" w:sz="4" w:space="0" w:color="020305"/>
                              <w:right w:val="single" w:sz="4" w:space="0" w:color="020305"/>
                            </w:tcBorders>
                            <w:shd w:val="clear" w:color="auto" w:fill="E8E7F3"/>
                            <w:vAlign w:val="center"/>
                          </w:tcPr>
                          <w:p w14:paraId="7D49C0E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 </w:t>
                            </w:r>
                          </w:p>
                        </w:tc>
                        <w:tc>
                          <w:tcPr>
                            <w:tcW w:w="2267" w:type="dxa"/>
                            <w:gridSpan w:val="19"/>
                            <w:tcBorders>
                              <w:left w:val="single" w:sz="4" w:space="0" w:color="020305"/>
                              <w:right w:val="single" w:sz="4" w:space="0" w:color="020305"/>
                            </w:tcBorders>
                            <w:shd w:val="clear" w:color="auto" w:fill="E8E7F3"/>
                            <w:vAlign w:val="center"/>
                          </w:tcPr>
                          <w:p w14:paraId="1179B86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 </w:t>
                            </w:r>
                          </w:p>
                        </w:tc>
                        <w:tc>
                          <w:tcPr>
                            <w:tcW w:w="2267" w:type="dxa"/>
                            <w:gridSpan w:val="12"/>
                            <w:tcBorders>
                              <w:left w:val="single" w:sz="4" w:space="0" w:color="020305"/>
                              <w:right w:val="single" w:sz="4" w:space="0" w:color="000102"/>
                            </w:tcBorders>
                            <w:shd w:val="clear" w:color="auto" w:fill="E8E7F3"/>
                            <w:vAlign w:val="center"/>
                          </w:tcPr>
                          <w:p w14:paraId="05A33B1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8900 </w:t>
                            </w:r>
                          </w:p>
                        </w:tc>
                      </w:tr>
                      <w:tr w:rsidR="00000000" w14:paraId="7A280D32" w14:textId="77777777">
                        <w:tblPrEx>
                          <w:tblCellMar>
                            <w:top w:w="0" w:type="dxa"/>
                            <w:bottom w:w="0" w:type="dxa"/>
                          </w:tblCellMar>
                        </w:tblPrEx>
                        <w:trPr>
                          <w:gridAfter w:val="2"/>
                          <w:wAfter w:w="2001" w:type="dxa"/>
                          <w:trHeight w:val="185"/>
                        </w:trPr>
                        <w:tc>
                          <w:tcPr>
                            <w:tcW w:w="2280" w:type="dxa"/>
                            <w:gridSpan w:val="19"/>
                            <w:tcBorders>
                              <w:left w:val="single" w:sz="4" w:space="0" w:color="000102"/>
                              <w:right w:val="single" w:sz="4" w:space="0" w:color="020305"/>
                            </w:tcBorders>
                            <w:vAlign w:val="center"/>
                          </w:tcPr>
                          <w:p w14:paraId="3D87B39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 </w:t>
                            </w:r>
                          </w:p>
                        </w:tc>
                        <w:tc>
                          <w:tcPr>
                            <w:tcW w:w="2265" w:type="dxa"/>
                            <w:gridSpan w:val="28"/>
                            <w:tcBorders>
                              <w:left w:val="single" w:sz="4" w:space="0" w:color="020305"/>
                              <w:right w:val="single" w:sz="4" w:space="0" w:color="020305"/>
                            </w:tcBorders>
                            <w:vAlign w:val="center"/>
                          </w:tcPr>
                          <w:p w14:paraId="1A0102F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 </w:t>
                            </w:r>
                          </w:p>
                        </w:tc>
                        <w:tc>
                          <w:tcPr>
                            <w:tcW w:w="2267" w:type="dxa"/>
                            <w:gridSpan w:val="19"/>
                            <w:tcBorders>
                              <w:left w:val="single" w:sz="4" w:space="0" w:color="020305"/>
                              <w:right w:val="single" w:sz="4" w:space="0" w:color="020305"/>
                            </w:tcBorders>
                            <w:vAlign w:val="center"/>
                          </w:tcPr>
                          <w:p w14:paraId="33DC960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c>
                          <w:tcPr>
                            <w:tcW w:w="2267" w:type="dxa"/>
                            <w:gridSpan w:val="12"/>
                            <w:tcBorders>
                              <w:left w:val="single" w:sz="4" w:space="0" w:color="020305"/>
                              <w:right w:val="single" w:sz="4" w:space="0" w:color="000102"/>
                            </w:tcBorders>
                            <w:vAlign w:val="center"/>
                          </w:tcPr>
                          <w:p w14:paraId="3074568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14000 </w:t>
                            </w:r>
                          </w:p>
                        </w:tc>
                      </w:tr>
                      <w:tr w:rsidR="00000000" w14:paraId="33F20322" w14:textId="77777777">
                        <w:tblPrEx>
                          <w:tblCellMar>
                            <w:top w:w="0" w:type="dxa"/>
                            <w:bottom w:w="0" w:type="dxa"/>
                          </w:tblCellMar>
                        </w:tblPrEx>
                        <w:trPr>
                          <w:gridAfter w:val="2"/>
                          <w:wAfter w:w="2001" w:type="dxa"/>
                          <w:trHeight w:val="185"/>
                        </w:trPr>
                        <w:tc>
                          <w:tcPr>
                            <w:tcW w:w="2280" w:type="dxa"/>
                            <w:gridSpan w:val="19"/>
                            <w:tcBorders>
                              <w:left w:val="single" w:sz="4" w:space="0" w:color="000102"/>
                              <w:right w:val="single" w:sz="4" w:space="0" w:color="020305"/>
                            </w:tcBorders>
                            <w:shd w:val="clear" w:color="auto" w:fill="E8E7F3"/>
                            <w:vAlign w:val="center"/>
                          </w:tcPr>
                          <w:p w14:paraId="6D8F320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 </w:t>
                            </w:r>
                          </w:p>
                        </w:tc>
                        <w:tc>
                          <w:tcPr>
                            <w:tcW w:w="2265" w:type="dxa"/>
                            <w:gridSpan w:val="28"/>
                            <w:tcBorders>
                              <w:left w:val="single" w:sz="4" w:space="0" w:color="020305"/>
                              <w:right w:val="single" w:sz="4" w:space="0" w:color="020305"/>
                            </w:tcBorders>
                            <w:shd w:val="clear" w:color="auto" w:fill="E8E7F3"/>
                            <w:vAlign w:val="center"/>
                          </w:tcPr>
                          <w:p w14:paraId="297FCC0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c>
                          <w:tcPr>
                            <w:tcW w:w="2267" w:type="dxa"/>
                            <w:gridSpan w:val="19"/>
                            <w:tcBorders>
                              <w:left w:val="single" w:sz="4" w:space="0" w:color="020305"/>
                              <w:right w:val="single" w:sz="4" w:space="0" w:color="020305"/>
                            </w:tcBorders>
                            <w:shd w:val="clear" w:color="auto" w:fill="E8E7F3"/>
                            <w:vAlign w:val="center"/>
                          </w:tcPr>
                          <w:p w14:paraId="26C20D8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 </w:t>
                            </w:r>
                          </w:p>
                        </w:tc>
                        <w:tc>
                          <w:tcPr>
                            <w:tcW w:w="2267" w:type="dxa"/>
                            <w:gridSpan w:val="12"/>
                            <w:tcBorders>
                              <w:left w:val="single" w:sz="4" w:space="0" w:color="020305"/>
                              <w:right w:val="single" w:sz="4" w:space="0" w:color="000102"/>
                            </w:tcBorders>
                            <w:shd w:val="clear" w:color="auto" w:fill="E8E7F3"/>
                            <w:vAlign w:val="center"/>
                          </w:tcPr>
                          <w:p w14:paraId="7D8D61E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21000 </w:t>
                            </w:r>
                          </w:p>
                        </w:tc>
                      </w:tr>
                      <w:tr w:rsidR="00000000" w14:paraId="6B30FC1C" w14:textId="77777777">
                        <w:tblPrEx>
                          <w:tblCellMar>
                            <w:top w:w="0" w:type="dxa"/>
                            <w:bottom w:w="0" w:type="dxa"/>
                          </w:tblCellMar>
                        </w:tblPrEx>
                        <w:trPr>
                          <w:gridAfter w:val="2"/>
                          <w:wAfter w:w="2001" w:type="dxa"/>
                          <w:trHeight w:val="183"/>
                        </w:trPr>
                        <w:tc>
                          <w:tcPr>
                            <w:tcW w:w="2280" w:type="dxa"/>
                            <w:gridSpan w:val="19"/>
                            <w:tcBorders>
                              <w:left w:val="single" w:sz="4" w:space="0" w:color="000102"/>
                              <w:right w:val="single" w:sz="4" w:space="0" w:color="020305"/>
                            </w:tcBorders>
                            <w:vAlign w:val="center"/>
                          </w:tcPr>
                          <w:p w14:paraId="666F00F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3.5 </w:t>
                            </w:r>
                          </w:p>
                        </w:tc>
                        <w:tc>
                          <w:tcPr>
                            <w:tcW w:w="2265" w:type="dxa"/>
                            <w:gridSpan w:val="28"/>
                            <w:tcBorders>
                              <w:left w:val="single" w:sz="4" w:space="0" w:color="020305"/>
                              <w:right w:val="single" w:sz="4" w:space="0" w:color="020305"/>
                            </w:tcBorders>
                            <w:vAlign w:val="center"/>
                          </w:tcPr>
                          <w:p w14:paraId="4B843CB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24 </w:t>
                            </w:r>
                          </w:p>
                        </w:tc>
                        <w:tc>
                          <w:tcPr>
                            <w:tcW w:w="2267" w:type="dxa"/>
                            <w:gridSpan w:val="19"/>
                            <w:tcBorders>
                              <w:left w:val="single" w:sz="4" w:space="0" w:color="020305"/>
                              <w:right w:val="single" w:sz="4" w:space="0" w:color="020305"/>
                            </w:tcBorders>
                            <w:vAlign w:val="center"/>
                          </w:tcPr>
                          <w:p w14:paraId="2B19716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 </w:t>
                            </w:r>
                          </w:p>
                        </w:tc>
                        <w:tc>
                          <w:tcPr>
                            <w:tcW w:w="2267" w:type="dxa"/>
                            <w:gridSpan w:val="12"/>
                            <w:tcBorders>
                              <w:left w:val="single" w:sz="4" w:space="0" w:color="020305"/>
                              <w:right w:val="single" w:sz="4" w:space="0" w:color="000102"/>
                            </w:tcBorders>
                            <w:vAlign w:val="center"/>
                          </w:tcPr>
                          <w:p w14:paraId="0A1F3B4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32000 </w:t>
                            </w:r>
                          </w:p>
                        </w:tc>
                      </w:tr>
                      <w:tr w:rsidR="00000000" w14:paraId="6A340D4E" w14:textId="77777777">
                        <w:tblPrEx>
                          <w:tblCellMar>
                            <w:top w:w="0" w:type="dxa"/>
                            <w:bottom w:w="0" w:type="dxa"/>
                          </w:tblCellMar>
                        </w:tblPrEx>
                        <w:trPr>
                          <w:gridAfter w:val="2"/>
                          <w:wAfter w:w="2001" w:type="dxa"/>
                          <w:trHeight w:val="185"/>
                        </w:trPr>
                        <w:tc>
                          <w:tcPr>
                            <w:tcW w:w="2280" w:type="dxa"/>
                            <w:gridSpan w:val="19"/>
                            <w:tcBorders>
                              <w:left w:val="single" w:sz="4" w:space="0" w:color="000102"/>
                              <w:right w:val="single" w:sz="4" w:space="0" w:color="020305"/>
                            </w:tcBorders>
                            <w:shd w:val="clear" w:color="auto" w:fill="E8E7F3"/>
                            <w:vAlign w:val="center"/>
                          </w:tcPr>
                          <w:p w14:paraId="5144B3A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 </w:t>
                            </w:r>
                          </w:p>
                        </w:tc>
                        <w:tc>
                          <w:tcPr>
                            <w:tcW w:w="2265" w:type="dxa"/>
                            <w:gridSpan w:val="28"/>
                            <w:tcBorders>
                              <w:left w:val="single" w:sz="4" w:space="0" w:color="020305"/>
                              <w:right w:val="single" w:sz="4" w:space="0" w:color="020305"/>
                            </w:tcBorders>
                            <w:shd w:val="clear" w:color="auto" w:fill="E8E7F3"/>
                            <w:vAlign w:val="center"/>
                          </w:tcPr>
                          <w:p w14:paraId="53AD2D0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36 </w:t>
                            </w:r>
                          </w:p>
                        </w:tc>
                        <w:tc>
                          <w:tcPr>
                            <w:tcW w:w="2267" w:type="dxa"/>
                            <w:gridSpan w:val="19"/>
                            <w:tcBorders>
                              <w:left w:val="single" w:sz="4" w:space="0" w:color="020305"/>
                              <w:right w:val="single" w:sz="4" w:space="0" w:color="020305"/>
                            </w:tcBorders>
                            <w:shd w:val="clear" w:color="auto" w:fill="E8E7F3"/>
                            <w:vAlign w:val="center"/>
                          </w:tcPr>
                          <w:p w14:paraId="35A5BFE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18 </w:t>
                            </w:r>
                          </w:p>
                        </w:tc>
                        <w:tc>
                          <w:tcPr>
                            <w:tcW w:w="2267" w:type="dxa"/>
                            <w:gridSpan w:val="12"/>
                            <w:tcBorders>
                              <w:left w:val="single" w:sz="4" w:space="0" w:color="020305"/>
                              <w:right w:val="single" w:sz="4" w:space="0" w:color="000102"/>
                            </w:tcBorders>
                            <w:shd w:val="clear" w:color="auto" w:fill="E8E7F3"/>
                            <w:vAlign w:val="center"/>
                          </w:tcPr>
                          <w:p w14:paraId="32BF267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49000 </w:t>
                            </w:r>
                          </w:p>
                        </w:tc>
                      </w:tr>
                      <w:tr w:rsidR="00000000" w14:paraId="7C111190" w14:textId="77777777">
                        <w:tblPrEx>
                          <w:tblCellMar>
                            <w:top w:w="0" w:type="dxa"/>
                            <w:bottom w:w="0" w:type="dxa"/>
                          </w:tblCellMar>
                        </w:tblPrEx>
                        <w:trPr>
                          <w:gridAfter w:val="2"/>
                          <w:wAfter w:w="2001" w:type="dxa"/>
                          <w:trHeight w:val="185"/>
                        </w:trPr>
                        <w:tc>
                          <w:tcPr>
                            <w:tcW w:w="2280" w:type="dxa"/>
                            <w:gridSpan w:val="19"/>
                            <w:tcBorders>
                              <w:left w:val="single" w:sz="4" w:space="0" w:color="000102"/>
                              <w:right w:val="single" w:sz="4" w:space="0" w:color="020305"/>
                            </w:tcBorders>
                            <w:vAlign w:val="center"/>
                          </w:tcPr>
                          <w:p w14:paraId="69EF544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4.5 </w:t>
                            </w:r>
                          </w:p>
                        </w:tc>
                        <w:tc>
                          <w:tcPr>
                            <w:tcW w:w="2265" w:type="dxa"/>
                            <w:gridSpan w:val="28"/>
                            <w:tcBorders>
                              <w:left w:val="single" w:sz="4" w:space="0" w:color="020305"/>
                              <w:right w:val="single" w:sz="4" w:space="0" w:color="020305"/>
                            </w:tcBorders>
                            <w:vAlign w:val="center"/>
                          </w:tcPr>
                          <w:p w14:paraId="1D80498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53 </w:t>
                            </w:r>
                          </w:p>
                        </w:tc>
                        <w:tc>
                          <w:tcPr>
                            <w:tcW w:w="2267" w:type="dxa"/>
                            <w:gridSpan w:val="19"/>
                            <w:tcBorders>
                              <w:left w:val="single" w:sz="4" w:space="0" w:color="020305"/>
                              <w:right w:val="single" w:sz="4" w:space="0" w:color="020305"/>
                            </w:tcBorders>
                            <w:vAlign w:val="center"/>
                          </w:tcPr>
                          <w:p w14:paraId="5D91D34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19 </w:t>
                            </w:r>
                          </w:p>
                        </w:tc>
                        <w:tc>
                          <w:tcPr>
                            <w:tcW w:w="2267" w:type="dxa"/>
                            <w:gridSpan w:val="12"/>
                            <w:tcBorders>
                              <w:left w:val="single" w:sz="4" w:space="0" w:color="020305"/>
                              <w:right w:val="single" w:sz="4" w:space="0" w:color="000102"/>
                            </w:tcBorders>
                            <w:vAlign w:val="center"/>
                          </w:tcPr>
                          <w:p w14:paraId="3E6321B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73000 </w:t>
                            </w:r>
                          </w:p>
                        </w:tc>
                      </w:tr>
                      <w:tr w:rsidR="00000000" w14:paraId="37DE9673" w14:textId="77777777">
                        <w:tblPrEx>
                          <w:tblCellMar>
                            <w:top w:w="0" w:type="dxa"/>
                            <w:bottom w:w="0" w:type="dxa"/>
                          </w:tblCellMar>
                        </w:tblPrEx>
                        <w:trPr>
                          <w:gridAfter w:val="2"/>
                          <w:wAfter w:w="2001" w:type="dxa"/>
                          <w:trHeight w:val="185"/>
                        </w:trPr>
                        <w:tc>
                          <w:tcPr>
                            <w:tcW w:w="2280" w:type="dxa"/>
                            <w:gridSpan w:val="19"/>
                            <w:tcBorders>
                              <w:left w:val="single" w:sz="4" w:space="0" w:color="000102"/>
                              <w:right w:val="single" w:sz="4" w:space="0" w:color="020305"/>
                            </w:tcBorders>
                            <w:shd w:val="clear" w:color="auto" w:fill="E8E7F3"/>
                            <w:vAlign w:val="center"/>
                          </w:tcPr>
                          <w:p w14:paraId="35DBC85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 </w:t>
                            </w:r>
                          </w:p>
                        </w:tc>
                        <w:tc>
                          <w:tcPr>
                            <w:tcW w:w="2265" w:type="dxa"/>
                            <w:gridSpan w:val="28"/>
                            <w:tcBorders>
                              <w:left w:val="single" w:sz="4" w:space="0" w:color="020305"/>
                              <w:right w:val="single" w:sz="4" w:space="0" w:color="020305"/>
                            </w:tcBorders>
                            <w:shd w:val="clear" w:color="auto" w:fill="E8E7F3"/>
                            <w:vAlign w:val="center"/>
                          </w:tcPr>
                          <w:p w14:paraId="4BA14B0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77 </w:t>
                            </w:r>
                          </w:p>
                        </w:tc>
                        <w:tc>
                          <w:tcPr>
                            <w:tcW w:w="2267" w:type="dxa"/>
                            <w:gridSpan w:val="19"/>
                            <w:tcBorders>
                              <w:left w:val="single" w:sz="4" w:space="0" w:color="020305"/>
                              <w:right w:val="single" w:sz="4" w:space="0" w:color="020305"/>
                            </w:tcBorders>
                            <w:shd w:val="clear" w:color="auto" w:fill="E8E7F3"/>
                            <w:vAlign w:val="center"/>
                          </w:tcPr>
                          <w:p w14:paraId="05C7554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c>
                          <w:tcPr>
                            <w:tcW w:w="2267" w:type="dxa"/>
                            <w:gridSpan w:val="12"/>
                            <w:tcBorders>
                              <w:left w:val="single" w:sz="4" w:space="0" w:color="020305"/>
                              <w:right w:val="single" w:sz="4" w:space="0" w:color="000102"/>
                            </w:tcBorders>
                            <w:shd w:val="clear" w:color="auto" w:fill="E8E7F3"/>
                            <w:vAlign w:val="center"/>
                          </w:tcPr>
                          <w:p w14:paraId="4B20796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110000 </w:t>
                            </w:r>
                          </w:p>
                        </w:tc>
                      </w:tr>
                      <w:tr w:rsidR="00000000" w14:paraId="196680C5" w14:textId="77777777">
                        <w:tblPrEx>
                          <w:tblCellMar>
                            <w:top w:w="0" w:type="dxa"/>
                            <w:bottom w:w="0" w:type="dxa"/>
                          </w:tblCellMar>
                        </w:tblPrEx>
                        <w:trPr>
                          <w:gridAfter w:val="2"/>
                          <w:wAfter w:w="2001" w:type="dxa"/>
                          <w:trHeight w:val="183"/>
                        </w:trPr>
                        <w:tc>
                          <w:tcPr>
                            <w:tcW w:w="2280" w:type="dxa"/>
                            <w:gridSpan w:val="19"/>
                            <w:tcBorders>
                              <w:left w:val="single" w:sz="4" w:space="0" w:color="000102"/>
                              <w:right w:val="single" w:sz="4" w:space="0" w:color="020305"/>
                            </w:tcBorders>
                            <w:vAlign w:val="center"/>
                          </w:tcPr>
                          <w:p w14:paraId="713E836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6 </w:t>
                            </w:r>
                          </w:p>
                        </w:tc>
                        <w:tc>
                          <w:tcPr>
                            <w:tcW w:w="2265" w:type="dxa"/>
                            <w:gridSpan w:val="28"/>
                            <w:tcBorders>
                              <w:left w:val="single" w:sz="4" w:space="0" w:color="020305"/>
                              <w:right w:val="single" w:sz="4" w:space="0" w:color="020305"/>
                            </w:tcBorders>
                            <w:vAlign w:val="center"/>
                          </w:tcPr>
                          <w:p w14:paraId="0645020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c>
                          <w:tcPr>
                            <w:tcW w:w="2267" w:type="dxa"/>
                            <w:gridSpan w:val="19"/>
                            <w:tcBorders>
                              <w:left w:val="single" w:sz="4" w:space="0" w:color="020305"/>
                              <w:right w:val="single" w:sz="4" w:space="0" w:color="020305"/>
                            </w:tcBorders>
                            <w:vAlign w:val="center"/>
                          </w:tcPr>
                          <w:p w14:paraId="206AC1B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21 </w:t>
                            </w:r>
                          </w:p>
                        </w:tc>
                        <w:tc>
                          <w:tcPr>
                            <w:tcW w:w="2267" w:type="dxa"/>
                            <w:gridSpan w:val="12"/>
                            <w:tcBorders>
                              <w:left w:val="single" w:sz="4" w:space="0" w:color="020305"/>
                              <w:right w:val="single" w:sz="4" w:space="0" w:color="000102"/>
                            </w:tcBorders>
                            <w:vAlign w:val="center"/>
                          </w:tcPr>
                          <w:p w14:paraId="3A95A1A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160000 </w:t>
                            </w:r>
                          </w:p>
                        </w:tc>
                      </w:tr>
                      <w:tr w:rsidR="00000000" w14:paraId="32470BFC" w14:textId="77777777">
                        <w:tblPrEx>
                          <w:tblCellMar>
                            <w:top w:w="0" w:type="dxa"/>
                            <w:bottom w:w="0" w:type="dxa"/>
                          </w:tblCellMar>
                        </w:tblPrEx>
                        <w:trPr>
                          <w:gridAfter w:val="2"/>
                          <w:wAfter w:w="2001" w:type="dxa"/>
                          <w:trHeight w:val="185"/>
                        </w:trPr>
                        <w:tc>
                          <w:tcPr>
                            <w:tcW w:w="2280" w:type="dxa"/>
                            <w:gridSpan w:val="19"/>
                            <w:tcBorders>
                              <w:left w:val="single" w:sz="4" w:space="0" w:color="000102"/>
                              <w:right w:val="single" w:sz="4" w:space="0" w:color="020305"/>
                            </w:tcBorders>
                            <w:shd w:val="clear" w:color="auto" w:fill="E8E7F3"/>
                            <w:vAlign w:val="center"/>
                          </w:tcPr>
                          <w:p w14:paraId="0C66D2E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 </w:t>
                            </w:r>
                          </w:p>
                        </w:tc>
                        <w:tc>
                          <w:tcPr>
                            <w:tcW w:w="2265" w:type="dxa"/>
                            <w:gridSpan w:val="28"/>
                            <w:tcBorders>
                              <w:left w:val="single" w:sz="4" w:space="0" w:color="020305"/>
                              <w:right w:val="single" w:sz="4" w:space="0" w:color="020305"/>
                            </w:tcBorders>
                            <w:shd w:val="clear" w:color="auto" w:fill="E8E7F3"/>
                            <w:vAlign w:val="center"/>
                          </w:tcPr>
                          <w:p w14:paraId="5FB5600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270 </w:t>
                            </w:r>
                          </w:p>
                        </w:tc>
                        <w:tc>
                          <w:tcPr>
                            <w:tcW w:w="2267" w:type="dxa"/>
                            <w:gridSpan w:val="19"/>
                            <w:tcBorders>
                              <w:left w:val="single" w:sz="4" w:space="0" w:color="020305"/>
                              <w:right w:val="single" w:sz="4" w:space="0" w:color="020305"/>
                            </w:tcBorders>
                            <w:shd w:val="clear" w:color="auto" w:fill="E8E7F3"/>
                            <w:vAlign w:val="center"/>
                          </w:tcPr>
                          <w:p w14:paraId="4C32A9C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22 </w:t>
                            </w:r>
                          </w:p>
                        </w:tc>
                        <w:tc>
                          <w:tcPr>
                            <w:tcW w:w="2267" w:type="dxa"/>
                            <w:gridSpan w:val="12"/>
                            <w:tcBorders>
                              <w:left w:val="single" w:sz="4" w:space="0" w:color="020305"/>
                              <w:right w:val="single" w:sz="4" w:space="0" w:color="000102"/>
                            </w:tcBorders>
                            <w:shd w:val="clear" w:color="auto" w:fill="E8E7F3"/>
                            <w:vAlign w:val="center"/>
                          </w:tcPr>
                          <w:p w14:paraId="4EA886C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240000 </w:t>
                            </w:r>
                          </w:p>
                        </w:tc>
                      </w:tr>
                      <w:tr w:rsidR="00000000" w14:paraId="3C14C711" w14:textId="77777777">
                        <w:tblPrEx>
                          <w:tblCellMar>
                            <w:top w:w="0" w:type="dxa"/>
                            <w:bottom w:w="0" w:type="dxa"/>
                          </w:tblCellMar>
                        </w:tblPrEx>
                        <w:trPr>
                          <w:gridAfter w:val="2"/>
                          <w:wAfter w:w="2001" w:type="dxa"/>
                          <w:trHeight w:val="185"/>
                        </w:trPr>
                        <w:tc>
                          <w:tcPr>
                            <w:tcW w:w="2280" w:type="dxa"/>
                            <w:gridSpan w:val="19"/>
                            <w:tcBorders>
                              <w:left w:val="single" w:sz="4" w:space="0" w:color="000102"/>
                              <w:right w:val="single" w:sz="4" w:space="0" w:color="020305"/>
                            </w:tcBorders>
                            <w:vAlign w:val="center"/>
                          </w:tcPr>
                          <w:p w14:paraId="6AA382E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 </w:t>
                            </w:r>
                          </w:p>
                        </w:tc>
                        <w:tc>
                          <w:tcPr>
                            <w:tcW w:w="2265" w:type="dxa"/>
                            <w:gridSpan w:val="28"/>
                            <w:tcBorders>
                              <w:left w:val="single" w:sz="4" w:space="0" w:color="020305"/>
                              <w:right w:val="single" w:sz="4" w:space="0" w:color="020305"/>
                            </w:tcBorders>
                            <w:vAlign w:val="center"/>
                          </w:tcPr>
                          <w:p w14:paraId="1DE1FF9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480 </w:t>
                            </w:r>
                          </w:p>
                        </w:tc>
                        <w:tc>
                          <w:tcPr>
                            <w:tcW w:w="2267" w:type="dxa"/>
                            <w:gridSpan w:val="19"/>
                            <w:tcBorders>
                              <w:left w:val="single" w:sz="4" w:space="0" w:color="020305"/>
                              <w:right w:val="single" w:sz="4" w:space="0" w:color="020305"/>
                            </w:tcBorders>
                            <w:vAlign w:val="center"/>
                          </w:tcPr>
                          <w:p w14:paraId="0217CAC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23 </w:t>
                            </w:r>
                          </w:p>
                        </w:tc>
                        <w:tc>
                          <w:tcPr>
                            <w:tcW w:w="2267" w:type="dxa"/>
                            <w:gridSpan w:val="12"/>
                            <w:tcBorders>
                              <w:left w:val="single" w:sz="4" w:space="0" w:color="020305"/>
                              <w:right w:val="single" w:sz="4" w:space="0" w:color="000102"/>
                            </w:tcBorders>
                            <w:vAlign w:val="center"/>
                          </w:tcPr>
                          <w:p w14:paraId="65CB1C9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360000 </w:t>
                            </w:r>
                          </w:p>
                        </w:tc>
                      </w:tr>
                      <w:tr w:rsidR="00000000" w14:paraId="45542DA8" w14:textId="77777777">
                        <w:tblPrEx>
                          <w:tblCellMar>
                            <w:top w:w="0" w:type="dxa"/>
                            <w:bottom w:w="0" w:type="dxa"/>
                          </w:tblCellMar>
                        </w:tblPrEx>
                        <w:trPr>
                          <w:gridAfter w:val="2"/>
                          <w:wAfter w:w="2001" w:type="dxa"/>
                          <w:trHeight w:val="185"/>
                        </w:trPr>
                        <w:tc>
                          <w:tcPr>
                            <w:tcW w:w="2280" w:type="dxa"/>
                            <w:gridSpan w:val="19"/>
                            <w:tcBorders>
                              <w:left w:val="single" w:sz="4" w:space="0" w:color="000102"/>
                              <w:right w:val="single" w:sz="4" w:space="0" w:color="020305"/>
                            </w:tcBorders>
                            <w:shd w:val="clear" w:color="auto" w:fill="E8E7F3"/>
                            <w:vAlign w:val="center"/>
                          </w:tcPr>
                          <w:p w14:paraId="0425AB7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 </w:t>
                            </w:r>
                          </w:p>
                        </w:tc>
                        <w:tc>
                          <w:tcPr>
                            <w:tcW w:w="2265" w:type="dxa"/>
                            <w:gridSpan w:val="28"/>
                            <w:tcBorders>
                              <w:left w:val="single" w:sz="4" w:space="0" w:color="020305"/>
                              <w:right w:val="single" w:sz="4" w:space="0" w:color="020305"/>
                            </w:tcBorders>
                            <w:shd w:val="clear" w:color="auto" w:fill="E8E7F3"/>
                            <w:vAlign w:val="center"/>
                          </w:tcPr>
                          <w:p w14:paraId="343001B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820 </w:t>
                            </w:r>
                          </w:p>
                        </w:tc>
                        <w:tc>
                          <w:tcPr>
                            <w:tcW w:w="2267" w:type="dxa"/>
                            <w:gridSpan w:val="19"/>
                            <w:tcBorders>
                              <w:left w:val="single" w:sz="4" w:space="0" w:color="020305"/>
                              <w:right w:val="single" w:sz="4" w:space="0" w:color="020305"/>
                            </w:tcBorders>
                            <w:shd w:val="clear" w:color="auto" w:fill="E8E7F3"/>
                            <w:vAlign w:val="center"/>
                          </w:tcPr>
                          <w:p w14:paraId="30BDE11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24 </w:t>
                            </w:r>
                          </w:p>
                        </w:tc>
                        <w:tc>
                          <w:tcPr>
                            <w:tcW w:w="2267" w:type="dxa"/>
                            <w:gridSpan w:val="12"/>
                            <w:tcBorders>
                              <w:left w:val="single" w:sz="4" w:space="0" w:color="020305"/>
                              <w:right w:val="single" w:sz="4" w:space="0" w:color="000102"/>
                            </w:tcBorders>
                            <w:shd w:val="clear" w:color="auto" w:fill="E8E7F3"/>
                            <w:vAlign w:val="center"/>
                          </w:tcPr>
                          <w:p w14:paraId="7F71A1A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520000 </w:t>
                            </w:r>
                          </w:p>
                        </w:tc>
                      </w:tr>
                      <w:tr w:rsidR="00000000" w14:paraId="00E3DFD2" w14:textId="77777777">
                        <w:tblPrEx>
                          <w:tblCellMar>
                            <w:top w:w="0" w:type="dxa"/>
                            <w:bottom w:w="0" w:type="dxa"/>
                          </w:tblCellMar>
                        </w:tblPrEx>
                        <w:trPr>
                          <w:gridAfter w:val="2"/>
                          <w:wAfter w:w="2001" w:type="dxa"/>
                          <w:trHeight w:val="183"/>
                        </w:trPr>
                        <w:tc>
                          <w:tcPr>
                            <w:tcW w:w="2280" w:type="dxa"/>
                            <w:gridSpan w:val="19"/>
                            <w:tcBorders>
                              <w:left w:val="single" w:sz="4" w:space="0" w:color="000102"/>
                              <w:right w:val="single" w:sz="4" w:space="0" w:color="020305"/>
                            </w:tcBorders>
                            <w:vAlign w:val="center"/>
                          </w:tcPr>
                          <w:p w14:paraId="49686EB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 </w:t>
                            </w:r>
                          </w:p>
                        </w:tc>
                        <w:tc>
                          <w:tcPr>
                            <w:tcW w:w="2265" w:type="dxa"/>
                            <w:gridSpan w:val="28"/>
                            <w:tcBorders>
                              <w:left w:val="single" w:sz="4" w:space="0" w:color="020305"/>
                              <w:right w:val="single" w:sz="4" w:space="0" w:color="020305"/>
                            </w:tcBorders>
                            <w:vAlign w:val="center"/>
                          </w:tcPr>
                          <w:p w14:paraId="466BE61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1400 </w:t>
                            </w:r>
                          </w:p>
                        </w:tc>
                        <w:tc>
                          <w:tcPr>
                            <w:tcW w:w="2267" w:type="dxa"/>
                            <w:gridSpan w:val="19"/>
                            <w:tcBorders>
                              <w:left w:val="single" w:sz="4" w:space="0" w:color="020305"/>
                              <w:right w:val="single" w:sz="4" w:space="0" w:color="020305"/>
                            </w:tcBorders>
                            <w:vAlign w:val="center"/>
                          </w:tcPr>
                          <w:p w14:paraId="34665C5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 </w:t>
                            </w:r>
                          </w:p>
                        </w:tc>
                        <w:tc>
                          <w:tcPr>
                            <w:tcW w:w="2267" w:type="dxa"/>
                            <w:gridSpan w:val="12"/>
                            <w:tcBorders>
                              <w:left w:val="single" w:sz="4" w:space="0" w:color="020305"/>
                              <w:right w:val="single" w:sz="4" w:space="0" w:color="000102"/>
                            </w:tcBorders>
                            <w:vAlign w:val="center"/>
                          </w:tcPr>
                          <w:p w14:paraId="55F05B1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770000 </w:t>
                            </w:r>
                          </w:p>
                        </w:tc>
                      </w:tr>
                      <w:tr w:rsidR="00000000" w14:paraId="4FEBFBF7" w14:textId="77777777">
                        <w:tblPrEx>
                          <w:tblCellMar>
                            <w:top w:w="0" w:type="dxa"/>
                            <w:bottom w:w="0" w:type="dxa"/>
                          </w:tblCellMar>
                        </w:tblPrEx>
                        <w:trPr>
                          <w:gridAfter w:val="2"/>
                          <w:wAfter w:w="2001" w:type="dxa"/>
                          <w:trHeight w:val="183"/>
                        </w:trPr>
                        <w:tc>
                          <w:tcPr>
                            <w:tcW w:w="2280" w:type="dxa"/>
                            <w:gridSpan w:val="19"/>
                            <w:tcBorders>
                              <w:left w:val="single" w:sz="4" w:space="0" w:color="000102"/>
                              <w:bottom w:val="single" w:sz="4" w:space="0" w:color="000000"/>
                              <w:right w:val="single" w:sz="4" w:space="0" w:color="020305"/>
                            </w:tcBorders>
                            <w:shd w:val="clear" w:color="auto" w:fill="E8E7F3"/>
                            <w:vAlign w:val="center"/>
                          </w:tcPr>
                          <w:p w14:paraId="410E39E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 </w:t>
                            </w:r>
                          </w:p>
                        </w:tc>
                        <w:tc>
                          <w:tcPr>
                            <w:tcW w:w="2265" w:type="dxa"/>
                            <w:gridSpan w:val="28"/>
                            <w:tcBorders>
                              <w:left w:val="single" w:sz="4" w:space="0" w:color="020305"/>
                              <w:bottom w:val="single" w:sz="4" w:space="0" w:color="000000"/>
                              <w:right w:val="single" w:sz="4" w:space="0" w:color="020305"/>
                            </w:tcBorders>
                            <w:shd w:val="clear" w:color="auto" w:fill="E8E7F3"/>
                            <w:vAlign w:val="center"/>
                          </w:tcPr>
                          <w:p w14:paraId="59D1339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2200 </w:t>
                            </w:r>
                          </w:p>
                        </w:tc>
                        <w:tc>
                          <w:tcPr>
                            <w:tcW w:w="2267" w:type="dxa"/>
                            <w:gridSpan w:val="19"/>
                            <w:tcBorders>
                              <w:left w:val="single" w:sz="4" w:space="0" w:color="020305"/>
                              <w:bottom w:val="single" w:sz="4" w:space="0" w:color="000000"/>
                              <w:right w:val="single" w:sz="4" w:space="0" w:color="020305"/>
                            </w:tcBorders>
                            <w:shd w:val="clear" w:color="auto" w:fill="E8E7F3"/>
                            <w:vAlign w:val="center"/>
                          </w:tcPr>
                          <w:p w14:paraId="49B5A5F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26 </w:t>
                            </w:r>
                          </w:p>
                        </w:tc>
                        <w:tc>
                          <w:tcPr>
                            <w:tcW w:w="2267" w:type="dxa"/>
                            <w:gridSpan w:val="12"/>
                            <w:tcBorders>
                              <w:left w:val="single" w:sz="4" w:space="0" w:color="020305"/>
                              <w:bottom w:val="single" w:sz="4" w:space="0" w:color="000000"/>
                              <w:right w:val="single" w:sz="4" w:space="0" w:color="000102"/>
                            </w:tcBorders>
                            <w:shd w:val="clear" w:color="auto" w:fill="E8E7F3"/>
                            <w:vAlign w:val="center"/>
                          </w:tcPr>
                          <w:p w14:paraId="58ABBFD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1100000 </w:t>
                            </w:r>
                          </w:p>
                        </w:tc>
                      </w:tr>
                    </w:tbl>
                  </w:txbxContent>
                </v:textbox>
                <w10:wrap type="through" anchorx="page" anchory="page"/>
              </v:shape>
            </w:pict>
          </mc:Fallback>
        </mc:AlternateContent>
      </w:r>
    </w:p>
    <w:p w14:paraId="3400BB84" w14:textId="77777777" w:rsidR="00541A14" w:rsidRDefault="00A450E1">
      <w:pPr>
        <w:pStyle w:val="CM165"/>
        <w:spacing w:after="85" w:line="291" w:lineRule="atLeast"/>
        <w:rPr>
          <w:rFonts w:ascii="Palatino" w:hAnsi="Palatino" w:cs="Palatino"/>
          <w:sz w:val="20"/>
          <w:szCs w:val="20"/>
        </w:rPr>
      </w:pPr>
      <w:r>
        <w:rPr>
          <w:rFonts w:ascii="Palatino" w:hAnsi="Palatino" w:cs="Palatino"/>
          <w:b/>
          <w:bCs/>
          <w:sz w:val="20"/>
          <w:szCs w:val="20"/>
        </w:rPr>
        <w:t xml:space="preserve">Background lighting </w:t>
      </w:r>
    </w:p>
    <w:p w14:paraId="1B268E8C"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Nominal range at night is calculated with no allowance for glare from background lighting.  Excessive background lighting, from street lights, neon signs etc., frequently makes an aid to navigation light less effective and, in some cases, it becomes completely lost in the general background clutter. </w:t>
      </w:r>
    </w:p>
    <w:p w14:paraId="3137514D" w14:textId="77777777" w:rsidR="00541A14" w:rsidRDefault="00A450E1">
      <w:pPr>
        <w:pStyle w:val="CM165"/>
        <w:spacing w:after="85" w:line="291" w:lineRule="atLeast"/>
        <w:ind w:right="107"/>
        <w:rPr>
          <w:rFonts w:ascii="Palatino" w:hAnsi="Palatino" w:cs="Palatino"/>
          <w:sz w:val="20"/>
          <w:szCs w:val="20"/>
        </w:rPr>
      </w:pPr>
      <w:r>
        <w:rPr>
          <w:rFonts w:ascii="Palatino" w:hAnsi="Palatino" w:cs="Palatino"/>
          <w:sz w:val="20"/>
          <w:szCs w:val="20"/>
        </w:rPr>
        <w:t xml:space="preserve">The light can be made more conspicuous by increasing its intensity, changing its colour or by varying its rhythm.  </w:t>
      </w:r>
    </w:p>
    <w:p w14:paraId="3236B28B" w14:textId="77777777" w:rsidR="00541A14" w:rsidRDefault="00A450E1">
      <w:pPr>
        <w:pStyle w:val="CM165"/>
        <w:spacing w:after="85" w:line="291" w:lineRule="atLeast"/>
        <w:rPr>
          <w:rFonts w:ascii="Palatino" w:hAnsi="Palatino" w:cs="Palatino"/>
          <w:sz w:val="20"/>
          <w:szCs w:val="20"/>
        </w:rPr>
      </w:pPr>
      <w:r>
        <w:rPr>
          <w:rFonts w:ascii="Palatino" w:hAnsi="Palatino" w:cs="Palatino"/>
          <w:b/>
          <w:bCs/>
          <w:sz w:val="20"/>
          <w:szCs w:val="20"/>
        </w:rPr>
        <w:t xml:space="preserve">Glare </w:t>
      </w:r>
    </w:p>
    <w:p w14:paraId="776C417B"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Glare can be caused by bright lights emitted from the shore, such as car headlights, or from another vessel indiscreetly using a search-light.  An aid to navigation light can also cause glare if it is too bright for the shortest viewing distance, especially when the focal plane of the light and the observer’s eye are at the same height.  This situation can arise with two station leading lines. For aids to navigation lights it is generally accepted that the illuminance at the eye of the navigator from the light: </w:t>
      </w:r>
    </w:p>
    <w:p w14:paraId="0F18F45D"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 should not exceed 0.1 lux; and </w:t>
      </w:r>
    </w:p>
    <w:p w14:paraId="4B633DD2" w14:textId="77777777" w:rsidR="00541A14" w:rsidRDefault="00A450E1">
      <w:pPr>
        <w:pStyle w:val="CM198"/>
        <w:spacing w:after="1092" w:line="291" w:lineRule="atLeast"/>
        <w:rPr>
          <w:rFonts w:ascii="Palatino" w:hAnsi="Palatino" w:cs="Palatino"/>
          <w:sz w:val="20"/>
          <w:szCs w:val="20"/>
        </w:rPr>
      </w:pPr>
      <w:r>
        <w:rPr>
          <w:rFonts w:ascii="Palatino" w:hAnsi="Palatino" w:cs="Palatino"/>
          <w:sz w:val="20"/>
          <w:szCs w:val="20"/>
        </w:rPr>
        <w:t xml:space="preserve">• should be reduced to 0.01 lux if the background is very dark. </w:t>
      </w:r>
    </w:p>
    <w:p w14:paraId="3947774F" w14:textId="77777777" w:rsidR="00541A14" w:rsidRDefault="00DD420F">
      <w:pPr>
        <w:pStyle w:val="Default"/>
        <w:framePr w:w="10739" w:wrap="auto" w:vAnchor="page" w:hAnchor="page" w:x="1434" w:y="16278"/>
        <w:rPr>
          <w:rFonts w:ascii="Palatino" w:hAnsi="Palatino" w:cs="Palatino"/>
          <w:color w:val="auto"/>
          <w:sz w:val="20"/>
          <w:szCs w:val="20"/>
        </w:rPr>
      </w:pPr>
      <w:r>
        <w:rPr>
          <w:rFonts w:ascii="Palatino" w:hAnsi="Palatino" w:cs="Palatino"/>
          <w:noProof/>
          <w:color w:val="auto"/>
          <w:sz w:val="20"/>
          <w:szCs w:val="20"/>
        </w:rPr>
        <w:drawing>
          <wp:inline distT="0" distB="0" distL="0" distR="0" wp14:anchorId="28350CAE" wp14:editId="163441C9">
            <wp:extent cx="7542530" cy="420370"/>
            <wp:effectExtent l="0" t="0" r="1270" b="1143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05B8D942" w14:textId="77777777" w:rsidR="00541A14" w:rsidRDefault="00DD420F">
      <w:pPr>
        <w:pStyle w:val="Default"/>
        <w:pageBreakBefore/>
        <w:framePr w:w="24763" w:wrap="auto" w:vAnchor="page" w:hAnchor="page" w:x="101" w:y="1"/>
        <w:spacing w:after="860"/>
        <w:rPr>
          <w:rFonts w:ascii="Palatino" w:hAnsi="Palatino" w:cs="Palatino"/>
          <w:color w:val="auto"/>
          <w:sz w:val="20"/>
          <w:szCs w:val="20"/>
        </w:rPr>
      </w:pPr>
      <w:r>
        <w:rPr>
          <w:rFonts w:ascii="Palatino" w:hAnsi="Palatino" w:cs="Palatino"/>
          <w:noProof/>
          <w:color w:val="auto"/>
          <w:sz w:val="20"/>
          <w:szCs w:val="20"/>
        </w:rPr>
        <w:drawing>
          <wp:inline distT="0" distB="0" distL="0" distR="0" wp14:anchorId="6DCC75F0" wp14:editId="57D561AF">
            <wp:extent cx="7553960" cy="115316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1F737E5D" w14:textId="77777777" w:rsidR="00541A14" w:rsidRDefault="00A450E1">
      <w:pPr>
        <w:pStyle w:val="CM165"/>
        <w:spacing w:after="85"/>
        <w:ind w:left="382"/>
        <w:rPr>
          <w:rFonts w:ascii="Palatino" w:hAnsi="Palatino" w:cs="Palatino"/>
          <w:sz w:val="20"/>
          <w:szCs w:val="20"/>
        </w:rPr>
      </w:pPr>
      <w:r>
        <w:rPr>
          <w:rFonts w:ascii="Palatino" w:hAnsi="Palatino" w:cs="Palatino"/>
          <w:b/>
          <w:bCs/>
          <w:sz w:val="20"/>
          <w:szCs w:val="20"/>
        </w:rPr>
        <w:t xml:space="preserve">Refer to IAlA publications: </w:t>
      </w:r>
    </w:p>
    <w:p w14:paraId="2CC370E8" w14:textId="77777777" w:rsidR="00541A14" w:rsidRDefault="009E3F25">
      <w:pPr>
        <w:pStyle w:val="CM165"/>
        <w:spacing w:after="85"/>
        <w:ind w:left="382"/>
        <w:rPr>
          <w:rFonts w:ascii="Palatino" w:hAnsi="Palatino" w:cs="Palatino"/>
          <w:sz w:val="20"/>
          <w:szCs w:val="20"/>
        </w:rPr>
      </w:pPr>
      <w:hyperlink r:id="rId140" w:history="1">
        <w:r w:rsidR="00A450E1">
          <w:rPr>
            <w:rFonts w:ascii="Palatino" w:hAnsi="Palatino" w:cs="Palatino"/>
            <w:i/>
            <w:iCs/>
            <w:sz w:val="20"/>
            <w:szCs w:val="20"/>
          </w:rPr>
          <w:t xml:space="preserve">Recommendation E-112 for leading lights (including Microsoft Excel program); </w:t>
        </w:r>
      </w:hyperlink>
    </w:p>
    <w:p w14:paraId="60CF33D2" w14:textId="77777777" w:rsidR="00541A14" w:rsidRDefault="009E3F25">
      <w:pPr>
        <w:pStyle w:val="CM175"/>
        <w:spacing w:after="267"/>
        <w:ind w:left="382"/>
        <w:rPr>
          <w:rFonts w:ascii="Palatino" w:hAnsi="Palatino" w:cs="Palatino"/>
          <w:sz w:val="20"/>
          <w:szCs w:val="20"/>
        </w:rPr>
      </w:pPr>
      <w:hyperlink r:id="rId141" w:history="1">
        <w:r w:rsidR="00A450E1">
          <w:rPr>
            <w:rFonts w:ascii="Palatino" w:hAnsi="Palatino" w:cs="Palatino"/>
            <w:i/>
            <w:iCs/>
            <w:sz w:val="20"/>
            <w:szCs w:val="20"/>
          </w:rPr>
          <w:t xml:space="preserve">Guideline 1023 for the design of leading lines. </w:t>
        </w:r>
      </w:hyperlink>
    </w:p>
    <w:p w14:paraId="0803DA55" w14:textId="77777777" w:rsidR="00541A14" w:rsidRDefault="00A450E1">
      <w:pPr>
        <w:pStyle w:val="CM165"/>
        <w:spacing w:after="85" w:line="291" w:lineRule="atLeast"/>
        <w:ind w:right="897"/>
        <w:rPr>
          <w:rFonts w:ascii="Palatino" w:hAnsi="Palatino" w:cs="Palatino"/>
          <w:sz w:val="20"/>
          <w:szCs w:val="20"/>
        </w:rPr>
      </w:pPr>
      <w:r>
        <w:rPr>
          <w:rFonts w:ascii="Palatino" w:hAnsi="Palatino" w:cs="Palatino"/>
          <w:sz w:val="20"/>
          <w:szCs w:val="20"/>
        </w:rPr>
        <w:t xml:space="preserve">In situations where glare is a problem, one or more of the following alterations may lead to a satisfactory result: </w:t>
      </w:r>
    </w:p>
    <w:p w14:paraId="16DB9698" w14:textId="77777777" w:rsidR="00541A14" w:rsidRDefault="00A450E1">
      <w:pPr>
        <w:pStyle w:val="CM4"/>
        <w:rPr>
          <w:rFonts w:ascii="Palatino" w:hAnsi="Palatino" w:cs="Palatino"/>
          <w:sz w:val="20"/>
          <w:szCs w:val="20"/>
        </w:rPr>
      </w:pPr>
      <w:r>
        <w:rPr>
          <w:rFonts w:ascii="Palatino" w:hAnsi="Palatino" w:cs="Palatino"/>
          <w:sz w:val="20"/>
          <w:szCs w:val="20"/>
        </w:rPr>
        <w:t xml:space="preserve">• Raise the focal plane of the light so that the mariner uses the loom of the light or a less intense </w:t>
      </w:r>
    </w:p>
    <w:p w14:paraId="012D030A" w14:textId="77777777" w:rsidR="00541A14" w:rsidRDefault="00A450E1">
      <w:pPr>
        <w:pStyle w:val="CM165"/>
        <w:spacing w:after="85" w:line="293" w:lineRule="atLeast"/>
        <w:ind w:left="300"/>
        <w:rPr>
          <w:rFonts w:ascii="Palatino" w:hAnsi="Palatino" w:cs="Palatino"/>
          <w:sz w:val="20"/>
          <w:szCs w:val="20"/>
        </w:rPr>
      </w:pPr>
      <w:r>
        <w:rPr>
          <w:rFonts w:ascii="Palatino" w:hAnsi="Palatino" w:cs="Palatino"/>
          <w:sz w:val="20"/>
          <w:szCs w:val="20"/>
        </w:rPr>
        <w:t xml:space="preserve">part of the vertical distribution of the light. </w:t>
      </w:r>
    </w:p>
    <w:p w14:paraId="36DA447D" w14:textId="77777777" w:rsidR="00541A14" w:rsidRDefault="00A450E1">
      <w:pPr>
        <w:pStyle w:val="CM4"/>
        <w:rPr>
          <w:rFonts w:ascii="Palatino" w:hAnsi="Palatino" w:cs="Palatino"/>
          <w:sz w:val="20"/>
          <w:szCs w:val="20"/>
        </w:rPr>
      </w:pPr>
      <w:r>
        <w:rPr>
          <w:rFonts w:ascii="Palatino" w:hAnsi="Palatino" w:cs="Palatino"/>
          <w:sz w:val="20"/>
          <w:szCs w:val="20"/>
        </w:rPr>
        <w:t xml:space="preserve">• Reduce the intensity of the light by: </w:t>
      </w:r>
    </w:p>
    <w:p w14:paraId="6E824F8B" w14:textId="77777777" w:rsidR="00541A14" w:rsidRDefault="00A450E1">
      <w:pPr>
        <w:pStyle w:val="Default"/>
        <w:numPr>
          <w:ilvl w:val="0"/>
          <w:numId w:val="76"/>
        </w:numPr>
        <w:rPr>
          <w:rFonts w:ascii="Palatino" w:hAnsi="Palatino" w:cs="Palatino"/>
          <w:color w:val="auto"/>
          <w:sz w:val="20"/>
          <w:szCs w:val="20"/>
        </w:rPr>
      </w:pPr>
      <w:r>
        <w:rPr>
          <w:rFonts w:ascii="Palatino" w:hAnsi="Palatino" w:cs="Palatino"/>
          <w:color w:val="auto"/>
          <w:sz w:val="20"/>
          <w:szCs w:val="20"/>
        </w:rPr>
        <w:t xml:space="preserve">Reducing the illuminance of the light source. </w:t>
      </w:r>
    </w:p>
    <w:p w14:paraId="18326E86" w14:textId="77777777" w:rsidR="00541A14" w:rsidRDefault="00A450E1">
      <w:pPr>
        <w:pStyle w:val="Default"/>
        <w:numPr>
          <w:ilvl w:val="0"/>
          <w:numId w:val="76"/>
        </w:numPr>
        <w:rPr>
          <w:rFonts w:ascii="Palatino" w:hAnsi="Palatino" w:cs="Palatino"/>
          <w:color w:val="auto"/>
          <w:sz w:val="20"/>
          <w:szCs w:val="20"/>
        </w:rPr>
      </w:pPr>
      <w:r>
        <w:rPr>
          <w:rFonts w:ascii="Palatino" w:hAnsi="Palatino" w:cs="Palatino"/>
          <w:color w:val="auto"/>
          <w:sz w:val="20"/>
          <w:szCs w:val="20"/>
        </w:rPr>
        <w:t xml:space="preserve">Reducing the size of the optic. </w:t>
      </w:r>
    </w:p>
    <w:p w14:paraId="61C6DB3A" w14:textId="77777777" w:rsidR="00541A14" w:rsidRDefault="00A450E1">
      <w:pPr>
        <w:pStyle w:val="Default"/>
        <w:numPr>
          <w:ilvl w:val="0"/>
          <w:numId w:val="76"/>
        </w:numPr>
        <w:rPr>
          <w:rFonts w:ascii="Palatino" w:hAnsi="Palatino" w:cs="Palatino"/>
          <w:color w:val="auto"/>
          <w:sz w:val="20"/>
          <w:szCs w:val="20"/>
        </w:rPr>
      </w:pPr>
      <w:r>
        <w:rPr>
          <w:rFonts w:ascii="Palatino" w:hAnsi="Palatino" w:cs="Palatino"/>
          <w:color w:val="auto"/>
          <w:sz w:val="20"/>
          <w:szCs w:val="20"/>
        </w:rPr>
        <w:t xml:space="preserve">Masking the optic with, for example, perforated metal sheet. </w:t>
      </w:r>
    </w:p>
    <w:p w14:paraId="24D52407" w14:textId="77777777" w:rsidR="00541A14" w:rsidRDefault="00A450E1">
      <w:pPr>
        <w:pStyle w:val="Default"/>
        <w:numPr>
          <w:ilvl w:val="0"/>
          <w:numId w:val="76"/>
        </w:numPr>
        <w:rPr>
          <w:rFonts w:ascii="Palatino" w:hAnsi="Palatino" w:cs="Palatino"/>
          <w:color w:val="auto"/>
          <w:sz w:val="20"/>
          <w:szCs w:val="20"/>
        </w:rPr>
      </w:pPr>
      <w:r>
        <w:rPr>
          <w:rFonts w:ascii="Palatino" w:hAnsi="Palatino" w:cs="Palatino"/>
          <w:color w:val="auto"/>
          <w:sz w:val="20"/>
          <w:szCs w:val="20"/>
        </w:rPr>
        <w:t xml:space="preserve">Screen unnecessary arcs of the light. </w:t>
      </w:r>
    </w:p>
    <w:p w14:paraId="1FD3DFDC" w14:textId="77777777" w:rsidR="00541A14" w:rsidRDefault="00A450E1">
      <w:pPr>
        <w:pStyle w:val="Default"/>
        <w:numPr>
          <w:ilvl w:val="0"/>
          <w:numId w:val="76"/>
        </w:numPr>
        <w:rPr>
          <w:rFonts w:ascii="Palatino" w:hAnsi="Palatino" w:cs="Palatino"/>
          <w:color w:val="auto"/>
          <w:sz w:val="20"/>
          <w:szCs w:val="20"/>
        </w:rPr>
      </w:pPr>
      <w:r>
        <w:rPr>
          <w:rFonts w:ascii="Palatino" w:hAnsi="Palatino" w:cs="Palatino"/>
          <w:color w:val="auto"/>
          <w:sz w:val="20"/>
          <w:szCs w:val="20"/>
        </w:rPr>
        <w:t xml:space="preserve">Use two or more lower intensity lights instead of one higher intensity light. Whatever methods are used, it will be necessary to measure or calculate the intensity and distribution </w:t>
      </w:r>
    </w:p>
    <w:p w14:paraId="1E3FC10F" w14:textId="77777777" w:rsidR="00541A14" w:rsidRDefault="00541A14">
      <w:pPr>
        <w:pStyle w:val="Default"/>
        <w:rPr>
          <w:rFonts w:ascii="Palatino" w:hAnsi="Palatino" w:cs="Palatino"/>
          <w:color w:val="auto"/>
          <w:sz w:val="20"/>
          <w:szCs w:val="20"/>
        </w:rPr>
      </w:pPr>
    </w:p>
    <w:p w14:paraId="0EDE1087" w14:textId="77777777" w:rsidR="00541A14" w:rsidRDefault="00A450E1">
      <w:pPr>
        <w:pStyle w:val="CM165"/>
        <w:spacing w:after="85" w:line="346" w:lineRule="atLeast"/>
        <w:rPr>
          <w:rFonts w:ascii="Palatino" w:hAnsi="Palatino" w:cs="Palatino"/>
          <w:sz w:val="20"/>
          <w:szCs w:val="20"/>
        </w:rPr>
      </w:pPr>
      <w:r>
        <w:rPr>
          <w:rFonts w:ascii="Palatino" w:hAnsi="Palatino" w:cs="Palatino"/>
          <w:sz w:val="20"/>
          <w:szCs w:val="20"/>
        </w:rPr>
        <w:t xml:space="preserve">of the modified light or lighting system. </w:t>
      </w:r>
    </w:p>
    <w:p w14:paraId="782CC7BB" w14:textId="77777777" w:rsidR="00541A14" w:rsidRDefault="00A450E1">
      <w:pPr>
        <w:pStyle w:val="CM165"/>
        <w:spacing w:after="85" w:line="346" w:lineRule="atLeast"/>
        <w:rPr>
          <w:rFonts w:ascii="Palatino" w:hAnsi="Palatino" w:cs="Palatino"/>
          <w:sz w:val="20"/>
          <w:szCs w:val="20"/>
        </w:rPr>
      </w:pPr>
      <w:r>
        <w:rPr>
          <w:rFonts w:ascii="Palatino" w:hAnsi="Palatino" w:cs="Palatino"/>
          <w:b/>
          <w:bCs/>
          <w:sz w:val="20"/>
          <w:szCs w:val="20"/>
        </w:rPr>
        <w:t xml:space="preserve">Intensity losses </w:t>
      </w:r>
    </w:p>
    <w:p w14:paraId="68F75614" w14:textId="77777777" w:rsidR="00541A14" w:rsidRDefault="00A450E1">
      <w:pPr>
        <w:pStyle w:val="CM24"/>
        <w:ind w:right="507"/>
        <w:rPr>
          <w:rFonts w:ascii="Palatino" w:hAnsi="Palatino" w:cs="Palatino"/>
          <w:sz w:val="20"/>
          <w:szCs w:val="20"/>
        </w:rPr>
      </w:pPr>
      <w:r>
        <w:rPr>
          <w:rFonts w:ascii="Palatino" w:hAnsi="Palatino" w:cs="Palatino"/>
          <w:sz w:val="20"/>
          <w:szCs w:val="20"/>
        </w:rPr>
        <w:t xml:space="preserve">Some lighting equipment has to be installed inside a protective lantern housing. Unless it is practicable to measure the luminous intensity of the complete installation, it is normal practice to </w:t>
      </w:r>
    </w:p>
    <w:p w14:paraId="73AE34EC" w14:textId="77777777" w:rsidR="00541A14" w:rsidRDefault="00A450E1">
      <w:pPr>
        <w:pStyle w:val="CM4"/>
        <w:rPr>
          <w:rFonts w:ascii="Palatino" w:hAnsi="Palatino" w:cs="Palatino"/>
          <w:sz w:val="20"/>
          <w:szCs w:val="20"/>
        </w:rPr>
      </w:pPr>
      <w:r>
        <w:rPr>
          <w:rFonts w:ascii="Palatino" w:hAnsi="Palatino" w:cs="Palatino"/>
          <w:sz w:val="20"/>
          <w:szCs w:val="20"/>
        </w:rPr>
        <w:t xml:space="preserve">apply a de-rating factor to the intensity of the lighting equipment to allow for the reflection and </w:t>
      </w:r>
    </w:p>
    <w:p w14:paraId="7D314501"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transmission losses at the lantern glazing, generally referred to as the </w:t>
      </w:r>
      <w:r>
        <w:rPr>
          <w:rFonts w:ascii="Palatino" w:hAnsi="Palatino" w:cs="Palatino"/>
          <w:b/>
          <w:bCs/>
          <w:sz w:val="20"/>
          <w:szCs w:val="20"/>
        </w:rPr>
        <w:t>glazing loss factor.</w:t>
      </w:r>
      <w:r>
        <w:rPr>
          <w:rFonts w:ascii="Palatino" w:hAnsi="Palatino" w:cs="Palatino"/>
          <w:sz w:val="20"/>
          <w:szCs w:val="20"/>
        </w:rPr>
        <w:t xml:space="preserve"> Glazing bars or astragals may reduce the intensity of the light at certain bearings. The installation of non-vertical astragals will overcome this reduction to a certain extent. The focal plane of the light should be positioned away from any horizontal glazing bars or intersection. </w:t>
      </w:r>
    </w:p>
    <w:p w14:paraId="6631408E" w14:textId="77777777" w:rsidR="00541A14" w:rsidRDefault="00A450E1">
      <w:pPr>
        <w:pStyle w:val="CM4"/>
        <w:rPr>
          <w:rFonts w:ascii="Palatino" w:hAnsi="Palatino" w:cs="Palatino"/>
          <w:sz w:val="20"/>
          <w:szCs w:val="20"/>
        </w:rPr>
      </w:pPr>
      <w:r>
        <w:rPr>
          <w:rFonts w:ascii="Palatino" w:hAnsi="Palatino" w:cs="Palatino"/>
          <w:sz w:val="20"/>
          <w:szCs w:val="20"/>
        </w:rPr>
        <w:t xml:space="preserve">IALA recommends that, in the absence of more definitive information, the glazing loss factor be taken </w:t>
      </w:r>
    </w:p>
    <w:p w14:paraId="0A8677E8" w14:textId="77777777" w:rsidR="00541A14" w:rsidRDefault="00A450E1">
      <w:pPr>
        <w:pStyle w:val="CM172"/>
        <w:spacing w:after="202" w:line="291" w:lineRule="atLeast"/>
        <w:rPr>
          <w:rFonts w:ascii="Palatino" w:hAnsi="Palatino" w:cs="Palatino"/>
          <w:sz w:val="20"/>
          <w:szCs w:val="20"/>
        </w:rPr>
      </w:pPr>
      <w:r>
        <w:rPr>
          <w:rFonts w:ascii="Palatino" w:hAnsi="Palatino" w:cs="Palatino"/>
          <w:sz w:val="20"/>
          <w:szCs w:val="20"/>
        </w:rPr>
        <w:t xml:space="preserve">as 0.85 for a system in clean condition. </w:t>
      </w:r>
    </w:p>
    <w:p w14:paraId="63B2BD78" w14:textId="77777777" w:rsidR="00541A14" w:rsidRDefault="00A450E1">
      <w:pPr>
        <w:pStyle w:val="CM165"/>
        <w:spacing w:after="85" w:line="291" w:lineRule="atLeast"/>
        <w:rPr>
          <w:rFonts w:ascii="Palatino" w:hAnsi="Palatino" w:cs="Palatino"/>
          <w:sz w:val="20"/>
          <w:szCs w:val="20"/>
        </w:rPr>
      </w:pPr>
      <w:r>
        <w:rPr>
          <w:rFonts w:ascii="Palatino" w:hAnsi="Palatino" w:cs="Palatino"/>
          <w:b/>
          <w:bCs/>
          <w:sz w:val="20"/>
          <w:szCs w:val="20"/>
        </w:rPr>
        <w:t xml:space="preserve">service Conditions Factor </w:t>
      </w:r>
    </w:p>
    <w:p w14:paraId="5B1B9BA7" w14:textId="77777777" w:rsidR="00541A14" w:rsidRDefault="00A450E1">
      <w:pPr>
        <w:pStyle w:val="CM165"/>
        <w:spacing w:after="85" w:line="298" w:lineRule="atLeast"/>
        <w:ind w:right="507"/>
        <w:rPr>
          <w:rFonts w:ascii="Palatino" w:hAnsi="Palatino" w:cs="Palatino"/>
          <w:sz w:val="20"/>
          <w:szCs w:val="20"/>
        </w:rPr>
      </w:pPr>
      <w:r>
        <w:rPr>
          <w:rFonts w:ascii="Palatino" w:hAnsi="Palatino" w:cs="Palatino"/>
          <w:sz w:val="20"/>
          <w:szCs w:val="20"/>
        </w:rPr>
        <w:t xml:space="preserve">Under normal operating conditions the luminous intensity of a light is likely to degrade between service (maintenance) intervals. There are several components to this degradation: </w:t>
      </w:r>
    </w:p>
    <w:p w14:paraId="4D2F478F" w14:textId="77777777" w:rsidR="00541A14" w:rsidRDefault="00A450E1">
      <w:pPr>
        <w:pStyle w:val="Default"/>
        <w:numPr>
          <w:ilvl w:val="0"/>
          <w:numId w:val="77"/>
        </w:numPr>
        <w:spacing w:after="32"/>
        <w:rPr>
          <w:rFonts w:ascii="Palatino" w:hAnsi="Palatino" w:cs="Palatino"/>
          <w:color w:val="auto"/>
          <w:sz w:val="20"/>
          <w:szCs w:val="20"/>
        </w:rPr>
      </w:pPr>
      <w:r>
        <w:rPr>
          <w:rFonts w:ascii="Palatino" w:hAnsi="Palatino" w:cs="Palatino"/>
          <w:color w:val="auto"/>
          <w:sz w:val="20"/>
          <w:szCs w:val="20"/>
        </w:rPr>
        <w:t xml:space="preserve">meteorological conditions (which may only be temporary); </w:t>
      </w:r>
    </w:p>
    <w:p w14:paraId="29D91663" w14:textId="77777777" w:rsidR="00541A14" w:rsidRDefault="00A450E1">
      <w:pPr>
        <w:pStyle w:val="Default"/>
        <w:numPr>
          <w:ilvl w:val="0"/>
          <w:numId w:val="77"/>
        </w:numPr>
        <w:rPr>
          <w:rFonts w:ascii="Palatino" w:hAnsi="Palatino" w:cs="Palatino"/>
          <w:color w:val="auto"/>
          <w:sz w:val="20"/>
          <w:szCs w:val="20"/>
        </w:rPr>
      </w:pPr>
      <w:r>
        <w:rPr>
          <w:rFonts w:ascii="Palatino" w:hAnsi="Palatino" w:cs="Palatino"/>
          <w:color w:val="auto"/>
          <w:sz w:val="20"/>
          <w:szCs w:val="20"/>
        </w:rPr>
        <w:t xml:space="preserve">dirt and salt deposition (which can be minimised by an efficient regular programme of cleaning </w:t>
      </w:r>
    </w:p>
    <w:p w14:paraId="083C9ADA" w14:textId="77777777" w:rsidR="00541A14" w:rsidRDefault="00541A14">
      <w:pPr>
        <w:pStyle w:val="Default"/>
        <w:rPr>
          <w:rFonts w:ascii="Palatino" w:hAnsi="Palatino" w:cs="Palatino"/>
          <w:color w:val="auto"/>
          <w:sz w:val="20"/>
          <w:szCs w:val="20"/>
        </w:rPr>
      </w:pPr>
    </w:p>
    <w:p w14:paraId="180D4A3B" w14:textId="77777777" w:rsidR="00541A14" w:rsidRDefault="00A450E1">
      <w:pPr>
        <w:pStyle w:val="CM165"/>
        <w:spacing w:after="85" w:line="293" w:lineRule="atLeast"/>
        <w:ind w:left="300"/>
        <w:rPr>
          <w:rFonts w:ascii="Palatino" w:hAnsi="Palatino" w:cs="Palatino"/>
          <w:sz w:val="20"/>
          <w:szCs w:val="20"/>
        </w:rPr>
      </w:pPr>
      <w:r>
        <w:rPr>
          <w:rFonts w:ascii="Palatino" w:hAnsi="Palatino" w:cs="Palatino"/>
          <w:sz w:val="20"/>
          <w:szCs w:val="20"/>
        </w:rPr>
        <w:t xml:space="preserve">of the optical system and housing), and; </w:t>
      </w:r>
    </w:p>
    <w:p w14:paraId="50E57347"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 progressive deterioration of the light source over the service interval. </w:t>
      </w:r>
    </w:p>
    <w:p w14:paraId="0D844D54" w14:textId="77777777" w:rsidR="00541A14" w:rsidRDefault="00A450E1">
      <w:pPr>
        <w:pStyle w:val="CM3"/>
        <w:ind w:right="402"/>
        <w:rPr>
          <w:rFonts w:ascii="Palatino" w:hAnsi="Palatino" w:cs="Palatino"/>
          <w:sz w:val="20"/>
          <w:szCs w:val="20"/>
        </w:rPr>
      </w:pPr>
      <w:r>
        <w:rPr>
          <w:rFonts w:ascii="Palatino" w:hAnsi="Palatino" w:cs="Palatino"/>
          <w:sz w:val="20"/>
          <w:szCs w:val="20"/>
        </w:rPr>
        <w:t xml:space="preserve">It is clearly impossible to represent such a complex array of factors in any simple way, and a proper assessment of the various effects could only be made by measurements on site at regular intervals. </w:t>
      </w:r>
    </w:p>
    <w:p w14:paraId="27973D86" w14:textId="77777777" w:rsidR="00541A14" w:rsidRDefault="00A450E1">
      <w:pPr>
        <w:pStyle w:val="CM4"/>
        <w:rPr>
          <w:rFonts w:ascii="Palatino" w:hAnsi="Palatino" w:cs="Palatino"/>
          <w:sz w:val="20"/>
          <w:szCs w:val="20"/>
        </w:rPr>
      </w:pPr>
      <w:r>
        <w:rPr>
          <w:rFonts w:ascii="Palatino" w:hAnsi="Palatino" w:cs="Palatino"/>
          <w:sz w:val="20"/>
          <w:szCs w:val="20"/>
        </w:rPr>
        <w:t xml:space="preserve">However, in order to give a more realistic figure for the performance of the light under normal </w:t>
      </w:r>
    </w:p>
    <w:p w14:paraId="70200562" w14:textId="77777777" w:rsidR="00541A14" w:rsidRDefault="00A450E1">
      <w:pPr>
        <w:pStyle w:val="CM162"/>
        <w:spacing w:after="552" w:line="291" w:lineRule="atLeast"/>
        <w:rPr>
          <w:rFonts w:ascii="Palatino" w:hAnsi="Palatino" w:cs="Palatino"/>
          <w:sz w:val="20"/>
          <w:szCs w:val="20"/>
        </w:rPr>
      </w:pPr>
      <w:r>
        <w:rPr>
          <w:rFonts w:ascii="Palatino" w:hAnsi="Palatino" w:cs="Palatino"/>
          <w:sz w:val="20"/>
          <w:szCs w:val="20"/>
        </w:rPr>
        <w:t xml:space="preserve">operating conditions than when the luminous intensity is measured in a laboratory or on a photometric range, it may be appropriate to apply a service conditions factor to the measured intensity. </w:t>
      </w:r>
    </w:p>
    <w:p w14:paraId="177B7A4A" w14:textId="77777777" w:rsidR="00541A14" w:rsidRDefault="00DD420F">
      <w:pPr>
        <w:pStyle w:val="Default"/>
        <w:framePr w:w="10730" w:wrap="auto" w:vAnchor="page" w:hAnchor="page" w:x="608" w:y="16278"/>
        <w:rPr>
          <w:rFonts w:ascii="Palatino" w:hAnsi="Palatino" w:cs="Palatino"/>
          <w:color w:val="auto"/>
          <w:sz w:val="20"/>
          <w:szCs w:val="20"/>
        </w:rPr>
      </w:pPr>
      <w:r>
        <w:rPr>
          <w:rFonts w:ascii="Palatino" w:hAnsi="Palatino" w:cs="Palatino"/>
          <w:noProof/>
          <w:color w:val="auto"/>
          <w:sz w:val="20"/>
          <w:szCs w:val="20"/>
        </w:rPr>
        <w:drawing>
          <wp:inline distT="0" distB="0" distL="0" distR="0" wp14:anchorId="30116D30" wp14:editId="27969285">
            <wp:extent cx="7553960" cy="420370"/>
            <wp:effectExtent l="0" t="0" r="0" b="1143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770F1BC2" w14:textId="77777777" w:rsidR="00541A14" w:rsidRDefault="00DD420F">
      <w:pPr>
        <w:pStyle w:val="Default"/>
        <w:pageBreakBefore/>
        <w:framePr w:w="12857" w:wrap="auto" w:vAnchor="page" w:hAnchor="page" w:x="101" w:y="1"/>
        <w:spacing w:after="640"/>
        <w:rPr>
          <w:rFonts w:ascii="Palatino" w:hAnsi="Palatino" w:cs="Palatino"/>
          <w:color w:val="auto"/>
          <w:sz w:val="20"/>
          <w:szCs w:val="20"/>
        </w:rPr>
      </w:pPr>
      <w:r>
        <w:rPr>
          <w:rFonts w:ascii="Palatino" w:hAnsi="Palatino" w:cs="Palatino"/>
          <w:noProof/>
          <w:color w:val="auto"/>
          <w:sz w:val="20"/>
          <w:szCs w:val="20"/>
        </w:rPr>
        <w:drawing>
          <wp:inline distT="0" distB="0" distL="0" distR="0" wp14:anchorId="567FC81D" wp14:editId="7F2CEB87">
            <wp:extent cx="7553960" cy="115316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19A8C822" w14:textId="77777777" w:rsidR="00541A14" w:rsidRDefault="00A450E1">
      <w:pPr>
        <w:pStyle w:val="CM165"/>
        <w:spacing w:after="85" w:line="296"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Day Operations </w:t>
      </w:r>
    </w:p>
    <w:p w14:paraId="7B126E21" w14:textId="77777777" w:rsidR="00541A14" w:rsidRDefault="00A450E1">
      <w:pPr>
        <w:pStyle w:val="CM165"/>
        <w:spacing w:after="85" w:line="300" w:lineRule="atLeast"/>
        <w:ind w:right="1002"/>
        <w:jc w:val="both"/>
        <w:rPr>
          <w:rFonts w:ascii="Palatino" w:hAnsi="Palatino" w:cs="Palatino"/>
          <w:color w:val="000000"/>
          <w:sz w:val="20"/>
          <w:szCs w:val="20"/>
        </w:rPr>
      </w:pPr>
      <w:r>
        <w:rPr>
          <w:rFonts w:ascii="Palatino" w:hAnsi="Palatino" w:cs="Palatino"/>
          <w:color w:val="000000"/>
          <w:sz w:val="20"/>
          <w:szCs w:val="20"/>
        </w:rPr>
        <w:t xml:space="preserve">A number of authorities have established daytime lighted leading lines in major ports and waterways to achieve a more consistent performance than is possible with dayboards.  </w:t>
      </w:r>
    </w:p>
    <w:p w14:paraId="0D17E785" w14:textId="77777777" w:rsidR="00541A14" w:rsidRDefault="00A450E1">
      <w:pPr>
        <w:pStyle w:val="CM172"/>
        <w:spacing w:after="202" w:line="296" w:lineRule="atLeast"/>
        <w:jc w:val="both"/>
        <w:rPr>
          <w:rFonts w:ascii="Palatino" w:hAnsi="Palatino" w:cs="Palatino"/>
          <w:color w:val="000000"/>
          <w:sz w:val="20"/>
          <w:szCs w:val="20"/>
        </w:rPr>
      </w:pPr>
      <w:r>
        <w:rPr>
          <w:rFonts w:ascii="Palatino" w:hAnsi="Palatino" w:cs="Palatino"/>
          <w:b/>
          <w:bCs/>
          <w:color w:val="000000"/>
          <w:sz w:val="20"/>
          <w:szCs w:val="20"/>
        </w:rPr>
        <w:t xml:space="preserve">Nominal Daytime Range and luminous Intensity </w:t>
      </w:r>
    </w:p>
    <w:p w14:paraId="691992C9" w14:textId="77777777" w:rsidR="00541A14" w:rsidRDefault="00A450E1">
      <w:pPr>
        <w:pStyle w:val="CM84"/>
        <w:ind w:left="197"/>
        <w:jc w:val="both"/>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15210F13" w14:textId="77777777" w:rsidR="00541A14" w:rsidRDefault="009E3F25">
      <w:pPr>
        <w:pStyle w:val="CM169"/>
        <w:spacing w:after="65" w:line="300" w:lineRule="atLeast"/>
        <w:ind w:left="197"/>
        <w:jc w:val="both"/>
        <w:rPr>
          <w:rFonts w:ascii="Palatino" w:hAnsi="Palatino" w:cs="Palatino"/>
          <w:color w:val="000000"/>
          <w:sz w:val="20"/>
          <w:szCs w:val="20"/>
        </w:rPr>
      </w:pPr>
      <w:hyperlink r:id="rId143" w:history="1">
        <w:r w:rsidR="00A450E1">
          <w:rPr>
            <w:rFonts w:ascii="Palatino" w:hAnsi="Palatino" w:cs="Palatino"/>
            <w:i/>
            <w:iCs/>
            <w:color w:val="000000"/>
            <w:sz w:val="20"/>
            <w:szCs w:val="20"/>
          </w:rPr>
          <w:t xml:space="preserve">Recommendation E200-2 on Marine Signal Lights - Part 2 - Calculation, definition and notation of </w:t>
        </w:r>
      </w:hyperlink>
    </w:p>
    <w:p w14:paraId="304C0E84" w14:textId="77777777" w:rsidR="00541A14" w:rsidRDefault="009E3F25">
      <w:pPr>
        <w:pStyle w:val="CM165"/>
        <w:spacing w:after="85" w:line="300" w:lineRule="atLeast"/>
        <w:ind w:left="197"/>
        <w:jc w:val="both"/>
        <w:rPr>
          <w:rFonts w:ascii="Palatino" w:hAnsi="Palatino" w:cs="Palatino"/>
          <w:color w:val="000000"/>
          <w:sz w:val="20"/>
          <w:szCs w:val="20"/>
        </w:rPr>
      </w:pPr>
      <w:hyperlink r:id="rId144" w:history="1">
        <w:r w:rsidR="00A450E1">
          <w:rPr>
            <w:rFonts w:ascii="Palatino" w:hAnsi="Palatino" w:cs="Palatino"/>
            <w:i/>
            <w:iCs/>
            <w:color w:val="000000"/>
            <w:sz w:val="20"/>
            <w:szCs w:val="20"/>
          </w:rPr>
          <w:t xml:space="preserve">luminous range. </w:t>
        </w:r>
      </w:hyperlink>
    </w:p>
    <w:p w14:paraId="70D5A3C9" w14:textId="77777777" w:rsidR="00541A14" w:rsidRDefault="009E3F25">
      <w:pPr>
        <w:pStyle w:val="CM172"/>
        <w:spacing w:after="202" w:line="300" w:lineRule="atLeast"/>
        <w:ind w:left="197"/>
        <w:jc w:val="both"/>
        <w:rPr>
          <w:rFonts w:ascii="Palatino" w:hAnsi="Palatino" w:cs="Palatino"/>
          <w:color w:val="000000"/>
          <w:sz w:val="20"/>
          <w:szCs w:val="20"/>
        </w:rPr>
      </w:pPr>
      <w:hyperlink r:id="rId145" w:history="1">
        <w:r w:rsidR="00A450E1">
          <w:rPr>
            <w:rFonts w:ascii="Palatino" w:hAnsi="Palatino" w:cs="Palatino"/>
            <w:i/>
            <w:iCs/>
            <w:color w:val="000000"/>
            <w:sz w:val="20"/>
            <w:szCs w:val="20"/>
          </w:rPr>
          <w:t xml:space="preserve">Recommendation E-111 on Port Traffic Signals. </w:t>
        </w:r>
      </w:hyperlink>
    </w:p>
    <w:p w14:paraId="4EF93AF3" w14:textId="77777777" w:rsidR="00541A14" w:rsidRDefault="00A450E1">
      <w:pPr>
        <w:pStyle w:val="CM172"/>
        <w:spacing w:after="202" w:line="296" w:lineRule="atLeast"/>
        <w:jc w:val="both"/>
        <w:rPr>
          <w:rFonts w:ascii="Palatino" w:hAnsi="Palatino" w:cs="Palatino"/>
          <w:color w:val="000000"/>
          <w:sz w:val="20"/>
          <w:szCs w:val="20"/>
        </w:rPr>
      </w:pPr>
      <w:r>
        <w:rPr>
          <w:rFonts w:ascii="Palatino" w:hAnsi="Palatino" w:cs="Palatino"/>
          <w:color w:val="000000"/>
          <w:sz w:val="20"/>
          <w:szCs w:val="20"/>
        </w:rPr>
        <w:t xml:space="preserve">Table 12 and Figure 12 provide a conversion between nominal daytime range and luminous intensity. </w:t>
      </w:r>
    </w:p>
    <w:p w14:paraId="4A574987"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74624" behindDoc="0" locked="0" layoutInCell="0" allowOverlap="1" wp14:anchorId="7954A8EE" wp14:editId="3FE19B49">
                <wp:simplePos x="0" y="0"/>
                <wp:positionH relativeFrom="page">
                  <wp:posOffset>1534795</wp:posOffset>
                </wp:positionH>
                <wp:positionV relativeFrom="page">
                  <wp:posOffset>3597275</wp:posOffset>
                </wp:positionV>
                <wp:extent cx="4507865" cy="6489065"/>
                <wp:effectExtent l="0" t="0" r="0" b="0"/>
                <wp:wrapThrough wrapText="bothSides">
                  <wp:wrapPolygon edited="0">
                    <wp:start x="0" y="0"/>
                    <wp:lineTo x="21600" y="0"/>
                    <wp:lineTo x="21600" y="21600"/>
                    <wp:lineTo x="0" y="21600"/>
                    <wp:lineTo x="0" y="0"/>
                  </wp:wrapPolygon>
                </wp:wrapThrough>
                <wp:docPr id="54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7865" cy="648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3D67DC" w14:textId="77777777" w:rsidR="00541A14" w:rsidRDefault="00A450E1">
                            <w:pPr>
                              <w:widowControl w:val="0"/>
                              <w:autoSpaceDE w:val="0"/>
                              <w:autoSpaceDN w:val="0"/>
                              <w:adjustRightInd w:val="0"/>
                              <w:spacing w:after="240" w:line="300" w:lineRule="atLeast"/>
                              <w:jc w:val="both"/>
                              <w:rPr>
                                <w:rFonts w:ascii="Palatino" w:hAnsi="Palatino" w:cs="Palatino"/>
                                <w:color w:val="000000"/>
                              </w:rPr>
                            </w:pPr>
                            <w:r>
                              <w:rPr>
                                <w:rFonts w:ascii="Palatino" w:hAnsi="Palatino" w:cs="Palatino"/>
                                <w:b/>
                                <w:bCs/>
                                <w:color w:val="000000"/>
                              </w:rPr>
                              <w:t xml:space="preserve">table 12 – IAlA conversion table for luminous Intensity and Nominal Daytime Range </w:t>
                            </w:r>
                          </w:p>
                          <w:tbl>
                            <w:tblPr>
                              <w:tblW w:w="0" w:type="auto"/>
                              <w:tblBorders>
                                <w:top w:val="nil"/>
                                <w:left w:val="nil"/>
                                <w:bottom w:val="nil"/>
                                <w:right w:val="nil"/>
                              </w:tblBorders>
                              <w:tblLayout w:type="fixed"/>
                              <w:tblLook w:val="0000" w:firstRow="0" w:lastRow="0" w:firstColumn="0" w:lastColumn="0" w:noHBand="0" w:noVBand="0"/>
                            </w:tblPr>
                            <w:tblGrid>
                              <w:gridCol w:w="1525"/>
                              <w:gridCol w:w="1512"/>
                              <w:gridCol w:w="1750"/>
                              <w:gridCol w:w="1512"/>
                            </w:tblGrid>
                            <w:tr w:rsidR="00541A14" w14:paraId="28AEAAB1" w14:textId="77777777">
                              <w:trPr>
                                <w:trHeight w:val="540"/>
                              </w:trPr>
                              <w:tc>
                                <w:tcPr>
                                  <w:tcW w:w="1525" w:type="dxa"/>
                                  <w:tcBorders>
                                    <w:top w:val="single" w:sz="4" w:space="0" w:color="0E0F1B"/>
                                    <w:left w:val="single" w:sz="4" w:space="0" w:color="010103"/>
                                    <w:right w:val="single" w:sz="4" w:space="0" w:color="030407"/>
                                  </w:tcBorders>
                                  <w:shd w:val="clear" w:color="auto" w:fill="5E64A8"/>
                                  <w:vAlign w:val="center"/>
                                </w:tcPr>
                                <w:p w14:paraId="4BC621B6"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Luminous intensity kilocandelas (103 cd) </w:t>
                                  </w:r>
                                </w:p>
                              </w:tc>
                              <w:tc>
                                <w:tcPr>
                                  <w:tcW w:w="1512" w:type="dxa"/>
                                  <w:tcBorders>
                                    <w:top w:val="single" w:sz="4" w:space="0" w:color="0E0F1B"/>
                                    <w:left w:val="single" w:sz="4" w:space="0" w:color="030407"/>
                                    <w:right w:val="single" w:sz="4" w:space="0" w:color="030407"/>
                                  </w:tcBorders>
                                  <w:shd w:val="clear" w:color="auto" w:fill="5E64A8"/>
                                  <w:vAlign w:val="center"/>
                                </w:tcPr>
                                <w:p w14:paraId="0B082534"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Nominal range (rounded) nautical miles (M) </w:t>
                                  </w:r>
                                </w:p>
                              </w:tc>
                              <w:tc>
                                <w:tcPr>
                                  <w:tcW w:w="1750" w:type="dxa"/>
                                  <w:tcBorders>
                                    <w:top w:val="single" w:sz="4" w:space="0" w:color="0E0F1B"/>
                                    <w:left w:val="single" w:sz="4" w:space="0" w:color="030407"/>
                                    <w:right w:val="single" w:sz="4" w:space="0" w:color="030407"/>
                                  </w:tcBorders>
                                  <w:shd w:val="clear" w:color="auto" w:fill="5E64A8"/>
                                  <w:vAlign w:val="center"/>
                                </w:tcPr>
                                <w:p w14:paraId="5287E673"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Luminous intensity Megacandelas (106 cd) </w:t>
                                  </w:r>
                                </w:p>
                              </w:tc>
                              <w:tc>
                                <w:tcPr>
                                  <w:tcW w:w="1512" w:type="dxa"/>
                                  <w:tcBorders>
                                    <w:top w:val="single" w:sz="4" w:space="0" w:color="0E0F1B"/>
                                    <w:left w:val="single" w:sz="4" w:space="0" w:color="030407"/>
                                    <w:right w:val="single" w:sz="4" w:space="0" w:color="010103"/>
                                  </w:tcBorders>
                                  <w:shd w:val="clear" w:color="auto" w:fill="5E64A8"/>
                                  <w:vAlign w:val="center"/>
                                </w:tcPr>
                                <w:p w14:paraId="42A0AA36"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Nominal range (rounded) nautical miles (M) </w:t>
                                  </w:r>
                                </w:p>
                              </w:tc>
                            </w:tr>
                            <w:tr w:rsidR="00541A14" w14:paraId="6AAB7044" w14:textId="77777777">
                              <w:trPr>
                                <w:trHeight w:val="215"/>
                              </w:trPr>
                              <w:tc>
                                <w:tcPr>
                                  <w:tcW w:w="1525" w:type="dxa"/>
                                  <w:tcBorders>
                                    <w:top w:val="single" w:sz="2" w:space="0" w:color="5E64A8"/>
                                    <w:left w:val="single" w:sz="4" w:space="0" w:color="010103"/>
                                    <w:right w:val="single" w:sz="4" w:space="0" w:color="030407"/>
                                  </w:tcBorders>
                                  <w:shd w:val="clear" w:color="auto" w:fill="E8E7F3"/>
                                  <w:vAlign w:val="center"/>
                                </w:tcPr>
                                <w:p w14:paraId="4FD7104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 – 12.0 </w:t>
                                  </w:r>
                                </w:p>
                              </w:tc>
                              <w:tc>
                                <w:tcPr>
                                  <w:tcW w:w="1512" w:type="dxa"/>
                                  <w:tcBorders>
                                    <w:top w:val="single" w:sz="2" w:space="0" w:color="5E64A8"/>
                                    <w:left w:val="single" w:sz="4" w:space="0" w:color="030407"/>
                                    <w:right w:val="single" w:sz="4" w:space="0" w:color="030407"/>
                                  </w:tcBorders>
                                  <w:shd w:val="clear" w:color="auto" w:fill="E8E7F3"/>
                                  <w:vAlign w:val="center"/>
                                </w:tcPr>
                                <w:p w14:paraId="08996F8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 </w:t>
                                  </w:r>
                                </w:p>
                              </w:tc>
                              <w:tc>
                                <w:tcPr>
                                  <w:tcW w:w="1750" w:type="dxa"/>
                                  <w:tcBorders>
                                    <w:top w:val="single" w:sz="2" w:space="0" w:color="5E64A8"/>
                                    <w:left w:val="single" w:sz="4" w:space="0" w:color="030407"/>
                                    <w:right w:val="single" w:sz="4" w:space="0" w:color="030407"/>
                                  </w:tcBorders>
                                  <w:shd w:val="clear" w:color="auto" w:fill="E8E7F3"/>
                                  <w:vAlign w:val="center"/>
                                </w:tcPr>
                                <w:p w14:paraId="01587D2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1.02 – 1.82 </w:t>
                                  </w:r>
                                </w:p>
                              </w:tc>
                              <w:tc>
                                <w:tcPr>
                                  <w:tcW w:w="1512" w:type="dxa"/>
                                  <w:tcBorders>
                                    <w:top w:val="single" w:sz="2" w:space="0" w:color="5E64A8"/>
                                    <w:left w:val="single" w:sz="4" w:space="0" w:color="030407"/>
                                    <w:right w:val="single" w:sz="4" w:space="0" w:color="010103"/>
                                  </w:tcBorders>
                                  <w:shd w:val="clear" w:color="auto" w:fill="E8E7F3"/>
                                  <w:vAlign w:val="center"/>
                                </w:tcPr>
                                <w:p w14:paraId="3AC6760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 </w:t>
                                  </w:r>
                                </w:p>
                              </w:tc>
                            </w:tr>
                            <w:tr w:rsidR="00541A14" w14:paraId="1CC3FE91" w14:textId="77777777">
                              <w:trPr>
                                <w:trHeight w:val="212"/>
                              </w:trPr>
                              <w:tc>
                                <w:tcPr>
                                  <w:tcW w:w="1525" w:type="dxa"/>
                                  <w:tcBorders>
                                    <w:left w:val="single" w:sz="4" w:space="0" w:color="010103"/>
                                    <w:right w:val="single" w:sz="4" w:space="0" w:color="030407"/>
                                  </w:tcBorders>
                                  <w:vAlign w:val="center"/>
                                </w:tcPr>
                                <w:p w14:paraId="4DFED81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12.1 – 45.3 </w:t>
                                  </w:r>
                                </w:p>
                              </w:tc>
                              <w:tc>
                                <w:tcPr>
                                  <w:tcW w:w="1512" w:type="dxa"/>
                                  <w:tcBorders>
                                    <w:left w:val="single" w:sz="4" w:space="0" w:color="030407"/>
                                    <w:right w:val="single" w:sz="4" w:space="0" w:color="030407"/>
                                  </w:tcBorders>
                                  <w:vAlign w:val="center"/>
                                </w:tcPr>
                                <w:p w14:paraId="44B3C53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 </w:t>
                                  </w:r>
                                </w:p>
                              </w:tc>
                              <w:tc>
                                <w:tcPr>
                                  <w:tcW w:w="1750" w:type="dxa"/>
                                  <w:tcBorders>
                                    <w:left w:val="single" w:sz="4" w:space="0" w:color="030407"/>
                                    <w:right w:val="single" w:sz="4" w:space="0" w:color="030407"/>
                                  </w:tcBorders>
                                  <w:vAlign w:val="center"/>
                                </w:tcPr>
                                <w:p w14:paraId="3FA19BE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1.83 – 3.16 </w:t>
                                  </w:r>
                                </w:p>
                              </w:tc>
                              <w:tc>
                                <w:tcPr>
                                  <w:tcW w:w="1512" w:type="dxa"/>
                                  <w:tcBorders>
                                    <w:left w:val="single" w:sz="4" w:space="0" w:color="030407"/>
                                    <w:right w:val="single" w:sz="4" w:space="0" w:color="010103"/>
                                  </w:tcBorders>
                                  <w:vAlign w:val="center"/>
                                </w:tcPr>
                                <w:p w14:paraId="35E7E83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 </w:t>
                                  </w:r>
                                </w:p>
                              </w:tc>
                            </w:tr>
                            <w:tr w:rsidR="00541A14" w14:paraId="11C3A5DD" w14:textId="77777777">
                              <w:trPr>
                                <w:trHeight w:val="213"/>
                              </w:trPr>
                              <w:tc>
                                <w:tcPr>
                                  <w:tcW w:w="1525" w:type="dxa"/>
                                  <w:tcBorders>
                                    <w:left w:val="single" w:sz="4" w:space="0" w:color="010103"/>
                                    <w:right w:val="single" w:sz="4" w:space="0" w:color="030407"/>
                                  </w:tcBorders>
                                  <w:shd w:val="clear" w:color="auto" w:fill="E8E7F3"/>
                                  <w:vAlign w:val="center"/>
                                </w:tcPr>
                                <w:p w14:paraId="2609B4D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45.4 – 119 </w:t>
                                  </w:r>
                                </w:p>
                              </w:tc>
                              <w:tc>
                                <w:tcPr>
                                  <w:tcW w:w="1512" w:type="dxa"/>
                                  <w:tcBorders>
                                    <w:left w:val="single" w:sz="4" w:space="0" w:color="030407"/>
                                    <w:right w:val="single" w:sz="4" w:space="0" w:color="030407"/>
                                  </w:tcBorders>
                                  <w:shd w:val="clear" w:color="auto" w:fill="E8E7F3"/>
                                  <w:vAlign w:val="center"/>
                                </w:tcPr>
                                <w:p w14:paraId="5D6AECA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 </w:t>
                                  </w:r>
                                </w:p>
                              </w:tc>
                              <w:tc>
                                <w:tcPr>
                                  <w:tcW w:w="1750" w:type="dxa"/>
                                  <w:tcBorders>
                                    <w:left w:val="single" w:sz="4" w:space="0" w:color="030407"/>
                                    <w:right w:val="single" w:sz="4" w:space="0" w:color="030407"/>
                                  </w:tcBorders>
                                  <w:shd w:val="clear" w:color="auto" w:fill="E8E7F3"/>
                                  <w:vAlign w:val="center"/>
                                </w:tcPr>
                                <w:p w14:paraId="6A06838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3.17 – 5.32 </w:t>
                                  </w:r>
                                </w:p>
                              </w:tc>
                              <w:tc>
                                <w:tcPr>
                                  <w:tcW w:w="1512" w:type="dxa"/>
                                  <w:tcBorders>
                                    <w:left w:val="single" w:sz="4" w:space="0" w:color="030407"/>
                                    <w:right w:val="single" w:sz="4" w:space="0" w:color="010103"/>
                                  </w:tcBorders>
                                  <w:shd w:val="clear" w:color="auto" w:fill="E8E7F3"/>
                                  <w:vAlign w:val="center"/>
                                </w:tcPr>
                                <w:p w14:paraId="16F00A3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 </w:t>
                                  </w:r>
                                </w:p>
                              </w:tc>
                            </w:tr>
                            <w:tr w:rsidR="00541A14" w14:paraId="5079A3FF" w14:textId="77777777">
                              <w:trPr>
                                <w:trHeight w:val="212"/>
                              </w:trPr>
                              <w:tc>
                                <w:tcPr>
                                  <w:tcW w:w="1525" w:type="dxa"/>
                                  <w:tcBorders>
                                    <w:left w:val="single" w:sz="4" w:space="0" w:color="010103"/>
                                    <w:right w:val="single" w:sz="4" w:space="0" w:color="030407"/>
                                  </w:tcBorders>
                                  <w:vAlign w:val="center"/>
                                </w:tcPr>
                                <w:p w14:paraId="19BEBB4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120 – 267 </w:t>
                                  </w:r>
                                </w:p>
                              </w:tc>
                              <w:tc>
                                <w:tcPr>
                                  <w:tcW w:w="1512" w:type="dxa"/>
                                  <w:tcBorders>
                                    <w:left w:val="single" w:sz="4" w:space="0" w:color="030407"/>
                                    <w:right w:val="single" w:sz="4" w:space="0" w:color="030407"/>
                                  </w:tcBorders>
                                  <w:vAlign w:val="center"/>
                                </w:tcPr>
                                <w:p w14:paraId="4523117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 </w:t>
                                  </w:r>
                                </w:p>
                              </w:tc>
                              <w:tc>
                                <w:tcPr>
                                  <w:tcW w:w="1750" w:type="dxa"/>
                                  <w:tcBorders>
                                    <w:left w:val="single" w:sz="4" w:space="0" w:color="030407"/>
                                    <w:right w:val="single" w:sz="4" w:space="0" w:color="030407"/>
                                  </w:tcBorders>
                                  <w:vAlign w:val="center"/>
                                </w:tcPr>
                                <w:p w14:paraId="6D6111E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5.33 – 8.78 </w:t>
                                  </w:r>
                                </w:p>
                              </w:tc>
                              <w:tc>
                                <w:tcPr>
                                  <w:tcW w:w="1512" w:type="dxa"/>
                                  <w:tcBorders>
                                    <w:left w:val="single" w:sz="4" w:space="0" w:color="030407"/>
                                    <w:right w:val="single" w:sz="4" w:space="0" w:color="010103"/>
                                  </w:tcBorders>
                                  <w:vAlign w:val="center"/>
                                </w:tcPr>
                                <w:p w14:paraId="3FF90D2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 </w:t>
                                  </w:r>
                                </w:p>
                              </w:tc>
                            </w:tr>
                            <w:tr w:rsidR="00541A14" w14:paraId="5DAC5659" w14:textId="77777777">
                              <w:trPr>
                                <w:trHeight w:val="213"/>
                              </w:trPr>
                              <w:tc>
                                <w:tcPr>
                                  <w:tcW w:w="1525" w:type="dxa"/>
                                  <w:tcBorders>
                                    <w:left w:val="single" w:sz="4" w:space="0" w:color="010103"/>
                                    <w:right w:val="single" w:sz="4" w:space="0" w:color="030407"/>
                                  </w:tcBorders>
                                  <w:shd w:val="clear" w:color="auto" w:fill="E8E7F3"/>
                                  <w:vAlign w:val="center"/>
                                </w:tcPr>
                                <w:p w14:paraId="659554E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268 – 538 </w:t>
                                  </w:r>
                                </w:p>
                              </w:tc>
                              <w:tc>
                                <w:tcPr>
                                  <w:tcW w:w="1512" w:type="dxa"/>
                                  <w:tcBorders>
                                    <w:left w:val="single" w:sz="4" w:space="0" w:color="030407"/>
                                    <w:right w:val="single" w:sz="4" w:space="0" w:color="030407"/>
                                  </w:tcBorders>
                                  <w:shd w:val="clear" w:color="auto" w:fill="E8E7F3"/>
                                  <w:vAlign w:val="center"/>
                                </w:tcPr>
                                <w:p w14:paraId="2CE66DD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 </w:t>
                                  </w:r>
                                </w:p>
                              </w:tc>
                              <w:tc>
                                <w:tcPr>
                                  <w:tcW w:w="1750" w:type="dxa"/>
                                  <w:tcBorders>
                                    <w:left w:val="single" w:sz="4" w:space="0" w:color="030407"/>
                                    <w:right w:val="single" w:sz="4" w:space="0" w:color="030407"/>
                                  </w:tcBorders>
                                  <w:shd w:val="clear" w:color="auto" w:fill="E8E7F3"/>
                                  <w:vAlign w:val="center"/>
                                </w:tcPr>
                                <w:p w14:paraId="1F10C81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8.79 – 14.2 </w:t>
                                  </w:r>
                                </w:p>
                              </w:tc>
                              <w:tc>
                                <w:tcPr>
                                  <w:tcW w:w="1512" w:type="dxa"/>
                                  <w:tcBorders>
                                    <w:left w:val="single" w:sz="4" w:space="0" w:color="030407"/>
                                    <w:right w:val="single" w:sz="4" w:space="0" w:color="010103"/>
                                  </w:tcBorders>
                                  <w:shd w:val="clear" w:color="auto" w:fill="E8E7F3"/>
                                  <w:vAlign w:val="center"/>
                                </w:tcPr>
                                <w:p w14:paraId="61D9054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 </w:t>
                                  </w:r>
                                </w:p>
                              </w:tc>
                            </w:tr>
                            <w:tr w:rsidR="00541A14" w14:paraId="54E0A459" w14:textId="77777777">
                              <w:trPr>
                                <w:trHeight w:val="212"/>
                              </w:trPr>
                              <w:tc>
                                <w:tcPr>
                                  <w:tcW w:w="1525" w:type="dxa"/>
                                  <w:tcBorders>
                                    <w:left w:val="single" w:sz="4" w:space="0" w:color="010103"/>
                                    <w:right w:val="single" w:sz="4" w:space="0" w:color="030407"/>
                                  </w:tcBorders>
                                  <w:vAlign w:val="center"/>
                                </w:tcPr>
                                <w:p w14:paraId="3779813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539 – 1010 </w:t>
                                  </w:r>
                                </w:p>
                              </w:tc>
                              <w:tc>
                                <w:tcPr>
                                  <w:tcW w:w="1512" w:type="dxa"/>
                                  <w:tcBorders>
                                    <w:left w:val="single" w:sz="4" w:space="0" w:color="030407"/>
                                    <w:right w:val="single" w:sz="4" w:space="0" w:color="030407"/>
                                  </w:tcBorders>
                                  <w:vAlign w:val="center"/>
                                </w:tcPr>
                                <w:p w14:paraId="4B5E7EC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6 </w:t>
                                  </w:r>
                                </w:p>
                              </w:tc>
                              <w:tc>
                                <w:tcPr>
                                  <w:tcW w:w="1750" w:type="dxa"/>
                                  <w:tcBorders>
                                    <w:left w:val="single" w:sz="4" w:space="0" w:color="030407"/>
                                    <w:right w:val="single" w:sz="4" w:space="0" w:color="030407"/>
                                  </w:tcBorders>
                                  <w:vAlign w:val="center"/>
                                </w:tcPr>
                                <w:p w14:paraId="033399A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14.3 – 22.6 </w:t>
                                  </w:r>
                                </w:p>
                              </w:tc>
                              <w:tc>
                                <w:tcPr>
                                  <w:tcW w:w="1512" w:type="dxa"/>
                                  <w:tcBorders>
                                    <w:left w:val="single" w:sz="4" w:space="0" w:color="030407"/>
                                    <w:right w:val="single" w:sz="4" w:space="0" w:color="010103"/>
                                  </w:tcBorders>
                                  <w:vAlign w:val="center"/>
                                </w:tcPr>
                                <w:p w14:paraId="6D9A55F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 </w:t>
                                  </w:r>
                                </w:p>
                              </w:tc>
                            </w:tr>
                            <w:tr w:rsidR="00541A14" w14:paraId="0DAE6733" w14:textId="77777777">
                              <w:trPr>
                                <w:trHeight w:val="212"/>
                              </w:trPr>
                              <w:tc>
                                <w:tcPr>
                                  <w:tcW w:w="1525" w:type="dxa"/>
                                  <w:tcBorders>
                                    <w:left w:val="single" w:sz="4" w:space="0" w:color="010103"/>
                                    <w:right w:val="single" w:sz="4" w:space="0" w:color="030407"/>
                                  </w:tcBorders>
                                  <w:shd w:val="clear" w:color="auto" w:fill="E8E7F3"/>
                                </w:tcPr>
                                <w:p w14:paraId="490DBCFA" w14:textId="77777777" w:rsidR="00541A14" w:rsidRDefault="00541A14">
                                  <w:pPr>
                                    <w:pStyle w:val="Default"/>
                                    <w:jc w:val="center"/>
                                    <w:rPr>
                                      <w:rFonts w:cs="Times New Roman"/>
                                      <w:color w:val="auto"/>
                                    </w:rPr>
                                  </w:pPr>
                                </w:p>
                              </w:tc>
                              <w:tc>
                                <w:tcPr>
                                  <w:tcW w:w="1512" w:type="dxa"/>
                                  <w:tcBorders>
                                    <w:left w:val="single" w:sz="4" w:space="0" w:color="030407"/>
                                    <w:right w:val="single" w:sz="4" w:space="0" w:color="030407"/>
                                  </w:tcBorders>
                                  <w:shd w:val="clear" w:color="auto" w:fill="E8E7F3"/>
                                </w:tcPr>
                                <w:p w14:paraId="2F17AA13" w14:textId="77777777" w:rsidR="00541A14" w:rsidRDefault="00541A14">
                                  <w:pPr>
                                    <w:pStyle w:val="Default"/>
                                    <w:jc w:val="center"/>
                                    <w:rPr>
                                      <w:rFonts w:cs="Times New Roman"/>
                                      <w:color w:val="auto"/>
                                    </w:rPr>
                                  </w:pPr>
                                </w:p>
                              </w:tc>
                              <w:tc>
                                <w:tcPr>
                                  <w:tcW w:w="1750" w:type="dxa"/>
                                  <w:tcBorders>
                                    <w:left w:val="single" w:sz="4" w:space="0" w:color="030407"/>
                                    <w:right w:val="single" w:sz="4" w:space="0" w:color="030407"/>
                                  </w:tcBorders>
                                  <w:shd w:val="clear" w:color="auto" w:fill="E8E7F3"/>
                                  <w:vAlign w:val="center"/>
                                </w:tcPr>
                                <w:p w14:paraId="39E459E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22.7 – 35.6 </w:t>
                                  </w:r>
                                </w:p>
                              </w:tc>
                              <w:tc>
                                <w:tcPr>
                                  <w:tcW w:w="1512" w:type="dxa"/>
                                  <w:tcBorders>
                                    <w:left w:val="single" w:sz="4" w:space="0" w:color="030407"/>
                                    <w:right w:val="single" w:sz="4" w:space="0" w:color="010103"/>
                                  </w:tcBorders>
                                  <w:shd w:val="clear" w:color="auto" w:fill="E8E7F3"/>
                                  <w:vAlign w:val="center"/>
                                </w:tcPr>
                                <w:p w14:paraId="085A5CF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 </w:t>
                                  </w:r>
                                </w:p>
                              </w:tc>
                            </w:tr>
                            <w:tr w:rsidR="00541A14" w14:paraId="5D0EFA69" w14:textId="77777777">
                              <w:trPr>
                                <w:trHeight w:val="213"/>
                              </w:trPr>
                              <w:tc>
                                <w:tcPr>
                                  <w:tcW w:w="1525" w:type="dxa"/>
                                  <w:tcBorders>
                                    <w:left w:val="single" w:sz="4" w:space="0" w:color="010103"/>
                                    <w:right w:val="single" w:sz="4" w:space="0" w:color="030407"/>
                                  </w:tcBorders>
                                </w:tcPr>
                                <w:p w14:paraId="76B9CAB8" w14:textId="77777777" w:rsidR="00541A14" w:rsidRDefault="00541A14">
                                  <w:pPr>
                                    <w:pStyle w:val="Default"/>
                                    <w:jc w:val="center"/>
                                    <w:rPr>
                                      <w:rFonts w:cs="Times New Roman"/>
                                      <w:color w:val="auto"/>
                                    </w:rPr>
                                  </w:pPr>
                                </w:p>
                              </w:tc>
                              <w:tc>
                                <w:tcPr>
                                  <w:tcW w:w="1512" w:type="dxa"/>
                                  <w:tcBorders>
                                    <w:left w:val="single" w:sz="4" w:space="0" w:color="030407"/>
                                    <w:right w:val="single" w:sz="4" w:space="0" w:color="030407"/>
                                  </w:tcBorders>
                                </w:tcPr>
                                <w:p w14:paraId="50A2E1B7" w14:textId="77777777" w:rsidR="00541A14" w:rsidRDefault="00541A14">
                                  <w:pPr>
                                    <w:pStyle w:val="Default"/>
                                    <w:jc w:val="center"/>
                                    <w:rPr>
                                      <w:rFonts w:cs="Times New Roman"/>
                                      <w:color w:val="auto"/>
                                    </w:rPr>
                                  </w:pPr>
                                </w:p>
                              </w:tc>
                              <w:tc>
                                <w:tcPr>
                                  <w:tcW w:w="1750" w:type="dxa"/>
                                  <w:tcBorders>
                                    <w:left w:val="single" w:sz="4" w:space="0" w:color="030407"/>
                                    <w:right w:val="single" w:sz="4" w:space="0" w:color="030407"/>
                                  </w:tcBorders>
                                  <w:vAlign w:val="center"/>
                                </w:tcPr>
                                <w:p w14:paraId="13BA007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35.7 – 55.5 </w:t>
                                  </w:r>
                                </w:p>
                              </w:tc>
                              <w:tc>
                                <w:tcPr>
                                  <w:tcW w:w="1512" w:type="dxa"/>
                                  <w:tcBorders>
                                    <w:left w:val="single" w:sz="4" w:space="0" w:color="030407"/>
                                    <w:right w:val="single" w:sz="4" w:space="0" w:color="010103"/>
                                  </w:tcBorders>
                                  <w:vAlign w:val="center"/>
                                </w:tcPr>
                                <w:p w14:paraId="61B0F76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 </w:t>
                                  </w:r>
                                </w:p>
                              </w:tc>
                            </w:tr>
                            <w:tr w:rsidR="00541A14" w14:paraId="05E5160F" w14:textId="77777777">
                              <w:trPr>
                                <w:trHeight w:val="212"/>
                              </w:trPr>
                              <w:tc>
                                <w:tcPr>
                                  <w:tcW w:w="1525" w:type="dxa"/>
                                  <w:tcBorders>
                                    <w:left w:val="single" w:sz="4" w:space="0" w:color="010103"/>
                                    <w:right w:val="single" w:sz="4" w:space="0" w:color="030407"/>
                                  </w:tcBorders>
                                  <w:shd w:val="clear" w:color="auto" w:fill="E8E7F3"/>
                                </w:tcPr>
                                <w:p w14:paraId="22A97480" w14:textId="77777777" w:rsidR="00541A14" w:rsidRDefault="00541A14">
                                  <w:pPr>
                                    <w:pStyle w:val="Default"/>
                                    <w:jc w:val="center"/>
                                    <w:rPr>
                                      <w:rFonts w:cs="Times New Roman"/>
                                      <w:color w:val="auto"/>
                                    </w:rPr>
                                  </w:pPr>
                                </w:p>
                              </w:tc>
                              <w:tc>
                                <w:tcPr>
                                  <w:tcW w:w="1512" w:type="dxa"/>
                                  <w:tcBorders>
                                    <w:left w:val="single" w:sz="4" w:space="0" w:color="030407"/>
                                    <w:right w:val="single" w:sz="4" w:space="0" w:color="030407"/>
                                  </w:tcBorders>
                                  <w:shd w:val="clear" w:color="auto" w:fill="E8E7F3"/>
                                </w:tcPr>
                                <w:p w14:paraId="59E70A9F" w14:textId="77777777" w:rsidR="00541A14" w:rsidRDefault="00541A14">
                                  <w:pPr>
                                    <w:pStyle w:val="Default"/>
                                    <w:jc w:val="center"/>
                                    <w:rPr>
                                      <w:rFonts w:cs="Times New Roman"/>
                                      <w:color w:val="auto"/>
                                    </w:rPr>
                                  </w:pPr>
                                </w:p>
                              </w:tc>
                              <w:tc>
                                <w:tcPr>
                                  <w:tcW w:w="1750" w:type="dxa"/>
                                  <w:tcBorders>
                                    <w:left w:val="single" w:sz="4" w:space="0" w:color="030407"/>
                                    <w:right w:val="single" w:sz="4" w:space="0" w:color="030407"/>
                                  </w:tcBorders>
                                  <w:shd w:val="clear" w:color="auto" w:fill="E8E7F3"/>
                                  <w:vAlign w:val="center"/>
                                </w:tcPr>
                                <w:p w14:paraId="0F8F517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55.6 – 85.6 </w:t>
                                  </w:r>
                                </w:p>
                              </w:tc>
                              <w:tc>
                                <w:tcPr>
                                  <w:tcW w:w="1512" w:type="dxa"/>
                                  <w:tcBorders>
                                    <w:left w:val="single" w:sz="4" w:space="0" w:color="030407"/>
                                    <w:right w:val="single" w:sz="4" w:space="0" w:color="010103"/>
                                  </w:tcBorders>
                                  <w:shd w:val="clear" w:color="auto" w:fill="E8E7F3"/>
                                  <w:vAlign w:val="center"/>
                                </w:tcPr>
                                <w:p w14:paraId="0835756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541A14" w14:paraId="25CA1E1E" w14:textId="77777777">
                              <w:trPr>
                                <w:trHeight w:val="212"/>
                              </w:trPr>
                              <w:tc>
                                <w:tcPr>
                                  <w:tcW w:w="1525" w:type="dxa"/>
                                  <w:tcBorders>
                                    <w:left w:val="single" w:sz="4" w:space="0" w:color="010103"/>
                                    <w:right w:val="single" w:sz="4" w:space="0" w:color="030407"/>
                                  </w:tcBorders>
                                </w:tcPr>
                                <w:p w14:paraId="408BEEAD" w14:textId="77777777" w:rsidR="00541A14" w:rsidRDefault="00541A14">
                                  <w:pPr>
                                    <w:pStyle w:val="Default"/>
                                    <w:jc w:val="center"/>
                                    <w:rPr>
                                      <w:rFonts w:cs="Times New Roman"/>
                                      <w:color w:val="auto"/>
                                    </w:rPr>
                                  </w:pPr>
                                </w:p>
                              </w:tc>
                              <w:tc>
                                <w:tcPr>
                                  <w:tcW w:w="1512" w:type="dxa"/>
                                  <w:tcBorders>
                                    <w:left w:val="single" w:sz="4" w:space="0" w:color="030407"/>
                                    <w:right w:val="single" w:sz="4" w:space="0" w:color="030407"/>
                                  </w:tcBorders>
                                </w:tcPr>
                                <w:p w14:paraId="535049A6" w14:textId="77777777" w:rsidR="00541A14" w:rsidRDefault="00541A14">
                                  <w:pPr>
                                    <w:pStyle w:val="Default"/>
                                    <w:jc w:val="center"/>
                                    <w:rPr>
                                      <w:rFonts w:cs="Times New Roman"/>
                                      <w:color w:val="auto"/>
                                    </w:rPr>
                                  </w:pPr>
                                </w:p>
                              </w:tc>
                              <w:tc>
                                <w:tcPr>
                                  <w:tcW w:w="1750" w:type="dxa"/>
                                  <w:tcBorders>
                                    <w:left w:val="single" w:sz="4" w:space="0" w:color="030407"/>
                                    <w:right w:val="single" w:sz="4" w:space="0" w:color="030407"/>
                                  </w:tcBorders>
                                  <w:vAlign w:val="center"/>
                                </w:tcPr>
                                <w:p w14:paraId="4A26473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85.7 – 130 </w:t>
                                  </w:r>
                                </w:p>
                              </w:tc>
                              <w:tc>
                                <w:tcPr>
                                  <w:tcW w:w="1512" w:type="dxa"/>
                                  <w:tcBorders>
                                    <w:left w:val="single" w:sz="4" w:space="0" w:color="030407"/>
                                    <w:right w:val="single" w:sz="4" w:space="0" w:color="010103"/>
                                  </w:tcBorders>
                                  <w:vAlign w:val="center"/>
                                </w:tcPr>
                                <w:p w14:paraId="3987B22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 </w:t>
                                  </w:r>
                                </w:p>
                              </w:tc>
                            </w:tr>
                            <w:tr w:rsidR="00541A14" w14:paraId="66ACBA36" w14:textId="77777777">
                              <w:trPr>
                                <w:trHeight w:val="213"/>
                              </w:trPr>
                              <w:tc>
                                <w:tcPr>
                                  <w:tcW w:w="1525" w:type="dxa"/>
                                  <w:tcBorders>
                                    <w:left w:val="single" w:sz="4" w:space="0" w:color="010103"/>
                                    <w:right w:val="single" w:sz="4" w:space="0" w:color="030407"/>
                                  </w:tcBorders>
                                  <w:shd w:val="clear" w:color="auto" w:fill="E8E7F3"/>
                                </w:tcPr>
                                <w:p w14:paraId="55F23538" w14:textId="77777777" w:rsidR="00541A14" w:rsidRDefault="00541A14">
                                  <w:pPr>
                                    <w:pStyle w:val="Default"/>
                                    <w:jc w:val="center"/>
                                    <w:rPr>
                                      <w:rFonts w:cs="Times New Roman"/>
                                      <w:color w:val="auto"/>
                                    </w:rPr>
                                  </w:pPr>
                                </w:p>
                              </w:tc>
                              <w:tc>
                                <w:tcPr>
                                  <w:tcW w:w="1512" w:type="dxa"/>
                                  <w:tcBorders>
                                    <w:left w:val="single" w:sz="4" w:space="0" w:color="030407"/>
                                    <w:right w:val="single" w:sz="4" w:space="0" w:color="030407"/>
                                  </w:tcBorders>
                                  <w:shd w:val="clear" w:color="auto" w:fill="E8E7F3"/>
                                </w:tcPr>
                                <w:p w14:paraId="47F09AC2" w14:textId="77777777" w:rsidR="00541A14" w:rsidRDefault="00541A14">
                                  <w:pPr>
                                    <w:pStyle w:val="Default"/>
                                    <w:jc w:val="center"/>
                                    <w:rPr>
                                      <w:rFonts w:cs="Times New Roman"/>
                                      <w:color w:val="auto"/>
                                    </w:rPr>
                                  </w:pPr>
                                </w:p>
                              </w:tc>
                              <w:tc>
                                <w:tcPr>
                                  <w:tcW w:w="1750" w:type="dxa"/>
                                  <w:tcBorders>
                                    <w:left w:val="single" w:sz="4" w:space="0" w:color="030407"/>
                                    <w:right w:val="single" w:sz="4" w:space="0" w:color="030407"/>
                                  </w:tcBorders>
                                  <w:shd w:val="clear" w:color="auto" w:fill="E8E7F3"/>
                                  <w:vAlign w:val="center"/>
                                </w:tcPr>
                                <w:p w14:paraId="746DD02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131 – 198 </w:t>
                                  </w:r>
                                </w:p>
                              </w:tc>
                              <w:tc>
                                <w:tcPr>
                                  <w:tcW w:w="1512" w:type="dxa"/>
                                  <w:tcBorders>
                                    <w:left w:val="single" w:sz="4" w:space="0" w:color="030407"/>
                                    <w:right w:val="single" w:sz="4" w:space="0" w:color="010103"/>
                                  </w:tcBorders>
                                  <w:shd w:val="clear" w:color="auto" w:fill="E8E7F3"/>
                                  <w:vAlign w:val="center"/>
                                </w:tcPr>
                                <w:p w14:paraId="33D7538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 </w:t>
                                  </w:r>
                                </w:p>
                              </w:tc>
                            </w:tr>
                            <w:tr w:rsidR="00541A14" w14:paraId="4DE7C13B" w14:textId="77777777">
                              <w:trPr>
                                <w:trHeight w:val="212"/>
                              </w:trPr>
                              <w:tc>
                                <w:tcPr>
                                  <w:tcW w:w="1525" w:type="dxa"/>
                                  <w:tcBorders>
                                    <w:left w:val="single" w:sz="4" w:space="0" w:color="010103"/>
                                    <w:right w:val="single" w:sz="4" w:space="0" w:color="030407"/>
                                  </w:tcBorders>
                                </w:tcPr>
                                <w:p w14:paraId="0B7084BC" w14:textId="77777777" w:rsidR="00541A14" w:rsidRDefault="00541A14">
                                  <w:pPr>
                                    <w:pStyle w:val="Default"/>
                                    <w:jc w:val="center"/>
                                    <w:rPr>
                                      <w:rFonts w:cs="Times New Roman"/>
                                      <w:color w:val="auto"/>
                                    </w:rPr>
                                  </w:pPr>
                                </w:p>
                              </w:tc>
                              <w:tc>
                                <w:tcPr>
                                  <w:tcW w:w="1512" w:type="dxa"/>
                                  <w:tcBorders>
                                    <w:left w:val="single" w:sz="4" w:space="0" w:color="030407"/>
                                    <w:right w:val="single" w:sz="4" w:space="0" w:color="030407"/>
                                  </w:tcBorders>
                                </w:tcPr>
                                <w:p w14:paraId="76A0CEF9" w14:textId="77777777" w:rsidR="00541A14" w:rsidRDefault="00541A14">
                                  <w:pPr>
                                    <w:pStyle w:val="Default"/>
                                    <w:jc w:val="center"/>
                                    <w:rPr>
                                      <w:rFonts w:cs="Times New Roman"/>
                                      <w:color w:val="auto"/>
                                    </w:rPr>
                                  </w:pPr>
                                </w:p>
                              </w:tc>
                              <w:tc>
                                <w:tcPr>
                                  <w:tcW w:w="1750" w:type="dxa"/>
                                  <w:tcBorders>
                                    <w:left w:val="single" w:sz="4" w:space="0" w:color="030407"/>
                                    <w:right w:val="single" w:sz="4" w:space="0" w:color="030407"/>
                                  </w:tcBorders>
                                  <w:vAlign w:val="center"/>
                                </w:tcPr>
                                <w:p w14:paraId="12312CE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199 – 299 </w:t>
                                  </w:r>
                                </w:p>
                              </w:tc>
                              <w:tc>
                                <w:tcPr>
                                  <w:tcW w:w="1512" w:type="dxa"/>
                                  <w:tcBorders>
                                    <w:left w:val="single" w:sz="4" w:space="0" w:color="030407"/>
                                    <w:right w:val="single" w:sz="4" w:space="0" w:color="010103"/>
                                  </w:tcBorders>
                                  <w:vAlign w:val="center"/>
                                </w:tcPr>
                                <w:p w14:paraId="0393887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18 </w:t>
                                  </w:r>
                                </w:p>
                              </w:tc>
                            </w:tr>
                            <w:tr w:rsidR="00541A14" w14:paraId="34A7F111" w14:textId="77777777">
                              <w:trPr>
                                <w:trHeight w:val="213"/>
                              </w:trPr>
                              <w:tc>
                                <w:tcPr>
                                  <w:tcW w:w="1525" w:type="dxa"/>
                                  <w:tcBorders>
                                    <w:left w:val="single" w:sz="4" w:space="0" w:color="010103"/>
                                    <w:right w:val="single" w:sz="4" w:space="0" w:color="030407"/>
                                  </w:tcBorders>
                                  <w:shd w:val="clear" w:color="auto" w:fill="E8E7F3"/>
                                </w:tcPr>
                                <w:p w14:paraId="4EECD983" w14:textId="77777777" w:rsidR="00541A14" w:rsidRDefault="00541A14">
                                  <w:pPr>
                                    <w:pStyle w:val="Default"/>
                                    <w:jc w:val="center"/>
                                    <w:rPr>
                                      <w:rFonts w:cs="Times New Roman"/>
                                      <w:color w:val="auto"/>
                                    </w:rPr>
                                  </w:pPr>
                                </w:p>
                              </w:tc>
                              <w:tc>
                                <w:tcPr>
                                  <w:tcW w:w="1512" w:type="dxa"/>
                                  <w:tcBorders>
                                    <w:left w:val="single" w:sz="4" w:space="0" w:color="030407"/>
                                    <w:right w:val="single" w:sz="4" w:space="0" w:color="030407"/>
                                  </w:tcBorders>
                                  <w:shd w:val="clear" w:color="auto" w:fill="E8E7F3"/>
                                </w:tcPr>
                                <w:p w14:paraId="6F6151B3" w14:textId="77777777" w:rsidR="00541A14" w:rsidRDefault="00541A14">
                                  <w:pPr>
                                    <w:pStyle w:val="Default"/>
                                    <w:jc w:val="center"/>
                                    <w:rPr>
                                      <w:rFonts w:cs="Times New Roman"/>
                                      <w:color w:val="auto"/>
                                    </w:rPr>
                                  </w:pPr>
                                </w:p>
                              </w:tc>
                              <w:tc>
                                <w:tcPr>
                                  <w:tcW w:w="1750" w:type="dxa"/>
                                  <w:tcBorders>
                                    <w:left w:val="single" w:sz="4" w:space="0" w:color="030407"/>
                                    <w:right w:val="single" w:sz="4" w:space="0" w:color="030407"/>
                                  </w:tcBorders>
                                  <w:shd w:val="clear" w:color="auto" w:fill="E8E7F3"/>
                                  <w:vAlign w:val="center"/>
                                </w:tcPr>
                                <w:p w14:paraId="03883B7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300 – 449 </w:t>
                                  </w:r>
                                </w:p>
                              </w:tc>
                              <w:tc>
                                <w:tcPr>
                                  <w:tcW w:w="1512" w:type="dxa"/>
                                  <w:tcBorders>
                                    <w:left w:val="single" w:sz="4" w:space="0" w:color="030407"/>
                                    <w:right w:val="single" w:sz="4" w:space="0" w:color="010103"/>
                                  </w:tcBorders>
                                  <w:shd w:val="clear" w:color="auto" w:fill="E8E7F3"/>
                                  <w:vAlign w:val="center"/>
                                </w:tcPr>
                                <w:p w14:paraId="1C5CF17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19 </w:t>
                                  </w:r>
                                </w:p>
                              </w:tc>
                            </w:tr>
                            <w:tr w:rsidR="00541A14" w14:paraId="77992C52" w14:textId="77777777">
                              <w:trPr>
                                <w:trHeight w:val="212"/>
                              </w:trPr>
                              <w:tc>
                                <w:tcPr>
                                  <w:tcW w:w="1525" w:type="dxa"/>
                                  <w:tcBorders>
                                    <w:left w:val="single" w:sz="4" w:space="0" w:color="010103"/>
                                    <w:right w:val="single" w:sz="4" w:space="0" w:color="030407"/>
                                  </w:tcBorders>
                                </w:tcPr>
                                <w:p w14:paraId="29D7F1AB" w14:textId="77777777" w:rsidR="00541A14" w:rsidRDefault="00541A14">
                                  <w:pPr>
                                    <w:pStyle w:val="Default"/>
                                    <w:jc w:val="center"/>
                                    <w:rPr>
                                      <w:rFonts w:cs="Times New Roman"/>
                                      <w:color w:val="auto"/>
                                    </w:rPr>
                                  </w:pPr>
                                </w:p>
                              </w:tc>
                              <w:tc>
                                <w:tcPr>
                                  <w:tcW w:w="1512" w:type="dxa"/>
                                  <w:tcBorders>
                                    <w:left w:val="single" w:sz="4" w:space="0" w:color="030407"/>
                                    <w:right w:val="single" w:sz="4" w:space="0" w:color="030407"/>
                                  </w:tcBorders>
                                </w:tcPr>
                                <w:p w14:paraId="5C5EF474" w14:textId="77777777" w:rsidR="00541A14" w:rsidRDefault="00541A14">
                                  <w:pPr>
                                    <w:pStyle w:val="Default"/>
                                    <w:jc w:val="center"/>
                                    <w:rPr>
                                      <w:rFonts w:cs="Times New Roman"/>
                                      <w:color w:val="auto"/>
                                    </w:rPr>
                                  </w:pPr>
                                </w:p>
                              </w:tc>
                              <w:tc>
                                <w:tcPr>
                                  <w:tcW w:w="1750" w:type="dxa"/>
                                  <w:tcBorders>
                                    <w:left w:val="single" w:sz="4" w:space="0" w:color="030407"/>
                                    <w:right w:val="single" w:sz="4" w:space="0" w:color="030407"/>
                                  </w:tcBorders>
                                  <w:vAlign w:val="center"/>
                                </w:tcPr>
                                <w:p w14:paraId="41D4DCF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450 – 669 </w:t>
                                  </w:r>
                                </w:p>
                              </w:tc>
                              <w:tc>
                                <w:tcPr>
                                  <w:tcW w:w="1512" w:type="dxa"/>
                                  <w:tcBorders>
                                    <w:left w:val="single" w:sz="4" w:space="0" w:color="030407"/>
                                    <w:right w:val="single" w:sz="4" w:space="0" w:color="010103"/>
                                  </w:tcBorders>
                                  <w:vAlign w:val="center"/>
                                </w:tcPr>
                                <w:p w14:paraId="1E2E770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541A14" w14:paraId="67920889" w14:textId="77777777">
                              <w:trPr>
                                <w:trHeight w:val="212"/>
                              </w:trPr>
                              <w:tc>
                                <w:tcPr>
                                  <w:tcW w:w="1525" w:type="dxa"/>
                                  <w:tcBorders>
                                    <w:left w:val="single" w:sz="4" w:space="0" w:color="010103"/>
                                    <w:right w:val="single" w:sz="4" w:space="0" w:color="030407"/>
                                  </w:tcBorders>
                                  <w:shd w:val="clear" w:color="auto" w:fill="E8E7F3"/>
                                </w:tcPr>
                                <w:p w14:paraId="4A462B64" w14:textId="77777777" w:rsidR="00541A14" w:rsidRDefault="00541A14">
                                  <w:pPr>
                                    <w:pStyle w:val="Default"/>
                                    <w:jc w:val="center"/>
                                    <w:rPr>
                                      <w:rFonts w:cs="Times New Roman"/>
                                      <w:color w:val="auto"/>
                                    </w:rPr>
                                  </w:pPr>
                                </w:p>
                              </w:tc>
                              <w:tc>
                                <w:tcPr>
                                  <w:tcW w:w="1512" w:type="dxa"/>
                                  <w:tcBorders>
                                    <w:left w:val="single" w:sz="4" w:space="0" w:color="030407"/>
                                    <w:right w:val="single" w:sz="4" w:space="0" w:color="030407"/>
                                  </w:tcBorders>
                                  <w:shd w:val="clear" w:color="auto" w:fill="E8E7F3"/>
                                </w:tcPr>
                                <w:p w14:paraId="00FB80DC" w14:textId="77777777" w:rsidR="00541A14" w:rsidRDefault="00541A14">
                                  <w:pPr>
                                    <w:pStyle w:val="Default"/>
                                    <w:jc w:val="center"/>
                                    <w:rPr>
                                      <w:rFonts w:cs="Times New Roman"/>
                                      <w:color w:val="auto"/>
                                    </w:rPr>
                                  </w:pPr>
                                </w:p>
                              </w:tc>
                              <w:tc>
                                <w:tcPr>
                                  <w:tcW w:w="1750" w:type="dxa"/>
                                  <w:tcBorders>
                                    <w:left w:val="single" w:sz="4" w:space="0" w:color="030407"/>
                                    <w:right w:val="single" w:sz="4" w:space="0" w:color="030407"/>
                                  </w:tcBorders>
                                  <w:shd w:val="clear" w:color="auto" w:fill="E8E7F3"/>
                                  <w:vAlign w:val="center"/>
                                </w:tcPr>
                                <w:p w14:paraId="4B8B301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670 – 993 </w:t>
                                  </w:r>
                                </w:p>
                              </w:tc>
                              <w:tc>
                                <w:tcPr>
                                  <w:tcW w:w="1512" w:type="dxa"/>
                                  <w:tcBorders>
                                    <w:left w:val="single" w:sz="4" w:space="0" w:color="030407"/>
                                    <w:right w:val="single" w:sz="4" w:space="0" w:color="010103"/>
                                  </w:tcBorders>
                                  <w:shd w:val="clear" w:color="auto" w:fill="E8E7F3"/>
                                  <w:vAlign w:val="center"/>
                                </w:tcPr>
                                <w:p w14:paraId="35C1D19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21 </w:t>
                                  </w:r>
                                </w:p>
                              </w:tc>
                            </w:tr>
                            <w:tr w:rsidR="00541A14" w14:paraId="45B8C19D" w14:textId="77777777">
                              <w:trPr>
                                <w:trHeight w:val="212"/>
                              </w:trPr>
                              <w:tc>
                                <w:tcPr>
                                  <w:tcW w:w="1525" w:type="dxa"/>
                                  <w:tcBorders>
                                    <w:left w:val="single" w:sz="4" w:space="0" w:color="010103"/>
                                    <w:bottom w:val="single" w:sz="4" w:space="0" w:color="000000"/>
                                    <w:right w:val="single" w:sz="4" w:space="0" w:color="030407"/>
                                  </w:tcBorders>
                                </w:tcPr>
                                <w:p w14:paraId="685E4D94" w14:textId="77777777" w:rsidR="00541A14" w:rsidRDefault="00541A14">
                                  <w:pPr>
                                    <w:pStyle w:val="Default"/>
                                    <w:jc w:val="center"/>
                                    <w:rPr>
                                      <w:rFonts w:cs="Times New Roman"/>
                                      <w:color w:val="auto"/>
                                    </w:rPr>
                                  </w:pPr>
                                </w:p>
                              </w:tc>
                              <w:tc>
                                <w:tcPr>
                                  <w:tcW w:w="1512" w:type="dxa"/>
                                  <w:tcBorders>
                                    <w:left w:val="single" w:sz="4" w:space="0" w:color="030407"/>
                                    <w:bottom w:val="single" w:sz="4" w:space="0" w:color="000000"/>
                                    <w:right w:val="single" w:sz="4" w:space="0" w:color="030407"/>
                                  </w:tcBorders>
                                </w:tcPr>
                                <w:p w14:paraId="04D3107E" w14:textId="77777777" w:rsidR="00541A14" w:rsidRDefault="00541A14">
                                  <w:pPr>
                                    <w:pStyle w:val="Default"/>
                                    <w:jc w:val="center"/>
                                    <w:rPr>
                                      <w:rFonts w:cs="Times New Roman"/>
                                      <w:color w:val="auto"/>
                                    </w:rPr>
                                  </w:pPr>
                                </w:p>
                              </w:tc>
                              <w:tc>
                                <w:tcPr>
                                  <w:tcW w:w="1750" w:type="dxa"/>
                                  <w:tcBorders>
                                    <w:left w:val="single" w:sz="4" w:space="0" w:color="030407"/>
                                    <w:bottom w:val="single" w:sz="4" w:space="0" w:color="000000"/>
                                    <w:right w:val="single" w:sz="4" w:space="0" w:color="030407"/>
                                  </w:tcBorders>
                                  <w:vAlign w:val="center"/>
                                </w:tcPr>
                                <w:p w14:paraId="302C709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994 – 1460 </w:t>
                                  </w:r>
                                </w:p>
                              </w:tc>
                              <w:tc>
                                <w:tcPr>
                                  <w:tcW w:w="1512" w:type="dxa"/>
                                  <w:tcBorders>
                                    <w:left w:val="single" w:sz="4" w:space="0" w:color="030407"/>
                                    <w:bottom w:val="single" w:sz="4" w:space="0" w:color="000000"/>
                                    <w:right w:val="single" w:sz="4" w:space="0" w:color="010103"/>
                                  </w:tcBorders>
                                  <w:vAlign w:val="center"/>
                                </w:tcPr>
                                <w:p w14:paraId="33E7266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22 </w:t>
                                  </w:r>
                                </w:p>
                              </w:tc>
                            </w:tr>
                          </w:tbl>
                          <w:p w14:paraId="0E2D44A0"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42" type="#_x0000_t202" style="position:absolute;margin-left:120.85pt;margin-top:283.25pt;width:354.95pt;height:510.9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" o:allowincell="f" filled="f" stroked="f">
                <v:textbox>
                  <w:txbxContent>
                    <w:p w14:paraId="213D67DC" w14:textId="77777777" w:rsidR="00000000" w:rsidRDefault="00A450E1">
                      <w:pPr>
                        <w:widowControl w:val="0"/>
                        <w:autoSpaceDE w:val="0"/>
                        <w:autoSpaceDN w:val="0"/>
                        <w:adjustRightInd w:val="0"/>
                        <w:spacing w:after="240" w:line="300" w:lineRule="atLeast"/>
                        <w:jc w:val="both"/>
                        <w:rPr>
                          <w:rFonts w:ascii="Palatino" w:hAnsi="Palatino" w:cs="Palatino"/>
                          <w:color w:val="000000"/>
                        </w:rPr>
                      </w:pPr>
                      <w:r>
                        <w:rPr>
                          <w:rFonts w:ascii="Palatino" w:hAnsi="Palatino" w:cs="Palatino"/>
                          <w:b/>
                          <w:bCs/>
                          <w:color w:val="000000"/>
                        </w:rPr>
                        <w:t xml:space="preserve">table 12 – IAlA conversion table for luminous Intensity and Nominal Daytime Range </w:t>
                      </w:r>
                    </w:p>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15"/>
                        <w:gridCol w:w="42"/>
                        <w:gridCol w:w="33"/>
                        <w:gridCol w:w="120"/>
                        <w:gridCol w:w="182"/>
                        <w:gridCol w:w="33"/>
                        <w:gridCol w:w="70"/>
                        <w:gridCol w:w="65"/>
                        <w:gridCol w:w="167"/>
                        <w:gridCol w:w="10"/>
                        <w:gridCol w:w="125"/>
                        <w:gridCol w:w="55"/>
                        <w:gridCol w:w="20"/>
                        <w:gridCol w:w="50"/>
                        <w:gridCol w:w="50"/>
                        <w:gridCol w:w="118"/>
                        <w:gridCol w:w="95"/>
                        <w:gridCol w:w="2"/>
                        <w:gridCol w:w="33"/>
                        <w:gridCol w:w="155"/>
                        <w:gridCol w:w="20"/>
                        <w:gridCol w:w="197"/>
                        <w:gridCol w:w="112"/>
                        <w:gridCol w:w="5"/>
                        <w:gridCol w:w="123"/>
                        <w:gridCol w:w="22"/>
                        <w:gridCol w:w="15"/>
                        <w:gridCol w:w="73"/>
                        <w:gridCol w:w="192"/>
                        <w:gridCol w:w="235"/>
                        <w:gridCol w:w="5"/>
                        <w:gridCol w:w="60"/>
                        <w:gridCol w:w="237"/>
                        <w:gridCol w:w="38"/>
                        <w:gridCol w:w="15"/>
                        <w:gridCol w:w="25"/>
                        <w:gridCol w:w="50"/>
                        <w:gridCol w:w="136"/>
                        <w:gridCol w:w="234"/>
                        <w:gridCol w:w="5"/>
                        <w:gridCol w:w="5"/>
                        <w:gridCol w:w="12"/>
                        <w:gridCol w:w="47"/>
                        <w:gridCol w:w="168"/>
                        <w:gridCol w:w="48"/>
                        <w:gridCol w:w="4"/>
                        <w:gridCol w:w="110"/>
                        <w:gridCol w:w="12"/>
                        <w:gridCol w:w="108"/>
                        <w:gridCol w:w="4"/>
                        <w:gridCol w:w="362"/>
                        <w:gridCol w:w="137"/>
                        <w:gridCol w:w="47"/>
                        <w:gridCol w:w="355"/>
                        <w:gridCol w:w="10"/>
                        <w:gridCol w:w="207"/>
                        <w:gridCol w:w="86"/>
                        <w:gridCol w:w="70"/>
                        <w:gridCol w:w="8"/>
                        <w:gridCol w:w="78"/>
                        <w:gridCol w:w="152"/>
                        <w:gridCol w:w="279"/>
                        <w:gridCol w:w="183"/>
                        <w:gridCol w:w="57"/>
                        <w:gridCol w:w="283"/>
                        <w:gridCol w:w="254"/>
                        <w:gridCol w:w="76"/>
                        <w:gridCol w:w="119"/>
                        <w:gridCol w:w="23"/>
                        <w:gridCol w:w="1086"/>
                        <w:gridCol w:w="161"/>
                        <w:gridCol w:w="173"/>
                        <w:gridCol w:w="71"/>
                        <w:gridCol w:w="6"/>
                        <w:gridCol w:w="15"/>
                        <w:gridCol w:w="8"/>
                      </w:tblGrid>
                      <w:tr w:rsidR="00000000" w14:paraId="28AEAAB1" w14:textId="77777777">
                        <w:tblPrEx>
                          <w:tblCellMar>
                            <w:top w:w="0" w:type="dxa"/>
                            <w:bottom w:w="0" w:type="dxa"/>
                          </w:tblCellMar>
                        </w:tblPrEx>
                        <w:trPr>
                          <w:gridAfter w:val="15"/>
                          <w:wAfter w:w="3390" w:type="dxa"/>
                          <w:trHeight w:val="540"/>
                        </w:trPr>
                        <w:tc>
                          <w:tcPr>
                            <w:tcW w:w="1525" w:type="dxa"/>
                            <w:gridSpan w:val="9"/>
                            <w:tcBorders>
                              <w:top w:val="single" w:sz="4" w:space="0" w:color="0E0F1B"/>
                              <w:left w:val="single" w:sz="4" w:space="0" w:color="010103"/>
                              <w:right w:val="single" w:sz="4" w:space="0" w:color="030407"/>
                            </w:tcBorders>
                            <w:shd w:val="clear" w:color="auto" w:fill="5E64A8"/>
                            <w:vAlign w:val="center"/>
                          </w:tcPr>
                          <w:p w14:paraId="4BC621B6"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Luminous intensity kilocandelas (103 cd) </w:t>
                            </w:r>
                          </w:p>
                        </w:tc>
                        <w:tc>
                          <w:tcPr>
                            <w:tcW w:w="1512" w:type="dxa"/>
                            <w:gridSpan w:val="21"/>
                            <w:tcBorders>
                              <w:top w:val="single" w:sz="4" w:space="0" w:color="0E0F1B"/>
                              <w:left w:val="single" w:sz="4" w:space="0" w:color="030407"/>
                              <w:right w:val="single" w:sz="4" w:space="0" w:color="030407"/>
                            </w:tcBorders>
                            <w:shd w:val="clear" w:color="auto" w:fill="5E64A8"/>
                            <w:vAlign w:val="center"/>
                          </w:tcPr>
                          <w:p w14:paraId="0B082534"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Nominal range (rounde</w:t>
                            </w:r>
                            <w:r>
                              <w:rPr>
                                <w:rFonts w:ascii="Helvetica 65 Medium" w:hAnsi="Helvetica 65 Medium" w:cs="Helvetica 65 Medium"/>
                                <w:color w:val="FFFFFF"/>
                                <w:sz w:val="18"/>
                                <w:szCs w:val="18"/>
                              </w:rPr>
                              <w:t xml:space="preserve">d) nautical miles (M) </w:t>
                            </w:r>
                          </w:p>
                        </w:tc>
                        <w:tc>
                          <w:tcPr>
                            <w:tcW w:w="1750" w:type="dxa"/>
                            <w:gridSpan w:val="22"/>
                            <w:tcBorders>
                              <w:top w:val="single" w:sz="4" w:space="0" w:color="0E0F1B"/>
                              <w:left w:val="single" w:sz="4" w:space="0" w:color="030407"/>
                              <w:right w:val="single" w:sz="4" w:space="0" w:color="030407"/>
                            </w:tcBorders>
                            <w:shd w:val="clear" w:color="auto" w:fill="5E64A8"/>
                            <w:vAlign w:val="center"/>
                          </w:tcPr>
                          <w:p w14:paraId="5287E673"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Luminous intensity Megacandelas (106 cd) </w:t>
                            </w:r>
                          </w:p>
                        </w:tc>
                        <w:tc>
                          <w:tcPr>
                            <w:tcW w:w="1512" w:type="dxa"/>
                            <w:gridSpan w:val="11"/>
                            <w:tcBorders>
                              <w:top w:val="single" w:sz="4" w:space="0" w:color="0E0F1B"/>
                              <w:left w:val="single" w:sz="4" w:space="0" w:color="030407"/>
                              <w:right w:val="single" w:sz="4" w:space="0" w:color="010103"/>
                            </w:tcBorders>
                            <w:shd w:val="clear" w:color="auto" w:fill="5E64A8"/>
                            <w:vAlign w:val="center"/>
                          </w:tcPr>
                          <w:p w14:paraId="42A0AA36"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Nominal range (rounded) nautical miles (M) </w:t>
                            </w:r>
                          </w:p>
                        </w:tc>
                      </w:tr>
                      <w:tr w:rsidR="00000000" w14:paraId="6AAB7044" w14:textId="77777777">
                        <w:tblPrEx>
                          <w:tblCellMar>
                            <w:top w:w="0" w:type="dxa"/>
                            <w:bottom w:w="0" w:type="dxa"/>
                          </w:tblCellMar>
                        </w:tblPrEx>
                        <w:trPr>
                          <w:gridAfter w:val="15"/>
                          <w:wAfter w:w="3390" w:type="dxa"/>
                          <w:trHeight w:val="215"/>
                        </w:trPr>
                        <w:tc>
                          <w:tcPr>
                            <w:tcW w:w="1525" w:type="dxa"/>
                            <w:gridSpan w:val="9"/>
                            <w:tcBorders>
                              <w:top w:val="single" w:sz="2" w:space="0" w:color="5E64A8"/>
                              <w:left w:val="single" w:sz="4" w:space="0" w:color="010103"/>
                              <w:right w:val="single" w:sz="4" w:space="0" w:color="030407"/>
                            </w:tcBorders>
                            <w:shd w:val="clear" w:color="auto" w:fill="E8E7F3"/>
                            <w:vAlign w:val="center"/>
                          </w:tcPr>
                          <w:p w14:paraId="4FD7104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 – 12.0 </w:t>
                            </w:r>
                          </w:p>
                        </w:tc>
                        <w:tc>
                          <w:tcPr>
                            <w:tcW w:w="1512" w:type="dxa"/>
                            <w:gridSpan w:val="21"/>
                            <w:tcBorders>
                              <w:top w:val="single" w:sz="2" w:space="0" w:color="5E64A8"/>
                              <w:left w:val="single" w:sz="4" w:space="0" w:color="030407"/>
                              <w:right w:val="single" w:sz="4" w:space="0" w:color="030407"/>
                            </w:tcBorders>
                            <w:shd w:val="clear" w:color="auto" w:fill="E8E7F3"/>
                            <w:vAlign w:val="center"/>
                          </w:tcPr>
                          <w:p w14:paraId="08996F8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 </w:t>
                            </w:r>
                          </w:p>
                        </w:tc>
                        <w:tc>
                          <w:tcPr>
                            <w:tcW w:w="1750" w:type="dxa"/>
                            <w:gridSpan w:val="22"/>
                            <w:tcBorders>
                              <w:top w:val="single" w:sz="2" w:space="0" w:color="5E64A8"/>
                              <w:left w:val="single" w:sz="4" w:space="0" w:color="030407"/>
                              <w:right w:val="single" w:sz="4" w:space="0" w:color="030407"/>
                            </w:tcBorders>
                            <w:shd w:val="clear" w:color="auto" w:fill="E8E7F3"/>
                            <w:vAlign w:val="center"/>
                          </w:tcPr>
                          <w:p w14:paraId="01587D2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1.02 – 1.82 </w:t>
                            </w:r>
                          </w:p>
                        </w:tc>
                        <w:tc>
                          <w:tcPr>
                            <w:tcW w:w="1512" w:type="dxa"/>
                            <w:gridSpan w:val="11"/>
                            <w:tcBorders>
                              <w:top w:val="single" w:sz="2" w:space="0" w:color="5E64A8"/>
                              <w:left w:val="single" w:sz="4" w:space="0" w:color="030407"/>
                              <w:right w:val="single" w:sz="4" w:space="0" w:color="010103"/>
                            </w:tcBorders>
                            <w:shd w:val="clear" w:color="auto" w:fill="E8E7F3"/>
                            <w:vAlign w:val="center"/>
                          </w:tcPr>
                          <w:p w14:paraId="3AC6760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7 </w:t>
                            </w:r>
                          </w:p>
                        </w:tc>
                      </w:tr>
                      <w:tr w:rsidR="00000000" w14:paraId="1CC3FE91" w14:textId="77777777">
                        <w:tblPrEx>
                          <w:tblCellMar>
                            <w:top w:w="0" w:type="dxa"/>
                            <w:bottom w:w="0" w:type="dxa"/>
                          </w:tblCellMar>
                        </w:tblPrEx>
                        <w:trPr>
                          <w:gridAfter w:val="15"/>
                          <w:wAfter w:w="3390" w:type="dxa"/>
                          <w:trHeight w:val="212"/>
                        </w:trPr>
                        <w:tc>
                          <w:tcPr>
                            <w:tcW w:w="1525" w:type="dxa"/>
                            <w:gridSpan w:val="9"/>
                            <w:tcBorders>
                              <w:left w:val="single" w:sz="4" w:space="0" w:color="010103"/>
                              <w:right w:val="single" w:sz="4" w:space="0" w:color="030407"/>
                            </w:tcBorders>
                            <w:vAlign w:val="center"/>
                          </w:tcPr>
                          <w:p w14:paraId="4DFED81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12.1 – 45.3 </w:t>
                            </w:r>
                          </w:p>
                        </w:tc>
                        <w:tc>
                          <w:tcPr>
                            <w:tcW w:w="1512" w:type="dxa"/>
                            <w:gridSpan w:val="21"/>
                            <w:tcBorders>
                              <w:left w:val="single" w:sz="4" w:space="0" w:color="030407"/>
                              <w:right w:val="single" w:sz="4" w:space="0" w:color="030407"/>
                            </w:tcBorders>
                            <w:vAlign w:val="center"/>
                          </w:tcPr>
                          <w:p w14:paraId="44B3C53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 </w:t>
                            </w:r>
                          </w:p>
                        </w:tc>
                        <w:tc>
                          <w:tcPr>
                            <w:tcW w:w="1750" w:type="dxa"/>
                            <w:gridSpan w:val="22"/>
                            <w:tcBorders>
                              <w:left w:val="single" w:sz="4" w:space="0" w:color="030407"/>
                              <w:right w:val="single" w:sz="4" w:space="0" w:color="030407"/>
                            </w:tcBorders>
                            <w:vAlign w:val="center"/>
                          </w:tcPr>
                          <w:p w14:paraId="3FA19BE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1.83 – 3.16 </w:t>
                            </w:r>
                          </w:p>
                        </w:tc>
                        <w:tc>
                          <w:tcPr>
                            <w:tcW w:w="1512" w:type="dxa"/>
                            <w:gridSpan w:val="11"/>
                            <w:tcBorders>
                              <w:left w:val="single" w:sz="4" w:space="0" w:color="030407"/>
                              <w:right w:val="single" w:sz="4" w:space="0" w:color="010103"/>
                            </w:tcBorders>
                            <w:vAlign w:val="center"/>
                          </w:tcPr>
                          <w:p w14:paraId="35E7E83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 </w:t>
                            </w:r>
                          </w:p>
                        </w:tc>
                      </w:tr>
                      <w:tr w:rsidR="00000000" w14:paraId="11C3A5DD" w14:textId="77777777">
                        <w:tblPrEx>
                          <w:tblCellMar>
                            <w:top w:w="0" w:type="dxa"/>
                            <w:bottom w:w="0" w:type="dxa"/>
                          </w:tblCellMar>
                        </w:tblPrEx>
                        <w:trPr>
                          <w:gridAfter w:val="15"/>
                          <w:wAfter w:w="3390" w:type="dxa"/>
                          <w:trHeight w:val="213"/>
                        </w:trPr>
                        <w:tc>
                          <w:tcPr>
                            <w:tcW w:w="1525" w:type="dxa"/>
                            <w:gridSpan w:val="9"/>
                            <w:tcBorders>
                              <w:left w:val="single" w:sz="4" w:space="0" w:color="010103"/>
                              <w:right w:val="single" w:sz="4" w:space="0" w:color="030407"/>
                            </w:tcBorders>
                            <w:shd w:val="clear" w:color="auto" w:fill="E8E7F3"/>
                            <w:vAlign w:val="center"/>
                          </w:tcPr>
                          <w:p w14:paraId="2609B4D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45.4 – 119 </w:t>
                            </w:r>
                          </w:p>
                        </w:tc>
                        <w:tc>
                          <w:tcPr>
                            <w:tcW w:w="1512" w:type="dxa"/>
                            <w:gridSpan w:val="21"/>
                            <w:tcBorders>
                              <w:left w:val="single" w:sz="4" w:space="0" w:color="030407"/>
                              <w:right w:val="single" w:sz="4" w:space="0" w:color="030407"/>
                            </w:tcBorders>
                            <w:shd w:val="clear" w:color="auto" w:fill="E8E7F3"/>
                            <w:vAlign w:val="center"/>
                          </w:tcPr>
                          <w:p w14:paraId="5D6AECA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 </w:t>
                            </w:r>
                          </w:p>
                        </w:tc>
                        <w:tc>
                          <w:tcPr>
                            <w:tcW w:w="1750" w:type="dxa"/>
                            <w:gridSpan w:val="22"/>
                            <w:tcBorders>
                              <w:left w:val="single" w:sz="4" w:space="0" w:color="030407"/>
                              <w:right w:val="single" w:sz="4" w:space="0" w:color="030407"/>
                            </w:tcBorders>
                            <w:shd w:val="clear" w:color="auto" w:fill="E8E7F3"/>
                            <w:vAlign w:val="center"/>
                          </w:tcPr>
                          <w:p w14:paraId="6A06838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3.17 – 5.32 </w:t>
                            </w:r>
                          </w:p>
                        </w:tc>
                        <w:tc>
                          <w:tcPr>
                            <w:tcW w:w="1512" w:type="dxa"/>
                            <w:gridSpan w:val="11"/>
                            <w:tcBorders>
                              <w:left w:val="single" w:sz="4" w:space="0" w:color="030407"/>
                              <w:right w:val="single" w:sz="4" w:space="0" w:color="010103"/>
                            </w:tcBorders>
                            <w:shd w:val="clear" w:color="auto" w:fill="E8E7F3"/>
                            <w:vAlign w:val="center"/>
                          </w:tcPr>
                          <w:p w14:paraId="16F00A3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 </w:t>
                            </w:r>
                          </w:p>
                        </w:tc>
                      </w:tr>
                      <w:tr w:rsidR="00000000" w14:paraId="5079A3FF" w14:textId="77777777">
                        <w:tblPrEx>
                          <w:tblCellMar>
                            <w:top w:w="0" w:type="dxa"/>
                            <w:bottom w:w="0" w:type="dxa"/>
                          </w:tblCellMar>
                        </w:tblPrEx>
                        <w:trPr>
                          <w:gridAfter w:val="15"/>
                          <w:wAfter w:w="3390" w:type="dxa"/>
                          <w:trHeight w:val="212"/>
                        </w:trPr>
                        <w:tc>
                          <w:tcPr>
                            <w:tcW w:w="1525" w:type="dxa"/>
                            <w:gridSpan w:val="9"/>
                            <w:tcBorders>
                              <w:left w:val="single" w:sz="4" w:space="0" w:color="010103"/>
                              <w:right w:val="single" w:sz="4" w:space="0" w:color="030407"/>
                            </w:tcBorders>
                            <w:vAlign w:val="center"/>
                          </w:tcPr>
                          <w:p w14:paraId="19BEBB4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120 – 267 </w:t>
                            </w:r>
                          </w:p>
                        </w:tc>
                        <w:tc>
                          <w:tcPr>
                            <w:tcW w:w="1512" w:type="dxa"/>
                            <w:gridSpan w:val="21"/>
                            <w:tcBorders>
                              <w:left w:val="single" w:sz="4" w:space="0" w:color="030407"/>
                              <w:right w:val="single" w:sz="4" w:space="0" w:color="030407"/>
                            </w:tcBorders>
                            <w:vAlign w:val="center"/>
                          </w:tcPr>
                          <w:p w14:paraId="4523117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 </w:t>
                            </w:r>
                          </w:p>
                        </w:tc>
                        <w:tc>
                          <w:tcPr>
                            <w:tcW w:w="1750" w:type="dxa"/>
                            <w:gridSpan w:val="22"/>
                            <w:tcBorders>
                              <w:left w:val="single" w:sz="4" w:space="0" w:color="030407"/>
                              <w:right w:val="single" w:sz="4" w:space="0" w:color="030407"/>
                            </w:tcBorders>
                            <w:vAlign w:val="center"/>
                          </w:tcPr>
                          <w:p w14:paraId="6D6111E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5.33 – 8.78 </w:t>
                            </w:r>
                          </w:p>
                        </w:tc>
                        <w:tc>
                          <w:tcPr>
                            <w:tcW w:w="1512" w:type="dxa"/>
                            <w:gridSpan w:val="11"/>
                            <w:tcBorders>
                              <w:left w:val="single" w:sz="4" w:space="0" w:color="030407"/>
                              <w:right w:val="single" w:sz="4" w:space="0" w:color="010103"/>
                            </w:tcBorders>
                            <w:vAlign w:val="center"/>
                          </w:tcPr>
                          <w:p w14:paraId="3FF90D2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 </w:t>
                            </w:r>
                          </w:p>
                        </w:tc>
                      </w:tr>
                      <w:tr w:rsidR="00000000" w14:paraId="5DAC5659" w14:textId="77777777">
                        <w:tblPrEx>
                          <w:tblCellMar>
                            <w:top w:w="0" w:type="dxa"/>
                            <w:bottom w:w="0" w:type="dxa"/>
                          </w:tblCellMar>
                        </w:tblPrEx>
                        <w:trPr>
                          <w:gridAfter w:val="15"/>
                          <w:wAfter w:w="3390" w:type="dxa"/>
                          <w:trHeight w:val="213"/>
                        </w:trPr>
                        <w:tc>
                          <w:tcPr>
                            <w:tcW w:w="1525" w:type="dxa"/>
                            <w:gridSpan w:val="9"/>
                            <w:tcBorders>
                              <w:left w:val="single" w:sz="4" w:space="0" w:color="010103"/>
                              <w:right w:val="single" w:sz="4" w:space="0" w:color="030407"/>
                            </w:tcBorders>
                            <w:shd w:val="clear" w:color="auto" w:fill="E8E7F3"/>
                            <w:vAlign w:val="center"/>
                          </w:tcPr>
                          <w:p w14:paraId="659554E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268 – 538 </w:t>
                            </w:r>
                          </w:p>
                        </w:tc>
                        <w:tc>
                          <w:tcPr>
                            <w:tcW w:w="1512" w:type="dxa"/>
                            <w:gridSpan w:val="21"/>
                            <w:tcBorders>
                              <w:left w:val="single" w:sz="4" w:space="0" w:color="030407"/>
                              <w:right w:val="single" w:sz="4" w:space="0" w:color="030407"/>
                            </w:tcBorders>
                            <w:shd w:val="clear" w:color="auto" w:fill="E8E7F3"/>
                            <w:vAlign w:val="center"/>
                          </w:tcPr>
                          <w:p w14:paraId="2CE66DD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 </w:t>
                            </w:r>
                          </w:p>
                        </w:tc>
                        <w:tc>
                          <w:tcPr>
                            <w:tcW w:w="1750" w:type="dxa"/>
                            <w:gridSpan w:val="22"/>
                            <w:tcBorders>
                              <w:left w:val="single" w:sz="4" w:space="0" w:color="030407"/>
                              <w:right w:val="single" w:sz="4" w:space="0" w:color="030407"/>
                            </w:tcBorders>
                            <w:shd w:val="clear" w:color="auto" w:fill="E8E7F3"/>
                            <w:vAlign w:val="center"/>
                          </w:tcPr>
                          <w:p w14:paraId="1F10C81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8.79 </w:t>
                            </w:r>
                            <w:r>
                              <w:rPr>
                                <w:rFonts w:ascii="Helvetica 55 Roman" w:hAnsi="Helvetica 55 Roman" w:cs="Helvetica 55 Roman"/>
                                <w:sz w:val="18"/>
                                <w:szCs w:val="18"/>
                              </w:rPr>
                              <w:t xml:space="preserve">– 14.2 </w:t>
                            </w:r>
                          </w:p>
                        </w:tc>
                        <w:tc>
                          <w:tcPr>
                            <w:tcW w:w="1512" w:type="dxa"/>
                            <w:gridSpan w:val="11"/>
                            <w:tcBorders>
                              <w:left w:val="single" w:sz="4" w:space="0" w:color="030407"/>
                              <w:right w:val="single" w:sz="4" w:space="0" w:color="010103"/>
                            </w:tcBorders>
                            <w:shd w:val="clear" w:color="auto" w:fill="E8E7F3"/>
                            <w:vAlign w:val="center"/>
                          </w:tcPr>
                          <w:p w14:paraId="61D9054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 </w:t>
                            </w:r>
                          </w:p>
                        </w:tc>
                      </w:tr>
                      <w:tr w:rsidR="00000000" w14:paraId="54E0A459" w14:textId="77777777">
                        <w:tblPrEx>
                          <w:tblCellMar>
                            <w:top w:w="0" w:type="dxa"/>
                            <w:bottom w:w="0" w:type="dxa"/>
                          </w:tblCellMar>
                        </w:tblPrEx>
                        <w:trPr>
                          <w:gridAfter w:val="15"/>
                          <w:wAfter w:w="3390" w:type="dxa"/>
                          <w:trHeight w:val="212"/>
                        </w:trPr>
                        <w:tc>
                          <w:tcPr>
                            <w:tcW w:w="1525" w:type="dxa"/>
                            <w:gridSpan w:val="9"/>
                            <w:tcBorders>
                              <w:left w:val="single" w:sz="4" w:space="0" w:color="010103"/>
                              <w:right w:val="single" w:sz="4" w:space="0" w:color="030407"/>
                            </w:tcBorders>
                            <w:vAlign w:val="center"/>
                          </w:tcPr>
                          <w:p w14:paraId="3779813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539 – 1010 </w:t>
                            </w:r>
                          </w:p>
                        </w:tc>
                        <w:tc>
                          <w:tcPr>
                            <w:tcW w:w="1512" w:type="dxa"/>
                            <w:gridSpan w:val="21"/>
                            <w:tcBorders>
                              <w:left w:val="single" w:sz="4" w:space="0" w:color="030407"/>
                              <w:right w:val="single" w:sz="4" w:space="0" w:color="030407"/>
                            </w:tcBorders>
                            <w:vAlign w:val="center"/>
                          </w:tcPr>
                          <w:p w14:paraId="4B5E7EC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6 </w:t>
                            </w:r>
                          </w:p>
                        </w:tc>
                        <w:tc>
                          <w:tcPr>
                            <w:tcW w:w="1750" w:type="dxa"/>
                            <w:gridSpan w:val="22"/>
                            <w:tcBorders>
                              <w:left w:val="single" w:sz="4" w:space="0" w:color="030407"/>
                              <w:right w:val="single" w:sz="4" w:space="0" w:color="030407"/>
                            </w:tcBorders>
                            <w:vAlign w:val="center"/>
                          </w:tcPr>
                          <w:p w14:paraId="033399A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14.3 – 22.6 </w:t>
                            </w:r>
                          </w:p>
                        </w:tc>
                        <w:tc>
                          <w:tcPr>
                            <w:tcW w:w="1512" w:type="dxa"/>
                            <w:gridSpan w:val="11"/>
                            <w:tcBorders>
                              <w:left w:val="single" w:sz="4" w:space="0" w:color="030407"/>
                              <w:right w:val="single" w:sz="4" w:space="0" w:color="010103"/>
                            </w:tcBorders>
                            <w:vAlign w:val="center"/>
                          </w:tcPr>
                          <w:p w14:paraId="6D9A55F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 </w:t>
                            </w:r>
                          </w:p>
                        </w:tc>
                      </w:tr>
                      <w:tr w:rsidR="00000000" w14:paraId="0DAE6733" w14:textId="77777777">
                        <w:tblPrEx>
                          <w:tblCellMar>
                            <w:top w:w="0" w:type="dxa"/>
                            <w:bottom w:w="0" w:type="dxa"/>
                          </w:tblCellMar>
                        </w:tblPrEx>
                        <w:trPr>
                          <w:gridAfter w:val="15"/>
                          <w:wAfter w:w="3390" w:type="dxa"/>
                          <w:trHeight w:val="212"/>
                        </w:trPr>
                        <w:tc>
                          <w:tcPr>
                            <w:tcW w:w="1525" w:type="dxa"/>
                            <w:gridSpan w:val="9"/>
                            <w:tcBorders>
                              <w:left w:val="single" w:sz="4" w:space="0" w:color="010103"/>
                              <w:right w:val="single" w:sz="4" w:space="0" w:color="030407"/>
                            </w:tcBorders>
                            <w:shd w:val="clear" w:color="auto" w:fill="E8E7F3"/>
                          </w:tcPr>
                          <w:p w14:paraId="490DBCFA" w14:textId="77777777" w:rsidR="00000000" w:rsidRDefault="00A450E1">
                            <w:pPr>
                              <w:pStyle w:val="Default"/>
                              <w:jc w:val="center"/>
                              <w:rPr>
                                <w:rFonts w:cs="Times New Roman"/>
                                <w:color w:val="auto"/>
                              </w:rPr>
                            </w:pPr>
                          </w:p>
                        </w:tc>
                        <w:tc>
                          <w:tcPr>
                            <w:tcW w:w="1512" w:type="dxa"/>
                            <w:gridSpan w:val="21"/>
                            <w:tcBorders>
                              <w:left w:val="single" w:sz="4" w:space="0" w:color="030407"/>
                              <w:right w:val="single" w:sz="4" w:space="0" w:color="030407"/>
                            </w:tcBorders>
                            <w:shd w:val="clear" w:color="auto" w:fill="E8E7F3"/>
                          </w:tcPr>
                          <w:p w14:paraId="2F17AA13" w14:textId="77777777" w:rsidR="00000000" w:rsidRDefault="00A450E1">
                            <w:pPr>
                              <w:pStyle w:val="Default"/>
                              <w:jc w:val="center"/>
                              <w:rPr>
                                <w:rFonts w:cs="Times New Roman"/>
                                <w:color w:val="auto"/>
                              </w:rPr>
                            </w:pPr>
                          </w:p>
                        </w:tc>
                        <w:tc>
                          <w:tcPr>
                            <w:tcW w:w="1750" w:type="dxa"/>
                            <w:gridSpan w:val="22"/>
                            <w:tcBorders>
                              <w:left w:val="single" w:sz="4" w:space="0" w:color="030407"/>
                              <w:right w:val="single" w:sz="4" w:space="0" w:color="030407"/>
                            </w:tcBorders>
                            <w:shd w:val="clear" w:color="auto" w:fill="E8E7F3"/>
                            <w:vAlign w:val="center"/>
                          </w:tcPr>
                          <w:p w14:paraId="39E459E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22.7 – 35.6 </w:t>
                            </w:r>
                          </w:p>
                        </w:tc>
                        <w:tc>
                          <w:tcPr>
                            <w:tcW w:w="1512" w:type="dxa"/>
                            <w:gridSpan w:val="11"/>
                            <w:tcBorders>
                              <w:left w:val="single" w:sz="4" w:space="0" w:color="030407"/>
                              <w:right w:val="single" w:sz="4" w:space="0" w:color="010103"/>
                            </w:tcBorders>
                            <w:shd w:val="clear" w:color="auto" w:fill="E8E7F3"/>
                            <w:vAlign w:val="center"/>
                          </w:tcPr>
                          <w:p w14:paraId="085A5CF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 </w:t>
                            </w:r>
                          </w:p>
                        </w:tc>
                      </w:tr>
                      <w:tr w:rsidR="00000000" w14:paraId="5D0EFA69" w14:textId="77777777">
                        <w:tblPrEx>
                          <w:tblCellMar>
                            <w:top w:w="0" w:type="dxa"/>
                            <w:bottom w:w="0" w:type="dxa"/>
                          </w:tblCellMar>
                        </w:tblPrEx>
                        <w:trPr>
                          <w:gridAfter w:val="15"/>
                          <w:wAfter w:w="3390" w:type="dxa"/>
                          <w:trHeight w:val="213"/>
                        </w:trPr>
                        <w:tc>
                          <w:tcPr>
                            <w:tcW w:w="1525" w:type="dxa"/>
                            <w:gridSpan w:val="9"/>
                            <w:tcBorders>
                              <w:left w:val="single" w:sz="4" w:space="0" w:color="010103"/>
                              <w:right w:val="single" w:sz="4" w:space="0" w:color="030407"/>
                            </w:tcBorders>
                          </w:tcPr>
                          <w:p w14:paraId="76B9CAB8" w14:textId="77777777" w:rsidR="00000000" w:rsidRDefault="00A450E1">
                            <w:pPr>
                              <w:pStyle w:val="Default"/>
                              <w:jc w:val="center"/>
                              <w:rPr>
                                <w:rFonts w:cs="Times New Roman"/>
                                <w:color w:val="auto"/>
                              </w:rPr>
                            </w:pPr>
                          </w:p>
                        </w:tc>
                        <w:tc>
                          <w:tcPr>
                            <w:tcW w:w="1512" w:type="dxa"/>
                            <w:gridSpan w:val="21"/>
                            <w:tcBorders>
                              <w:left w:val="single" w:sz="4" w:space="0" w:color="030407"/>
                              <w:right w:val="single" w:sz="4" w:space="0" w:color="030407"/>
                            </w:tcBorders>
                          </w:tcPr>
                          <w:p w14:paraId="50A2E1B7" w14:textId="77777777" w:rsidR="00000000" w:rsidRDefault="00A450E1">
                            <w:pPr>
                              <w:pStyle w:val="Default"/>
                              <w:jc w:val="center"/>
                              <w:rPr>
                                <w:rFonts w:cs="Times New Roman"/>
                                <w:color w:val="auto"/>
                              </w:rPr>
                            </w:pPr>
                          </w:p>
                        </w:tc>
                        <w:tc>
                          <w:tcPr>
                            <w:tcW w:w="1750" w:type="dxa"/>
                            <w:gridSpan w:val="22"/>
                            <w:tcBorders>
                              <w:left w:val="single" w:sz="4" w:space="0" w:color="030407"/>
                              <w:right w:val="single" w:sz="4" w:space="0" w:color="030407"/>
                            </w:tcBorders>
                            <w:vAlign w:val="center"/>
                          </w:tcPr>
                          <w:p w14:paraId="13BA007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35.7 – 55.5 </w:t>
                            </w:r>
                          </w:p>
                        </w:tc>
                        <w:tc>
                          <w:tcPr>
                            <w:tcW w:w="1512" w:type="dxa"/>
                            <w:gridSpan w:val="11"/>
                            <w:tcBorders>
                              <w:left w:val="single" w:sz="4" w:space="0" w:color="030407"/>
                              <w:right w:val="single" w:sz="4" w:space="0" w:color="010103"/>
                            </w:tcBorders>
                            <w:vAlign w:val="center"/>
                          </w:tcPr>
                          <w:p w14:paraId="61B0F76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 </w:t>
                            </w:r>
                          </w:p>
                        </w:tc>
                      </w:tr>
                      <w:tr w:rsidR="00000000" w14:paraId="05E5160F" w14:textId="77777777">
                        <w:tblPrEx>
                          <w:tblCellMar>
                            <w:top w:w="0" w:type="dxa"/>
                            <w:bottom w:w="0" w:type="dxa"/>
                          </w:tblCellMar>
                        </w:tblPrEx>
                        <w:trPr>
                          <w:gridAfter w:val="15"/>
                          <w:wAfter w:w="3390" w:type="dxa"/>
                          <w:trHeight w:val="212"/>
                        </w:trPr>
                        <w:tc>
                          <w:tcPr>
                            <w:tcW w:w="1525" w:type="dxa"/>
                            <w:gridSpan w:val="9"/>
                            <w:tcBorders>
                              <w:left w:val="single" w:sz="4" w:space="0" w:color="010103"/>
                              <w:right w:val="single" w:sz="4" w:space="0" w:color="030407"/>
                            </w:tcBorders>
                            <w:shd w:val="clear" w:color="auto" w:fill="E8E7F3"/>
                          </w:tcPr>
                          <w:p w14:paraId="22A97480" w14:textId="77777777" w:rsidR="00000000" w:rsidRDefault="00A450E1">
                            <w:pPr>
                              <w:pStyle w:val="Default"/>
                              <w:jc w:val="center"/>
                              <w:rPr>
                                <w:rFonts w:cs="Times New Roman"/>
                                <w:color w:val="auto"/>
                              </w:rPr>
                            </w:pPr>
                          </w:p>
                        </w:tc>
                        <w:tc>
                          <w:tcPr>
                            <w:tcW w:w="1512" w:type="dxa"/>
                            <w:gridSpan w:val="21"/>
                            <w:tcBorders>
                              <w:left w:val="single" w:sz="4" w:space="0" w:color="030407"/>
                              <w:right w:val="single" w:sz="4" w:space="0" w:color="030407"/>
                            </w:tcBorders>
                            <w:shd w:val="clear" w:color="auto" w:fill="E8E7F3"/>
                          </w:tcPr>
                          <w:p w14:paraId="59E70A9F" w14:textId="77777777" w:rsidR="00000000" w:rsidRDefault="00A450E1">
                            <w:pPr>
                              <w:pStyle w:val="Default"/>
                              <w:jc w:val="center"/>
                              <w:rPr>
                                <w:rFonts w:cs="Times New Roman"/>
                                <w:color w:val="auto"/>
                              </w:rPr>
                            </w:pPr>
                          </w:p>
                        </w:tc>
                        <w:tc>
                          <w:tcPr>
                            <w:tcW w:w="1750" w:type="dxa"/>
                            <w:gridSpan w:val="22"/>
                            <w:tcBorders>
                              <w:left w:val="single" w:sz="4" w:space="0" w:color="030407"/>
                              <w:right w:val="single" w:sz="4" w:space="0" w:color="030407"/>
                            </w:tcBorders>
                            <w:shd w:val="clear" w:color="auto" w:fill="E8E7F3"/>
                            <w:vAlign w:val="center"/>
                          </w:tcPr>
                          <w:p w14:paraId="0F8F517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55.6 – 85.6 </w:t>
                            </w:r>
                          </w:p>
                        </w:tc>
                        <w:tc>
                          <w:tcPr>
                            <w:tcW w:w="1512" w:type="dxa"/>
                            <w:gridSpan w:val="11"/>
                            <w:tcBorders>
                              <w:left w:val="single" w:sz="4" w:space="0" w:color="030407"/>
                              <w:right w:val="single" w:sz="4" w:space="0" w:color="010103"/>
                            </w:tcBorders>
                            <w:shd w:val="clear" w:color="auto" w:fill="E8E7F3"/>
                            <w:vAlign w:val="center"/>
                          </w:tcPr>
                          <w:p w14:paraId="0835756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 </w:t>
                            </w:r>
                          </w:p>
                        </w:tc>
                      </w:tr>
                      <w:tr w:rsidR="00000000" w14:paraId="25CA1E1E" w14:textId="77777777">
                        <w:tblPrEx>
                          <w:tblCellMar>
                            <w:top w:w="0" w:type="dxa"/>
                            <w:bottom w:w="0" w:type="dxa"/>
                          </w:tblCellMar>
                        </w:tblPrEx>
                        <w:trPr>
                          <w:gridAfter w:val="15"/>
                          <w:wAfter w:w="3390" w:type="dxa"/>
                          <w:trHeight w:val="212"/>
                        </w:trPr>
                        <w:tc>
                          <w:tcPr>
                            <w:tcW w:w="1525" w:type="dxa"/>
                            <w:gridSpan w:val="9"/>
                            <w:tcBorders>
                              <w:left w:val="single" w:sz="4" w:space="0" w:color="010103"/>
                              <w:right w:val="single" w:sz="4" w:space="0" w:color="030407"/>
                            </w:tcBorders>
                          </w:tcPr>
                          <w:p w14:paraId="408BEEAD" w14:textId="77777777" w:rsidR="00000000" w:rsidRDefault="00A450E1">
                            <w:pPr>
                              <w:pStyle w:val="Default"/>
                              <w:jc w:val="center"/>
                              <w:rPr>
                                <w:rFonts w:cs="Times New Roman"/>
                                <w:color w:val="auto"/>
                              </w:rPr>
                            </w:pPr>
                          </w:p>
                        </w:tc>
                        <w:tc>
                          <w:tcPr>
                            <w:tcW w:w="1512" w:type="dxa"/>
                            <w:gridSpan w:val="21"/>
                            <w:tcBorders>
                              <w:left w:val="single" w:sz="4" w:space="0" w:color="030407"/>
                              <w:right w:val="single" w:sz="4" w:space="0" w:color="030407"/>
                            </w:tcBorders>
                          </w:tcPr>
                          <w:p w14:paraId="535049A6" w14:textId="77777777" w:rsidR="00000000" w:rsidRDefault="00A450E1">
                            <w:pPr>
                              <w:pStyle w:val="Default"/>
                              <w:jc w:val="center"/>
                              <w:rPr>
                                <w:rFonts w:cs="Times New Roman"/>
                                <w:color w:val="auto"/>
                              </w:rPr>
                            </w:pPr>
                          </w:p>
                        </w:tc>
                        <w:tc>
                          <w:tcPr>
                            <w:tcW w:w="1750" w:type="dxa"/>
                            <w:gridSpan w:val="22"/>
                            <w:tcBorders>
                              <w:left w:val="single" w:sz="4" w:space="0" w:color="030407"/>
                              <w:right w:val="single" w:sz="4" w:space="0" w:color="030407"/>
                            </w:tcBorders>
                            <w:vAlign w:val="center"/>
                          </w:tcPr>
                          <w:p w14:paraId="4A26473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85.7 – 130 </w:t>
                            </w:r>
                          </w:p>
                        </w:tc>
                        <w:tc>
                          <w:tcPr>
                            <w:tcW w:w="1512" w:type="dxa"/>
                            <w:gridSpan w:val="11"/>
                            <w:tcBorders>
                              <w:left w:val="single" w:sz="4" w:space="0" w:color="030407"/>
                              <w:right w:val="single" w:sz="4" w:space="0" w:color="010103"/>
                            </w:tcBorders>
                            <w:vAlign w:val="center"/>
                          </w:tcPr>
                          <w:p w14:paraId="3987B22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 </w:t>
                            </w:r>
                          </w:p>
                        </w:tc>
                      </w:tr>
                      <w:tr w:rsidR="00000000" w14:paraId="66ACBA36" w14:textId="77777777">
                        <w:tblPrEx>
                          <w:tblCellMar>
                            <w:top w:w="0" w:type="dxa"/>
                            <w:bottom w:w="0" w:type="dxa"/>
                          </w:tblCellMar>
                        </w:tblPrEx>
                        <w:trPr>
                          <w:gridAfter w:val="15"/>
                          <w:wAfter w:w="3390" w:type="dxa"/>
                          <w:trHeight w:val="213"/>
                        </w:trPr>
                        <w:tc>
                          <w:tcPr>
                            <w:tcW w:w="1525" w:type="dxa"/>
                            <w:gridSpan w:val="9"/>
                            <w:tcBorders>
                              <w:left w:val="single" w:sz="4" w:space="0" w:color="010103"/>
                              <w:right w:val="single" w:sz="4" w:space="0" w:color="030407"/>
                            </w:tcBorders>
                            <w:shd w:val="clear" w:color="auto" w:fill="E8E7F3"/>
                          </w:tcPr>
                          <w:p w14:paraId="55F23538" w14:textId="77777777" w:rsidR="00000000" w:rsidRDefault="00A450E1">
                            <w:pPr>
                              <w:pStyle w:val="Default"/>
                              <w:jc w:val="center"/>
                              <w:rPr>
                                <w:rFonts w:cs="Times New Roman"/>
                                <w:color w:val="auto"/>
                              </w:rPr>
                            </w:pPr>
                          </w:p>
                        </w:tc>
                        <w:tc>
                          <w:tcPr>
                            <w:tcW w:w="1512" w:type="dxa"/>
                            <w:gridSpan w:val="21"/>
                            <w:tcBorders>
                              <w:left w:val="single" w:sz="4" w:space="0" w:color="030407"/>
                              <w:right w:val="single" w:sz="4" w:space="0" w:color="030407"/>
                            </w:tcBorders>
                            <w:shd w:val="clear" w:color="auto" w:fill="E8E7F3"/>
                          </w:tcPr>
                          <w:p w14:paraId="47F09AC2" w14:textId="77777777" w:rsidR="00000000" w:rsidRDefault="00A450E1">
                            <w:pPr>
                              <w:pStyle w:val="Default"/>
                              <w:jc w:val="center"/>
                              <w:rPr>
                                <w:rFonts w:cs="Times New Roman"/>
                                <w:color w:val="auto"/>
                              </w:rPr>
                            </w:pPr>
                          </w:p>
                        </w:tc>
                        <w:tc>
                          <w:tcPr>
                            <w:tcW w:w="1750" w:type="dxa"/>
                            <w:gridSpan w:val="22"/>
                            <w:tcBorders>
                              <w:left w:val="single" w:sz="4" w:space="0" w:color="030407"/>
                              <w:right w:val="single" w:sz="4" w:space="0" w:color="030407"/>
                            </w:tcBorders>
                            <w:shd w:val="clear" w:color="auto" w:fill="E8E7F3"/>
                            <w:vAlign w:val="center"/>
                          </w:tcPr>
                          <w:p w14:paraId="746DD02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131 – 198 </w:t>
                            </w:r>
                          </w:p>
                        </w:tc>
                        <w:tc>
                          <w:tcPr>
                            <w:tcW w:w="1512" w:type="dxa"/>
                            <w:gridSpan w:val="11"/>
                            <w:tcBorders>
                              <w:left w:val="single" w:sz="4" w:space="0" w:color="030407"/>
                              <w:right w:val="single" w:sz="4" w:space="0" w:color="010103"/>
                            </w:tcBorders>
                            <w:shd w:val="clear" w:color="auto" w:fill="E8E7F3"/>
                            <w:vAlign w:val="center"/>
                          </w:tcPr>
                          <w:p w14:paraId="33D7538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 </w:t>
                            </w:r>
                          </w:p>
                        </w:tc>
                      </w:tr>
                      <w:tr w:rsidR="00000000" w14:paraId="4DE7C13B" w14:textId="77777777">
                        <w:tblPrEx>
                          <w:tblCellMar>
                            <w:top w:w="0" w:type="dxa"/>
                            <w:bottom w:w="0" w:type="dxa"/>
                          </w:tblCellMar>
                        </w:tblPrEx>
                        <w:trPr>
                          <w:gridAfter w:val="15"/>
                          <w:wAfter w:w="3390" w:type="dxa"/>
                          <w:trHeight w:val="212"/>
                        </w:trPr>
                        <w:tc>
                          <w:tcPr>
                            <w:tcW w:w="1525" w:type="dxa"/>
                            <w:gridSpan w:val="9"/>
                            <w:tcBorders>
                              <w:left w:val="single" w:sz="4" w:space="0" w:color="010103"/>
                              <w:right w:val="single" w:sz="4" w:space="0" w:color="030407"/>
                            </w:tcBorders>
                          </w:tcPr>
                          <w:p w14:paraId="0B7084BC" w14:textId="77777777" w:rsidR="00000000" w:rsidRDefault="00A450E1">
                            <w:pPr>
                              <w:pStyle w:val="Default"/>
                              <w:jc w:val="center"/>
                              <w:rPr>
                                <w:rFonts w:cs="Times New Roman"/>
                                <w:color w:val="auto"/>
                              </w:rPr>
                            </w:pPr>
                          </w:p>
                        </w:tc>
                        <w:tc>
                          <w:tcPr>
                            <w:tcW w:w="1512" w:type="dxa"/>
                            <w:gridSpan w:val="21"/>
                            <w:tcBorders>
                              <w:left w:val="single" w:sz="4" w:space="0" w:color="030407"/>
                              <w:right w:val="single" w:sz="4" w:space="0" w:color="030407"/>
                            </w:tcBorders>
                          </w:tcPr>
                          <w:p w14:paraId="76A0CEF9" w14:textId="77777777" w:rsidR="00000000" w:rsidRDefault="00A450E1">
                            <w:pPr>
                              <w:pStyle w:val="Default"/>
                              <w:jc w:val="center"/>
                              <w:rPr>
                                <w:rFonts w:cs="Times New Roman"/>
                                <w:color w:val="auto"/>
                              </w:rPr>
                            </w:pPr>
                          </w:p>
                        </w:tc>
                        <w:tc>
                          <w:tcPr>
                            <w:tcW w:w="1750" w:type="dxa"/>
                            <w:gridSpan w:val="22"/>
                            <w:tcBorders>
                              <w:left w:val="single" w:sz="4" w:space="0" w:color="030407"/>
                              <w:right w:val="single" w:sz="4" w:space="0" w:color="030407"/>
                            </w:tcBorders>
                            <w:vAlign w:val="center"/>
                          </w:tcPr>
                          <w:p w14:paraId="12312CE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199 – 299 </w:t>
                            </w:r>
                          </w:p>
                        </w:tc>
                        <w:tc>
                          <w:tcPr>
                            <w:tcW w:w="1512" w:type="dxa"/>
                            <w:gridSpan w:val="11"/>
                            <w:tcBorders>
                              <w:left w:val="single" w:sz="4" w:space="0" w:color="030407"/>
                              <w:right w:val="single" w:sz="4" w:space="0" w:color="010103"/>
                            </w:tcBorders>
                            <w:vAlign w:val="center"/>
                          </w:tcPr>
                          <w:p w14:paraId="0393887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18 </w:t>
                            </w:r>
                          </w:p>
                        </w:tc>
                      </w:tr>
                      <w:tr w:rsidR="00000000" w14:paraId="34A7F111" w14:textId="77777777">
                        <w:tblPrEx>
                          <w:tblCellMar>
                            <w:top w:w="0" w:type="dxa"/>
                            <w:bottom w:w="0" w:type="dxa"/>
                          </w:tblCellMar>
                        </w:tblPrEx>
                        <w:trPr>
                          <w:gridAfter w:val="15"/>
                          <w:wAfter w:w="3390" w:type="dxa"/>
                          <w:trHeight w:val="213"/>
                        </w:trPr>
                        <w:tc>
                          <w:tcPr>
                            <w:tcW w:w="1525" w:type="dxa"/>
                            <w:gridSpan w:val="9"/>
                            <w:tcBorders>
                              <w:left w:val="single" w:sz="4" w:space="0" w:color="010103"/>
                              <w:right w:val="single" w:sz="4" w:space="0" w:color="030407"/>
                            </w:tcBorders>
                            <w:shd w:val="clear" w:color="auto" w:fill="E8E7F3"/>
                          </w:tcPr>
                          <w:p w14:paraId="4EECD983" w14:textId="77777777" w:rsidR="00000000" w:rsidRDefault="00A450E1">
                            <w:pPr>
                              <w:pStyle w:val="Default"/>
                              <w:jc w:val="center"/>
                              <w:rPr>
                                <w:rFonts w:cs="Times New Roman"/>
                                <w:color w:val="auto"/>
                              </w:rPr>
                            </w:pPr>
                          </w:p>
                        </w:tc>
                        <w:tc>
                          <w:tcPr>
                            <w:tcW w:w="1512" w:type="dxa"/>
                            <w:gridSpan w:val="21"/>
                            <w:tcBorders>
                              <w:left w:val="single" w:sz="4" w:space="0" w:color="030407"/>
                              <w:right w:val="single" w:sz="4" w:space="0" w:color="030407"/>
                            </w:tcBorders>
                            <w:shd w:val="clear" w:color="auto" w:fill="E8E7F3"/>
                          </w:tcPr>
                          <w:p w14:paraId="6F6151B3" w14:textId="77777777" w:rsidR="00000000" w:rsidRDefault="00A450E1">
                            <w:pPr>
                              <w:pStyle w:val="Default"/>
                              <w:jc w:val="center"/>
                              <w:rPr>
                                <w:rFonts w:cs="Times New Roman"/>
                                <w:color w:val="auto"/>
                              </w:rPr>
                            </w:pPr>
                          </w:p>
                        </w:tc>
                        <w:tc>
                          <w:tcPr>
                            <w:tcW w:w="1750" w:type="dxa"/>
                            <w:gridSpan w:val="22"/>
                            <w:tcBorders>
                              <w:left w:val="single" w:sz="4" w:space="0" w:color="030407"/>
                              <w:right w:val="single" w:sz="4" w:space="0" w:color="030407"/>
                            </w:tcBorders>
                            <w:shd w:val="clear" w:color="auto" w:fill="E8E7F3"/>
                            <w:vAlign w:val="center"/>
                          </w:tcPr>
                          <w:p w14:paraId="03883B7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300 – 449 </w:t>
                            </w:r>
                          </w:p>
                        </w:tc>
                        <w:tc>
                          <w:tcPr>
                            <w:tcW w:w="1512" w:type="dxa"/>
                            <w:gridSpan w:val="11"/>
                            <w:tcBorders>
                              <w:left w:val="single" w:sz="4" w:space="0" w:color="030407"/>
                              <w:right w:val="single" w:sz="4" w:space="0" w:color="010103"/>
                            </w:tcBorders>
                            <w:shd w:val="clear" w:color="auto" w:fill="E8E7F3"/>
                            <w:vAlign w:val="center"/>
                          </w:tcPr>
                          <w:p w14:paraId="1C5CF17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19 </w:t>
                            </w:r>
                          </w:p>
                        </w:tc>
                      </w:tr>
                      <w:tr w:rsidR="00000000" w14:paraId="77992C52" w14:textId="77777777">
                        <w:tblPrEx>
                          <w:tblCellMar>
                            <w:top w:w="0" w:type="dxa"/>
                            <w:bottom w:w="0" w:type="dxa"/>
                          </w:tblCellMar>
                        </w:tblPrEx>
                        <w:trPr>
                          <w:gridAfter w:val="15"/>
                          <w:wAfter w:w="3390" w:type="dxa"/>
                          <w:trHeight w:val="212"/>
                        </w:trPr>
                        <w:tc>
                          <w:tcPr>
                            <w:tcW w:w="1525" w:type="dxa"/>
                            <w:gridSpan w:val="9"/>
                            <w:tcBorders>
                              <w:left w:val="single" w:sz="4" w:space="0" w:color="010103"/>
                              <w:right w:val="single" w:sz="4" w:space="0" w:color="030407"/>
                            </w:tcBorders>
                          </w:tcPr>
                          <w:p w14:paraId="29D7F1AB" w14:textId="77777777" w:rsidR="00000000" w:rsidRDefault="00A450E1">
                            <w:pPr>
                              <w:pStyle w:val="Default"/>
                              <w:jc w:val="center"/>
                              <w:rPr>
                                <w:rFonts w:cs="Times New Roman"/>
                                <w:color w:val="auto"/>
                              </w:rPr>
                            </w:pPr>
                          </w:p>
                        </w:tc>
                        <w:tc>
                          <w:tcPr>
                            <w:tcW w:w="1512" w:type="dxa"/>
                            <w:gridSpan w:val="21"/>
                            <w:tcBorders>
                              <w:left w:val="single" w:sz="4" w:space="0" w:color="030407"/>
                              <w:right w:val="single" w:sz="4" w:space="0" w:color="030407"/>
                            </w:tcBorders>
                          </w:tcPr>
                          <w:p w14:paraId="5C5EF474" w14:textId="77777777" w:rsidR="00000000" w:rsidRDefault="00A450E1">
                            <w:pPr>
                              <w:pStyle w:val="Default"/>
                              <w:jc w:val="center"/>
                              <w:rPr>
                                <w:rFonts w:cs="Times New Roman"/>
                                <w:color w:val="auto"/>
                              </w:rPr>
                            </w:pPr>
                          </w:p>
                        </w:tc>
                        <w:tc>
                          <w:tcPr>
                            <w:tcW w:w="1750" w:type="dxa"/>
                            <w:gridSpan w:val="22"/>
                            <w:tcBorders>
                              <w:left w:val="single" w:sz="4" w:space="0" w:color="030407"/>
                              <w:right w:val="single" w:sz="4" w:space="0" w:color="030407"/>
                            </w:tcBorders>
                            <w:vAlign w:val="center"/>
                          </w:tcPr>
                          <w:p w14:paraId="41D4DCF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450 – 669 </w:t>
                            </w:r>
                          </w:p>
                        </w:tc>
                        <w:tc>
                          <w:tcPr>
                            <w:tcW w:w="1512" w:type="dxa"/>
                            <w:gridSpan w:val="11"/>
                            <w:tcBorders>
                              <w:left w:val="single" w:sz="4" w:space="0" w:color="030407"/>
                              <w:right w:val="single" w:sz="4" w:space="0" w:color="010103"/>
                            </w:tcBorders>
                            <w:vAlign w:val="center"/>
                          </w:tcPr>
                          <w:p w14:paraId="1E2E770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 </w:t>
                            </w:r>
                          </w:p>
                        </w:tc>
                      </w:tr>
                      <w:tr w:rsidR="00000000" w14:paraId="67920889" w14:textId="77777777">
                        <w:tblPrEx>
                          <w:tblCellMar>
                            <w:top w:w="0" w:type="dxa"/>
                            <w:bottom w:w="0" w:type="dxa"/>
                          </w:tblCellMar>
                        </w:tblPrEx>
                        <w:trPr>
                          <w:gridAfter w:val="15"/>
                          <w:wAfter w:w="3390" w:type="dxa"/>
                          <w:trHeight w:val="212"/>
                        </w:trPr>
                        <w:tc>
                          <w:tcPr>
                            <w:tcW w:w="1525" w:type="dxa"/>
                            <w:gridSpan w:val="9"/>
                            <w:tcBorders>
                              <w:left w:val="single" w:sz="4" w:space="0" w:color="010103"/>
                              <w:right w:val="single" w:sz="4" w:space="0" w:color="030407"/>
                            </w:tcBorders>
                            <w:shd w:val="clear" w:color="auto" w:fill="E8E7F3"/>
                          </w:tcPr>
                          <w:p w14:paraId="4A462B64" w14:textId="77777777" w:rsidR="00000000" w:rsidRDefault="00A450E1">
                            <w:pPr>
                              <w:pStyle w:val="Default"/>
                              <w:jc w:val="center"/>
                              <w:rPr>
                                <w:rFonts w:cs="Times New Roman"/>
                                <w:color w:val="auto"/>
                              </w:rPr>
                            </w:pPr>
                          </w:p>
                        </w:tc>
                        <w:tc>
                          <w:tcPr>
                            <w:tcW w:w="1512" w:type="dxa"/>
                            <w:gridSpan w:val="21"/>
                            <w:tcBorders>
                              <w:left w:val="single" w:sz="4" w:space="0" w:color="030407"/>
                              <w:right w:val="single" w:sz="4" w:space="0" w:color="030407"/>
                            </w:tcBorders>
                            <w:shd w:val="clear" w:color="auto" w:fill="E8E7F3"/>
                          </w:tcPr>
                          <w:p w14:paraId="00FB80DC" w14:textId="77777777" w:rsidR="00000000" w:rsidRDefault="00A450E1">
                            <w:pPr>
                              <w:pStyle w:val="Default"/>
                              <w:jc w:val="center"/>
                              <w:rPr>
                                <w:rFonts w:cs="Times New Roman"/>
                                <w:color w:val="auto"/>
                              </w:rPr>
                            </w:pPr>
                          </w:p>
                        </w:tc>
                        <w:tc>
                          <w:tcPr>
                            <w:tcW w:w="1750" w:type="dxa"/>
                            <w:gridSpan w:val="22"/>
                            <w:tcBorders>
                              <w:left w:val="single" w:sz="4" w:space="0" w:color="030407"/>
                              <w:right w:val="single" w:sz="4" w:space="0" w:color="030407"/>
                            </w:tcBorders>
                            <w:shd w:val="clear" w:color="auto" w:fill="E8E7F3"/>
                            <w:vAlign w:val="center"/>
                          </w:tcPr>
                          <w:p w14:paraId="4B8B301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670 – 993 </w:t>
                            </w:r>
                          </w:p>
                        </w:tc>
                        <w:tc>
                          <w:tcPr>
                            <w:tcW w:w="1512" w:type="dxa"/>
                            <w:gridSpan w:val="11"/>
                            <w:tcBorders>
                              <w:left w:val="single" w:sz="4" w:space="0" w:color="030407"/>
                              <w:right w:val="single" w:sz="4" w:space="0" w:color="010103"/>
                            </w:tcBorders>
                            <w:shd w:val="clear" w:color="auto" w:fill="E8E7F3"/>
                            <w:vAlign w:val="center"/>
                          </w:tcPr>
                          <w:p w14:paraId="35C1D19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21 </w:t>
                            </w:r>
                          </w:p>
                        </w:tc>
                      </w:tr>
                      <w:tr w:rsidR="00000000" w14:paraId="45B8C19D" w14:textId="77777777">
                        <w:tblPrEx>
                          <w:tblCellMar>
                            <w:top w:w="0" w:type="dxa"/>
                            <w:bottom w:w="0" w:type="dxa"/>
                          </w:tblCellMar>
                        </w:tblPrEx>
                        <w:trPr>
                          <w:gridAfter w:val="15"/>
                          <w:wAfter w:w="3390" w:type="dxa"/>
                          <w:trHeight w:val="212"/>
                        </w:trPr>
                        <w:tc>
                          <w:tcPr>
                            <w:tcW w:w="1525" w:type="dxa"/>
                            <w:gridSpan w:val="9"/>
                            <w:tcBorders>
                              <w:left w:val="single" w:sz="4" w:space="0" w:color="010103"/>
                              <w:bottom w:val="single" w:sz="4" w:space="0" w:color="000000"/>
                              <w:right w:val="single" w:sz="4" w:space="0" w:color="030407"/>
                            </w:tcBorders>
                          </w:tcPr>
                          <w:p w14:paraId="685E4D94" w14:textId="77777777" w:rsidR="00000000" w:rsidRDefault="00A450E1">
                            <w:pPr>
                              <w:pStyle w:val="Default"/>
                              <w:jc w:val="center"/>
                              <w:rPr>
                                <w:rFonts w:cs="Times New Roman"/>
                                <w:color w:val="auto"/>
                              </w:rPr>
                            </w:pPr>
                          </w:p>
                        </w:tc>
                        <w:tc>
                          <w:tcPr>
                            <w:tcW w:w="1512" w:type="dxa"/>
                            <w:gridSpan w:val="21"/>
                            <w:tcBorders>
                              <w:left w:val="single" w:sz="4" w:space="0" w:color="030407"/>
                              <w:bottom w:val="single" w:sz="4" w:space="0" w:color="000000"/>
                              <w:right w:val="single" w:sz="4" w:space="0" w:color="030407"/>
                            </w:tcBorders>
                          </w:tcPr>
                          <w:p w14:paraId="04D3107E" w14:textId="77777777" w:rsidR="00000000" w:rsidRDefault="00A450E1">
                            <w:pPr>
                              <w:pStyle w:val="Default"/>
                              <w:jc w:val="center"/>
                              <w:rPr>
                                <w:rFonts w:cs="Times New Roman"/>
                                <w:color w:val="auto"/>
                              </w:rPr>
                            </w:pPr>
                          </w:p>
                        </w:tc>
                        <w:tc>
                          <w:tcPr>
                            <w:tcW w:w="1750" w:type="dxa"/>
                            <w:gridSpan w:val="22"/>
                            <w:tcBorders>
                              <w:left w:val="single" w:sz="4" w:space="0" w:color="030407"/>
                              <w:bottom w:val="single" w:sz="4" w:space="0" w:color="000000"/>
                              <w:right w:val="single" w:sz="4" w:space="0" w:color="030407"/>
                            </w:tcBorders>
                            <w:vAlign w:val="center"/>
                          </w:tcPr>
                          <w:p w14:paraId="302C709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994 – 1460 </w:t>
                            </w:r>
                          </w:p>
                        </w:tc>
                        <w:tc>
                          <w:tcPr>
                            <w:tcW w:w="1512" w:type="dxa"/>
                            <w:gridSpan w:val="11"/>
                            <w:tcBorders>
                              <w:left w:val="single" w:sz="4" w:space="0" w:color="030407"/>
                              <w:bottom w:val="single" w:sz="4" w:space="0" w:color="000000"/>
                              <w:right w:val="single" w:sz="4" w:space="0" w:color="010103"/>
                            </w:tcBorders>
                            <w:vAlign w:val="center"/>
                          </w:tcPr>
                          <w:p w14:paraId="33E7266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22 </w:t>
                            </w:r>
                          </w:p>
                        </w:tc>
                      </w:tr>
                    </w:tbl>
                  </w:txbxContent>
                </v:textbox>
                <w10:wrap type="through" anchorx="page" anchory="page"/>
              </v:shape>
            </w:pict>
          </mc:Fallback>
        </mc:AlternateContent>
      </w:r>
    </w:p>
    <w:p w14:paraId="11ACA44D" w14:textId="77777777" w:rsidR="00541A14" w:rsidRDefault="00DD420F">
      <w:pPr>
        <w:pStyle w:val="Default"/>
        <w:framePr w:w="10739" w:wrap="auto" w:vAnchor="page" w:hAnchor="page" w:x="1434" w:y="16278"/>
        <w:rPr>
          <w:rFonts w:cs="Times New Roman"/>
          <w:color w:val="auto"/>
        </w:rPr>
      </w:pPr>
      <w:r>
        <w:rPr>
          <w:rFonts w:cs="Times New Roman"/>
          <w:noProof/>
          <w:color w:val="auto"/>
        </w:rPr>
        <w:drawing>
          <wp:inline distT="0" distB="0" distL="0" distR="0" wp14:anchorId="4D0F1DDB" wp14:editId="57F92855">
            <wp:extent cx="7542530" cy="420370"/>
            <wp:effectExtent l="0" t="0" r="1270" b="1143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2727D2CD" w14:textId="77777777" w:rsidR="00541A14" w:rsidRDefault="00DD420F">
      <w:pPr>
        <w:pStyle w:val="Default"/>
        <w:pageBreakBefore/>
        <w:framePr w:w="24763" w:wrap="auto" w:vAnchor="page" w:hAnchor="page" w:x="101" w:y="1"/>
        <w:spacing w:after="640"/>
        <w:rPr>
          <w:rFonts w:cs="Times New Roman"/>
          <w:color w:val="auto"/>
        </w:rPr>
      </w:pPr>
      <w:r>
        <w:rPr>
          <w:rFonts w:cs="Times New Roman"/>
          <w:noProof/>
          <w:color w:val="auto"/>
        </w:rPr>
        <w:drawing>
          <wp:inline distT="0" distB="0" distL="0" distR="0" wp14:anchorId="0C8D338D" wp14:editId="1FFF6691">
            <wp:extent cx="7553960" cy="115316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3DCEB81F"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Luminous Range Diagram for Daytime use </w:t>
      </w:r>
    </w:p>
    <w:p w14:paraId="3E7A5933"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Luminous Range Diagram, shown in Figure 12 enables the mariner to determine the approximate range at which a light may be sighted, by day in the meteorological conditions prevailing at the time, and for various levels of sky luminance (refer to Table 13). </w:t>
      </w:r>
    </w:p>
    <w:p w14:paraId="76BCCE7E"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b/>
          <w:bCs/>
          <w:color w:val="000000"/>
          <w:sz w:val="20"/>
          <w:szCs w:val="20"/>
        </w:rPr>
        <w:t xml:space="preserve">table 13 Required Illuminance in varying meteorological conditions </w:t>
      </w:r>
    </w:p>
    <w:p w14:paraId="444AB73A"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75648" behindDoc="0" locked="0" layoutInCell="0" allowOverlap="1" wp14:anchorId="240E80F3" wp14:editId="5B75AD90">
                <wp:simplePos x="0" y="0"/>
                <wp:positionH relativeFrom="page">
                  <wp:posOffset>838835</wp:posOffset>
                </wp:positionH>
                <wp:positionV relativeFrom="page">
                  <wp:posOffset>2654935</wp:posOffset>
                </wp:positionV>
                <wp:extent cx="6108700" cy="2759075"/>
                <wp:effectExtent l="0" t="0" r="0" b="0"/>
                <wp:wrapThrough wrapText="bothSides">
                  <wp:wrapPolygon edited="0">
                    <wp:start x="0" y="0"/>
                    <wp:lineTo x="21600" y="0"/>
                    <wp:lineTo x="21600" y="21600"/>
                    <wp:lineTo x="0" y="21600"/>
                    <wp:lineTo x="0" y="0"/>
                  </wp:wrapPolygon>
                </wp:wrapThrough>
                <wp:docPr id="53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275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5905"/>
                              <w:gridCol w:w="1450"/>
                              <w:gridCol w:w="1465"/>
                            </w:tblGrid>
                            <w:tr w:rsidR="00541A14" w14:paraId="2712520D" w14:textId="77777777">
                              <w:trPr>
                                <w:trHeight w:val="433"/>
                              </w:trPr>
                              <w:tc>
                                <w:tcPr>
                                  <w:tcW w:w="5905" w:type="dxa"/>
                                  <w:tcBorders>
                                    <w:top w:val="single" w:sz="4" w:space="0" w:color="0E0F1A"/>
                                    <w:left w:val="single" w:sz="4" w:space="0" w:color="030306"/>
                                    <w:right w:val="single" w:sz="4" w:space="0" w:color="06070C"/>
                                  </w:tcBorders>
                                  <w:shd w:val="clear" w:color="auto" w:fill="5E64A8"/>
                                  <w:vAlign w:val="center"/>
                                </w:tcPr>
                                <w:p w14:paraId="022EC0AC"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Meteorological condition </w:t>
                                  </w:r>
                                </w:p>
                              </w:tc>
                              <w:tc>
                                <w:tcPr>
                                  <w:tcW w:w="1450" w:type="dxa"/>
                                  <w:tcBorders>
                                    <w:top w:val="single" w:sz="4" w:space="0" w:color="0E0F1A"/>
                                    <w:left w:val="single" w:sz="4" w:space="0" w:color="06070C"/>
                                    <w:right w:val="single" w:sz="4" w:space="0" w:color="06070C"/>
                                  </w:tcBorders>
                                  <w:shd w:val="clear" w:color="auto" w:fill="5E64A8"/>
                                  <w:vAlign w:val="center"/>
                                </w:tcPr>
                                <w:p w14:paraId="56A22820"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Luminance in cd/m² </w:t>
                                  </w:r>
                                </w:p>
                              </w:tc>
                              <w:tc>
                                <w:tcPr>
                                  <w:tcW w:w="1465" w:type="dxa"/>
                                  <w:tcBorders>
                                    <w:top w:val="single" w:sz="4" w:space="0" w:color="0E0F1A"/>
                                    <w:left w:val="single" w:sz="4" w:space="0" w:color="06070C"/>
                                    <w:right w:val="single" w:sz="4" w:space="0" w:color="030306"/>
                                  </w:tcBorders>
                                  <w:shd w:val="clear" w:color="auto" w:fill="5E64A8"/>
                                  <w:vAlign w:val="center"/>
                                </w:tcPr>
                                <w:p w14:paraId="25EA42D3"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Required illuminance E</w:t>
                                  </w:r>
                                  <w:r>
                                    <w:rPr>
                                      <w:rFonts w:ascii="Helvetica 65 Medium" w:hAnsi="Helvetica 65 Medium" w:cs="Helvetica 65 Medium"/>
                                      <w:color w:val="FFFFFF"/>
                                      <w:sz w:val="10"/>
                                      <w:szCs w:val="10"/>
                                    </w:rPr>
                                    <w:t>t</w:t>
                                  </w:r>
                                  <w:r>
                                    <w:rPr>
                                      <w:rFonts w:ascii="Helvetica 65 Medium" w:hAnsi="Helvetica 65 Medium" w:cs="Helvetica 65 Medium"/>
                                      <w:color w:val="FFFFFF"/>
                                      <w:sz w:val="18"/>
                                      <w:szCs w:val="18"/>
                                    </w:rPr>
                                    <w:t xml:space="preserve"> in 10</w:t>
                                  </w:r>
                                  <w:r>
                                    <w:rPr>
                                      <w:rFonts w:ascii="Helvetica 65 Medium" w:hAnsi="Helvetica 65 Medium" w:cs="Helvetica 65 Medium"/>
                                      <w:color w:val="FFFFFF"/>
                                      <w:sz w:val="10"/>
                                      <w:szCs w:val="10"/>
                                    </w:rPr>
                                    <w:t>-3</w:t>
                                  </w:r>
                                  <w:r>
                                    <w:rPr>
                                      <w:rFonts w:ascii="Helvetica 65 Medium" w:hAnsi="Helvetica 65 Medium" w:cs="Helvetica 65 Medium"/>
                                      <w:color w:val="FFFFFF"/>
                                      <w:sz w:val="18"/>
                                      <w:szCs w:val="18"/>
                                    </w:rPr>
                                    <w:t xml:space="preserve"> lx </w:t>
                                  </w:r>
                                </w:p>
                              </w:tc>
                            </w:tr>
                            <w:tr w:rsidR="00541A14" w14:paraId="1B2832DE" w14:textId="77777777">
                              <w:trPr>
                                <w:trHeight w:val="1490"/>
                              </w:trPr>
                              <w:tc>
                                <w:tcPr>
                                  <w:tcW w:w="5905" w:type="dxa"/>
                                  <w:tcBorders>
                                    <w:top w:val="single" w:sz="2" w:space="0" w:color="5E64A8"/>
                                    <w:left w:val="single" w:sz="4" w:space="0" w:color="030306"/>
                                    <w:bottom w:val="single" w:sz="4" w:space="0" w:color="000000"/>
                                    <w:right w:val="single" w:sz="4" w:space="0" w:color="06070C"/>
                                  </w:tcBorders>
                                  <w:vAlign w:val="bottom"/>
                                </w:tcPr>
                                <w:p w14:paraId="04E2757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Very dark overcast sky Dark overcast sky Ordinary overcast sky Bright overcast sky or clear sky away from the direction of the sun Bright cloud or clear sky close to the direction of the sun Very bright cloud Glaring cloud </w:t>
                                  </w:r>
                                </w:p>
                              </w:tc>
                              <w:tc>
                                <w:tcPr>
                                  <w:tcW w:w="1450" w:type="dxa"/>
                                  <w:tcBorders>
                                    <w:top w:val="single" w:sz="2" w:space="0" w:color="5E64A8"/>
                                    <w:left w:val="single" w:sz="4" w:space="0" w:color="06070C"/>
                                    <w:bottom w:val="single" w:sz="4" w:space="0" w:color="000000"/>
                                    <w:right w:val="single" w:sz="4" w:space="0" w:color="06070C"/>
                                  </w:tcBorders>
                                  <w:vAlign w:val="bottom"/>
                                </w:tcPr>
                                <w:p w14:paraId="7EC05D2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100 200 1 000 5 000 10 000 20 000 50 000 </w:t>
                                  </w:r>
                                </w:p>
                              </w:tc>
                              <w:tc>
                                <w:tcPr>
                                  <w:tcW w:w="1465" w:type="dxa"/>
                                  <w:tcBorders>
                                    <w:top w:val="single" w:sz="2" w:space="0" w:color="5E64A8"/>
                                    <w:left w:val="single" w:sz="4" w:space="0" w:color="06070C"/>
                                    <w:bottom w:val="single" w:sz="4" w:space="0" w:color="000000"/>
                                    <w:right w:val="single" w:sz="4" w:space="0" w:color="030306"/>
                                  </w:tcBorders>
                                  <w:vAlign w:val="bottom"/>
                                </w:tcPr>
                                <w:p w14:paraId="34C2404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0.013 0.024 0.107 0.506 1 1.98 4.91 </w:t>
                                  </w:r>
                                </w:p>
                              </w:tc>
                            </w:tr>
                          </w:tbl>
                          <w:p w14:paraId="30ACB096"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43" type="#_x0000_t202" style="position:absolute;margin-left:66.05pt;margin-top:209.05pt;width:481pt;height:217.2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15"/>
                        <w:gridCol w:w="42"/>
                        <w:gridCol w:w="33"/>
                        <w:gridCol w:w="120"/>
                        <w:gridCol w:w="182"/>
                        <w:gridCol w:w="33"/>
                        <w:gridCol w:w="70"/>
                        <w:gridCol w:w="65"/>
                        <w:gridCol w:w="167"/>
                        <w:gridCol w:w="10"/>
                        <w:gridCol w:w="125"/>
                        <w:gridCol w:w="55"/>
                        <w:gridCol w:w="20"/>
                        <w:gridCol w:w="50"/>
                        <w:gridCol w:w="50"/>
                        <w:gridCol w:w="118"/>
                        <w:gridCol w:w="95"/>
                        <w:gridCol w:w="2"/>
                        <w:gridCol w:w="33"/>
                        <w:gridCol w:w="155"/>
                        <w:gridCol w:w="20"/>
                        <w:gridCol w:w="197"/>
                        <w:gridCol w:w="112"/>
                        <w:gridCol w:w="5"/>
                        <w:gridCol w:w="123"/>
                        <w:gridCol w:w="22"/>
                        <w:gridCol w:w="15"/>
                        <w:gridCol w:w="73"/>
                        <w:gridCol w:w="192"/>
                        <w:gridCol w:w="235"/>
                        <w:gridCol w:w="5"/>
                        <w:gridCol w:w="60"/>
                        <w:gridCol w:w="237"/>
                        <w:gridCol w:w="38"/>
                        <w:gridCol w:w="15"/>
                        <w:gridCol w:w="25"/>
                        <w:gridCol w:w="50"/>
                        <w:gridCol w:w="136"/>
                        <w:gridCol w:w="234"/>
                        <w:gridCol w:w="5"/>
                        <w:gridCol w:w="5"/>
                        <w:gridCol w:w="12"/>
                        <w:gridCol w:w="47"/>
                        <w:gridCol w:w="168"/>
                        <w:gridCol w:w="48"/>
                        <w:gridCol w:w="4"/>
                        <w:gridCol w:w="110"/>
                        <w:gridCol w:w="12"/>
                        <w:gridCol w:w="108"/>
                        <w:gridCol w:w="366"/>
                        <w:gridCol w:w="137"/>
                        <w:gridCol w:w="47"/>
                        <w:gridCol w:w="355"/>
                        <w:gridCol w:w="10"/>
                        <w:gridCol w:w="207"/>
                        <w:gridCol w:w="86"/>
                        <w:gridCol w:w="70"/>
                        <w:gridCol w:w="8"/>
                        <w:gridCol w:w="78"/>
                        <w:gridCol w:w="431"/>
                        <w:gridCol w:w="183"/>
                        <w:gridCol w:w="57"/>
                        <w:gridCol w:w="283"/>
                        <w:gridCol w:w="254"/>
                        <w:gridCol w:w="76"/>
                        <w:gridCol w:w="119"/>
                        <w:gridCol w:w="23"/>
                        <w:gridCol w:w="1086"/>
                        <w:gridCol w:w="161"/>
                        <w:gridCol w:w="173"/>
                        <w:gridCol w:w="71"/>
                        <w:gridCol w:w="6"/>
                        <w:gridCol w:w="15"/>
                        <w:gridCol w:w="8"/>
                      </w:tblGrid>
                      <w:tr w:rsidR="00000000" w14:paraId="2712520D" w14:textId="77777777">
                        <w:tblPrEx>
                          <w:tblCellMar>
                            <w:top w:w="0" w:type="dxa"/>
                            <w:bottom w:w="0" w:type="dxa"/>
                          </w:tblCellMar>
                        </w:tblPrEx>
                        <w:trPr>
                          <w:gridAfter w:val="5"/>
                          <w:wAfter w:w="2130" w:type="dxa"/>
                          <w:trHeight w:val="433"/>
                        </w:trPr>
                        <w:tc>
                          <w:tcPr>
                            <w:tcW w:w="5905" w:type="dxa"/>
                            <w:gridSpan w:val="57"/>
                            <w:tcBorders>
                              <w:top w:val="single" w:sz="4" w:space="0" w:color="0E0F1A"/>
                              <w:left w:val="single" w:sz="4" w:space="0" w:color="030306"/>
                              <w:right w:val="single" w:sz="4" w:space="0" w:color="06070C"/>
                            </w:tcBorders>
                            <w:shd w:val="clear" w:color="auto" w:fill="5E64A8"/>
                            <w:vAlign w:val="center"/>
                          </w:tcPr>
                          <w:p w14:paraId="022EC0AC"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Meteorological condition </w:t>
                            </w:r>
                          </w:p>
                        </w:tc>
                        <w:tc>
                          <w:tcPr>
                            <w:tcW w:w="1450" w:type="dxa"/>
                            <w:gridSpan w:val="9"/>
                            <w:tcBorders>
                              <w:top w:val="single" w:sz="4" w:space="0" w:color="0E0F1A"/>
                              <w:left w:val="single" w:sz="4" w:space="0" w:color="06070C"/>
                              <w:right w:val="single" w:sz="4" w:space="0" w:color="06070C"/>
                            </w:tcBorders>
                            <w:shd w:val="clear" w:color="auto" w:fill="5E64A8"/>
                            <w:vAlign w:val="center"/>
                          </w:tcPr>
                          <w:p w14:paraId="56A22820"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Luminance in cd/m² </w:t>
                            </w:r>
                          </w:p>
                        </w:tc>
                        <w:tc>
                          <w:tcPr>
                            <w:tcW w:w="1465" w:type="dxa"/>
                            <w:gridSpan w:val="5"/>
                            <w:tcBorders>
                              <w:top w:val="single" w:sz="4" w:space="0" w:color="0E0F1A"/>
                              <w:left w:val="single" w:sz="4" w:space="0" w:color="06070C"/>
                              <w:right w:val="single" w:sz="4" w:space="0" w:color="030306"/>
                            </w:tcBorders>
                            <w:shd w:val="clear" w:color="auto" w:fill="5E64A8"/>
                            <w:vAlign w:val="center"/>
                          </w:tcPr>
                          <w:p w14:paraId="25EA42D3"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Required illuminance E</w:t>
                            </w:r>
                            <w:r>
                              <w:rPr>
                                <w:rFonts w:ascii="Helvetica 65 Medium" w:hAnsi="Helvetica 65 Medium" w:cs="Helvetica 65 Medium"/>
                                <w:color w:val="FFFFFF"/>
                                <w:sz w:val="10"/>
                                <w:szCs w:val="10"/>
                              </w:rPr>
                              <w:t>t</w:t>
                            </w:r>
                            <w:r>
                              <w:rPr>
                                <w:rFonts w:ascii="Helvetica 65 Medium" w:hAnsi="Helvetica 65 Medium" w:cs="Helvetica 65 Medium"/>
                                <w:color w:val="FFFFFF"/>
                                <w:sz w:val="18"/>
                                <w:szCs w:val="18"/>
                              </w:rPr>
                              <w:t xml:space="preserve"> in 10</w:t>
                            </w:r>
                            <w:r>
                              <w:rPr>
                                <w:rFonts w:ascii="Helvetica 65 Medium" w:hAnsi="Helvetica 65 Medium" w:cs="Helvetica 65 Medium"/>
                                <w:color w:val="FFFFFF"/>
                                <w:sz w:val="10"/>
                                <w:szCs w:val="10"/>
                              </w:rPr>
                              <w:t>-3</w:t>
                            </w:r>
                            <w:r>
                              <w:rPr>
                                <w:rFonts w:ascii="Helvetica 65 Medium" w:hAnsi="Helvetica 65 Medium" w:cs="Helvetica 65 Medium"/>
                                <w:color w:val="FFFFFF"/>
                                <w:sz w:val="18"/>
                                <w:szCs w:val="18"/>
                              </w:rPr>
                              <w:t xml:space="preserve"> lx </w:t>
                            </w:r>
                          </w:p>
                        </w:tc>
                      </w:tr>
                      <w:tr w:rsidR="00000000" w14:paraId="1B2832DE" w14:textId="77777777">
                        <w:tblPrEx>
                          <w:tblCellMar>
                            <w:top w:w="0" w:type="dxa"/>
                            <w:bottom w:w="0" w:type="dxa"/>
                          </w:tblCellMar>
                        </w:tblPrEx>
                        <w:trPr>
                          <w:gridAfter w:val="5"/>
                          <w:wAfter w:w="2130" w:type="dxa"/>
                          <w:trHeight w:val="1490"/>
                        </w:trPr>
                        <w:tc>
                          <w:tcPr>
                            <w:tcW w:w="5905" w:type="dxa"/>
                            <w:gridSpan w:val="57"/>
                            <w:tcBorders>
                              <w:top w:val="single" w:sz="2" w:space="0" w:color="5E64A8"/>
                              <w:left w:val="single" w:sz="4" w:space="0" w:color="030306"/>
                              <w:bottom w:val="single" w:sz="4" w:space="0" w:color="000000"/>
                              <w:right w:val="single" w:sz="4" w:space="0" w:color="06070C"/>
                            </w:tcBorders>
                            <w:vAlign w:val="bottom"/>
                          </w:tcPr>
                          <w:p w14:paraId="04E2757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Very dark overcast sky Dark overcast sky Ordinary overcast sky Bright overcast sky or clear sky away from the direction of the sun Bright cloud or clear sky close to the direction of the sun Very bright cloud Glaring cloud </w:t>
                            </w:r>
                          </w:p>
                        </w:tc>
                        <w:tc>
                          <w:tcPr>
                            <w:tcW w:w="1450" w:type="dxa"/>
                            <w:gridSpan w:val="9"/>
                            <w:tcBorders>
                              <w:top w:val="single" w:sz="2" w:space="0" w:color="5E64A8"/>
                              <w:left w:val="single" w:sz="4" w:space="0" w:color="06070C"/>
                              <w:bottom w:val="single" w:sz="4" w:space="0" w:color="000000"/>
                              <w:right w:val="single" w:sz="4" w:space="0" w:color="06070C"/>
                            </w:tcBorders>
                            <w:vAlign w:val="bottom"/>
                          </w:tcPr>
                          <w:p w14:paraId="7EC05D2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100 200 1 000 5 000 10 000 20 00</w:t>
                            </w:r>
                            <w:r>
                              <w:rPr>
                                <w:rFonts w:ascii="Helvetica 55 Roman" w:hAnsi="Helvetica 55 Roman" w:cs="Helvetica 55 Roman"/>
                                <w:sz w:val="18"/>
                                <w:szCs w:val="18"/>
                              </w:rPr>
                              <w:t xml:space="preserve">0 50 000 </w:t>
                            </w:r>
                          </w:p>
                        </w:tc>
                        <w:tc>
                          <w:tcPr>
                            <w:tcW w:w="1465" w:type="dxa"/>
                            <w:gridSpan w:val="5"/>
                            <w:tcBorders>
                              <w:top w:val="single" w:sz="2" w:space="0" w:color="5E64A8"/>
                              <w:left w:val="single" w:sz="4" w:space="0" w:color="06070C"/>
                              <w:bottom w:val="single" w:sz="4" w:space="0" w:color="000000"/>
                              <w:right w:val="single" w:sz="4" w:space="0" w:color="030306"/>
                            </w:tcBorders>
                            <w:vAlign w:val="bottom"/>
                          </w:tcPr>
                          <w:p w14:paraId="34C2404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0.013 0.024 0.107 0.506 1 1.98 4.91 </w:t>
                            </w:r>
                          </w:p>
                        </w:tc>
                      </w:tr>
                    </w:tbl>
                  </w:txbxContent>
                </v:textbox>
                <w10:wrap type="through" anchorx="page" anchory="page"/>
              </v:shape>
            </w:pict>
          </mc:Fallback>
        </mc:AlternateContent>
      </w:r>
    </w:p>
    <w:p w14:paraId="016404DD"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The graph has been drawn for a sky luminance of 10 000 cd/m². For other values of sky luminance mark off along the scale of abscissae the distance between the luminance of 10 000 cd/m² and that under consideration as it appears on the auxiliary scale. </w:t>
      </w:r>
    </w:p>
    <w:p w14:paraId="751B4F20" w14:textId="77777777" w:rsidR="00541A14" w:rsidRDefault="00A450E1">
      <w:pPr>
        <w:pStyle w:val="CM165"/>
        <w:spacing w:after="85" w:line="296" w:lineRule="atLeast"/>
        <w:ind w:left="222"/>
        <w:rPr>
          <w:rFonts w:ascii="Palatino" w:hAnsi="Palatino" w:cs="Palatino"/>
          <w:sz w:val="20"/>
          <w:szCs w:val="20"/>
        </w:rPr>
      </w:pPr>
      <w:r>
        <w:rPr>
          <w:rFonts w:ascii="Palatino" w:hAnsi="Palatino" w:cs="Palatino"/>
          <w:b/>
          <w:bCs/>
          <w:sz w:val="20"/>
          <w:szCs w:val="20"/>
        </w:rPr>
        <w:t xml:space="preserve">Example: </w:t>
      </w:r>
    </w:p>
    <w:p w14:paraId="33B76B59" w14:textId="77777777" w:rsidR="00541A14" w:rsidRDefault="00A450E1">
      <w:pPr>
        <w:pStyle w:val="CM165"/>
        <w:spacing w:after="85" w:line="280" w:lineRule="atLeast"/>
        <w:ind w:left="220" w:right="172"/>
        <w:rPr>
          <w:rFonts w:ascii="Palatino" w:hAnsi="Palatino" w:cs="Palatino"/>
          <w:sz w:val="20"/>
          <w:szCs w:val="20"/>
        </w:rPr>
      </w:pPr>
      <w:r>
        <w:rPr>
          <w:rFonts w:ascii="Palatino" w:hAnsi="Palatino" w:cs="Palatino"/>
          <w:sz w:val="20"/>
          <w:szCs w:val="20"/>
        </w:rPr>
        <w:t xml:space="preserve">Suppose that it is required to calculate the luminous range of a light of 2 000 000 cd for a meteorological visibility of 2 nautical miles under an ordinary overcast sky (luminance 1 000 cd/ m²). </w:t>
      </w:r>
    </w:p>
    <w:p w14:paraId="1E9E09EE" w14:textId="77777777" w:rsidR="00541A14" w:rsidRDefault="00A450E1">
      <w:pPr>
        <w:pStyle w:val="CM165"/>
        <w:spacing w:after="85" w:line="280" w:lineRule="atLeast"/>
        <w:ind w:left="220" w:right="172"/>
        <w:rPr>
          <w:rFonts w:ascii="Palatino" w:hAnsi="Palatino" w:cs="Palatino"/>
          <w:sz w:val="20"/>
          <w:szCs w:val="20"/>
        </w:rPr>
      </w:pPr>
      <w:r>
        <w:rPr>
          <w:rFonts w:ascii="Palatino" w:hAnsi="Palatino" w:cs="Palatino"/>
          <w:sz w:val="20"/>
          <w:szCs w:val="20"/>
        </w:rPr>
        <w:t xml:space="preserve">Measure the distance A separating graduations 10 000 cd and 1 000 cd on the auxiliary scale. Transfer this distance to the scale of abscissae from the graduation corresponding to 2 000 000 cd (2×106 cd) in the same sense. A point slightly to the right of graduation corresponding to 12 nautical miles is obtained. Erect from this point a parallel to the axis of ordinates to meet the curve for 2 nautical miles visibility. Read off the luminous range on the vertical scale against the point so obtained. It should read approx. 4 nautical miles. </w:t>
      </w:r>
    </w:p>
    <w:p w14:paraId="2FEFA5B6" w14:textId="77777777" w:rsidR="00541A14" w:rsidRDefault="00A450E1">
      <w:pPr>
        <w:pStyle w:val="CM165"/>
        <w:spacing w:after="85" w:line="291" w:lineRule="atLeast"/>
        <w:rPr>
          <w:rFonts w:ascii="Palatino" w:hAnsi="Palatino" w:cs="Palatino"/>
          <w:sz w:val="20"/>
          <w:szCs w:val="20"/>
        </w:rPr>
      </w:pPr>
      <w:r>
        <w:rPr>
          <w:rFonts w:ascii="Palatino" w:hAnsi="Palatino" w:cs="Palatino"/>
          <w:b/>
          <w:bCs/>
          <w:sz w:val="20"/>
          <w:szCs w:val="20"/>
        </w:rPr>
        <w:t xml:space="preserve">Daymarks (Dayboards) </w:t>
      </w:r>
    </w:p>
    <w:p w14:paraId="17B4FE14" w14:textId="77777777" w:rsidR="00541A14" w:rsidRDefault="00A450E1">
      <w:pPr>
        <w:pStyle w:val="CM179"/>
        <w:spacing w:after="2595" w:line="291" w:lineRule="atLeast"/>
        <w:rPr>
          <w:rFonts w:ascii="Palatino" w:hAnsi="Palatino" w:cs="Palatino"/>
          <w:sz w:val="20"/>
          <w:szCs w:val="20"/>
        </w:rPr>
      </w:pPr>
      <w:r>
        <w:rPr>
          <w:rFonts w:ascii="Palatino" w:hAnsi="Palatino" w:cs="Palatino"/>
          <w:sz w:val="20"/>
          <w:szCs w:val="20"/>
        </w:rPr>
        <w:t xml:space="preserve">The size of a dayboard should be determined for the maximum useful viewing distance and minimum visibility conditions. Daymarks used on leading lines are typically rectangular with the long side vertical. The aspect ratio for the rectangle is commonly 2:1(height = 2 x width). </w:t>
      </w:r>
    </w:p>
    <w:p w14:paraId="1583F945" w14:textId="77777777" w:rsidR="00541A14" w:rsidRDefault="00DD420F">
      <w:pPr>
        <w:pStyle w:val="Default"/>
        <w:framePr w:w="10730" w:wrap="auto" w:vAnchor="page" w:hAnchor="page" w:x="608" w:y="16277"/>
        <w:rPr>
          <w:rFonts w:ascii="Palatino" w:hAnsi="Palatino" w:cs="Palatino"/>
          <w:color w:val="auto"/>
          <w:sz w:val="20"/>
          <w:szCs w:val="20"/>
        </w:rPr>
      </w:pPr>
      <w:r>
        <w:rPr>
          <w:rFonts w:ascii="Palatino" w:hAnsi="Palatino" w:cs="Palatino"/>
          <w:noProof/>
          <w:color w:val="auto"/>
          <w:sz w:val="20"/>
          <w:szCs w:val="20"/>
        </w:rPr>
        <w:drawing>
          <wp:inline distT="0" distB="0" distL="0" distR="0" wp14:anchorId="4C904B7F" wp14:editId="56AD2D56">
            <wp:extent cx="7553960" cy="420370"/>
            <wp:effectExtent l="0" t="0" r="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02FE81CB" w14:textId="77777777" w:rsidR="00541A14" w:rsidRDefault="00DD420F">
      <w:pPr>
        <w:pStyle w:val="Default"/>
        <w:pageBreakBefore/>
        <w:framePr w:w="12857" w:wrap="auto" w:vAnchor="page" w:hAnchor="page" w:x="101" w:y="1"/>
        <w:spacing w:after="720"/>
        <w:rPr>
          <w:rFonts w:ascii="Palatino" w:hAnsi="Palatino" w:cs="Palatino"/>
          <w:color w:val="auto"/>
          <w:sz w:val="20"/>
          <w:szCs w:val="20"/>
        </w:rPr>
      </w:pPr>
      <w:r>
        <w:rPr>
          <w:rFonts w:ascii="Palatino" w:hAnsi="Palatino" w:cs="Palatino"/>
          <w:noProof/>
          <w:color w:val="auto"/>
          <w:sz w:val="20"/>
          <w:szCs w:val="20"/>
        </w:rPr>
        <w:drawing>
          <wp:inline distT="0" distB="0" distL="0" distR="0" wp14:anchorId="4CB13327" wp14:editId="4504431F">
            <wp:extent cx="7553960" cy="115316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78C60549" w14:textId="77777777" w:rsidR="00541A14" w:rsidRDefault="00A450E1">
      <w:pPr>
        <w:pStyle w:val="CM172"/>
        <w:spacing w:after="202"/>
        <w:jc w:val="center"/>
        <w:rPr>
          <w:rFonts w:ascii="Helvetica 55 Roman" w:hAnsi="Helvetica 55 Roman" w:cs="Helvetica 55 Roman"/>
          <w:sz w:val="20"/>
          <w:szCs w:val="20"/>
        </w:rPr>
      </w:pPr>
      <w:r>
        <w:rPr>
          <w:rFonts w:ascii="Helvetica 55 Roman" w:hAnsi="Helvetica 55 Roman" w:cs="Helvetica 55 Roman"/>
          <w:sz w:val="18"/>
          <w:szCs w:val="18"/>
        </w:rPr>
        <w:t>Threshold value for illuminance: E</w:t>
      </w:r>
      <w:r>
        <w:rPr>
          <w:rFonts w:ascii="Helvetica 55 Roman" w:hAnsi="Helvetica 55 Roman" w:cs="Helvetica 55 Roman"/>
          <w:position w:val="-6"/>
          <w:sz w:val="18"/>
          <w:szCs w:val="18"/>
          <w:vertAlign w:val="subscript"/>
        </w:rPr>
        <w:t>t</w:t>
      </w:r>
      <w:r>
        <w:rPr>
          <w:rFonts w:ascii="Helvetica 55 Roman" w:hAnsi="Helvetica 55 Roman" w:cs="Helvetica 55 Roman"/>
          <w:sz w:val="20"/>
          <w:szCs w:val="20"/>
        </w:rPr>
        <w:t xml:space="preserve"> = 1×10</w:t>
      </w:r>
      <w:r>
        <w:rPr>
          <w:rFonts w:ascii="Helvetica 55 Roman" w:hAnsi="Helvetica 55 Roman" w:cs="Helvetica 55 Roman"/>
          <w:position w:val="6"/>
          <w:sz w:val="20"/>
          <w:szCs w:val="20"/>
          <w:vertAlign w:val="superscript"/>
        </w:rPr>
        <w:t>-3</w:t>
      </w:r>
      <w:r>
        <w:rPr>
          <w:rFonts w:ascii="Helvetica 55 Roman" w:hAnsi="Helvetica 55 Roman" w:cs="Helvetica 55 Roman"/>
          <w:sz w:val="20"/>
          <w:szCs w:val="20"/>
        </w:rPr>
        <w:t xml:space="preserve">lx </w:t>
      </w:r>
    </w:p>
    <w:p w14:paraId="5FC5B8BB" w14:textId="77777777" w:rsidR="00541A14" w:rsidRDefault="00A450E1">
      <w:pPr>
        <w:pStyle w:val="Default"/>
        <w:spacing w:after="1487"/>
        <w:jc w:val="center"/>
        <w:rPr>
          <w:rFonts w:ascii="Palatino" w:hAnsi="Palatino" w:cs="Palatino"/>
          <w:color w:val="auto"/>
          <w:sz w:val="20"/>
          <w:szCs w:val="20"/>
        </w:rPr>
      </w:pPr>
      <w:r>
        <w:rPr>
          <w:rFonts w:ascii="Palatino" w:hAnsi="Palatino" w:cs="Palatino"/>
          <w:i/>
          <w:iCs/>
          <w:color w:val="auto"/>
          <w:sz w:val="20"/>
          <w:szCs w:val="20"/>
        </w:rPr>
        <w:t xml:space="preserve">Figure 12 – Daytime Luminous Range Diagram </w:t>
      </w:r>
    </w:p>
    <w:p w14:paraId="3F4CCE67" w14:textId="77777777" w:rsidR="00541A14" w:rsidRDefault="00DD420F">
      <w:pPr>
        <w:pStyle w:val="Default"/>
        <w:framePr w:w="9870" w:wrap="auto" w:vAnchor="page" w:hAnchor="page" w:x="1437" w:y="2795"/>
        <w:rPr>
          <w:rFonts w:ascii="Palatino" w:hAnsi="Palatino" w:cs="Palatino"/>
          <w:color w:val="auto"/>
          <w:sz w:val="20"/>
          <w:szCs w:val="20"/>
        </w:rPr>
      </w:pPr>
      <w:r>
        <w:rPr>
          <w:rFonts w:ascii="Palatino" w:hAnsi="Palatino" w:cs="Palatino"/>
          <w:noProof/>
          <w:color w:val="auto"/>
          <w:sz w:val="20"/>
          <w:szCs w:val="20"/>
        </w:rPr>
        <w:drawing>
          <wp:inline distT="0" distB="0" distL="0" distR="0" wp14:anchorId="4F8FE1F0" wp14:editId="5DDBA0AF">
            <wp:extent cx="7621905" cy="5764530"/>
            <wp:effectExtent l="0" t="0" r="0" b="127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7621905" cy="5764530"/>
                    </a:xfrm>
                    <a:prstGeom prst="rect">
                      <a:avLst/>
                    </a:prstGeom>
                    <a:noFill/>
                    <a:ln>
                      <a:noFill/>
                    </a:ln>
                  </pic:spPr>
                </pic:pic>
              </a:graphicData>
            </a:graphic>
          </wp:inline>
        </w:drawing>
      </w:r>
    </w:p>
    <w:p w14:paraId="0097118D" w14:textId="77777777" w:rsidR="00541A14" w:rsidRDefault="00DD420F">
      <w:pPr>
        <w:pStyle w:val="Default"/>
        <w:framePr w:w="10739" w:wrap="auto" w:vAnchor="page" w:hAnchor="page" w:x="1434" w:y="16277"/>
        <w:rPr>
          <w:rFonts w:ascii="Palatino" w:hAnsi="Palatino" w:cs="Palatino"/>
          <w:color w:val="auto"/>
          <w:sz w:val="20"/>
          <w:szCs w:val="20"/>
        </w:rPr>
      </w:pPr>
      <w:r>
        <w:rPr>
          <w:rFonts w:ascii="Palatino" w:hAnsi="Palatino" w:cs="Palatino"/>
          <w:noProof/>
          <w:color w:val="auto"/>
          <w:sz w:val="20"/>
          <w:szCs w:val="20"/>
        </w:rPr>
        <w:drawing>
          <wp:inline distT="0" distB="0" distL="0" distR="0" wp14:anchorId="4DB03403" wp14:editId="7BC83A24">
            <wp:extent cx="7542530" cy="420370"/>
            <wp:effectExtent l="0" t="0" r="1270" b="1143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3E88F051" w14:textId="77777777" w:rsidR="00541A14" w:rsidRDefault="00DD420F">
      <w:pPr>
        <w:pStyle w:val="Default"/>
        <w:pageBreakBefore/>
        <w:framePr w:w="24763" w:wrap="auto" w:vAnchor="page" w:hAnchor="page" w:x="101" w:y="1"/>
        <w:spacing w:after="720"/>
        <w:rPr>
          <w:rFonts w:ascii="Palatino" w:hAnsi="Palatino" w:cs="Palatino"/>
          <w:color w:val="auto"/>
          <w:sz w:val="20"/>
          <w:szCs w:val="20"/>
        </w:rPr>
      </w:pPr>
      <w:r>
        <w:rPr>
          <w:rFonts w:ascii="Palatino" w:hAnsi="Palatino" w:cs="Palatino"/>
          <w:noProof/>
          <w:color w:val="auto"/>
          <w:sz w:val="20"/>
          <w:szCs w:val="20"/>
        </w:rPr>
        <w:drawing>
          <wp:inline distT="0" distB="0" distL="0" distR="0" wp14:anchorId="4B6B7C3A" wp14:editId="75898E5D">
            <wp:extent cx="7553960" cy="11531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26781FB5" w14:textId="77777777" w:rsidR="00541A14" w:rsidRDefault="00A450E1">
      <w:pPr>
        <w:pStyle w:val="CM172"/>
        <w:spacing w:after="202"/>
        <w:rPr>
          <w:rFonts w:ascii="Palatino" w:hAnsi="Palatino" w:cs="Palatino"/>
          <w:sz w:val="20"/>
          <w:szCs w:val="20"/>
        </w:rPr>
      </w:pPr>
      <w:r>
        <w:rPr>
          <w:rFonts w:ascii="Palatino" w:hAnsi="Palatino" w:cs="Palatino"/>
          <w:sz w:val="20"/>
          <w:szCs w:val="20"/>
        </w:rPr>
        <w:t xml:space="preserve">The typical operational range of daymarks under different visibility conditions is shown in Table 14. </w:t>
      </w:r>
    </w:p>
    <w:p w14:paraId="69651E3F" w14:textId="77777777" w:rsidR="00541A14" w:rsidRDefault="00A450E1">
      <w:pPr>
        <w:pStyle w:val="CM172"/>
        <w:spacing w:after="202"/>
        <w:jc w:val="both"/>
        <w:rPr>
          <w:rFonts w:ascii="Palatino" w:hAnsi="Palatino" w:cs="Palatino"/>
          <w:sz w:val="20"/>
          <w:szCs w:val="20"/>
        </w:rPr>
      </w:pPr>
      <w:r>
        <w:rPr>
          <w:rFonts w:ascii="Palatino" w:hAnsi="Palatino" w:cs="Palatino"/>
          <w:b/>
          <w:bCs/>
          <w:sz w:val="20"/>
          <w:szCs w:val="20"/>
        </w:rPr>
        <w:t xml:space="preserve">table 14 – typical operational range of daymarks </w:t>
      </w:r>
    </w:p>
    <w:p w14:paraId="67463944"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76672" behindDoc="0" locked="0" layoutInCell="0" allowOverlap="1" wp14:anchorId="3927890F" wp14:editId="3CC1E748">
                <wp:simplePos x="0" y="0"/>
                <wp:positionH relativeFrom="page">
                  <wp:posOffset>852170</wp:posOffset>
                </wp:positionH>
                <wp:positionV relativeFrom="page">
                  <wp:posOffset>2061845</wp:posOffset>
                </wp:positionV>
                <wp:extent cx="6275705" cy="4054475"/>
                <wp:effectExtent l="0" t="0" r="0" b="0"/>
                <wp:wrapThrough wrapText="bothSides">
                  <wp:wrapPolygon edited="0">
                    <wp:start x="0" y="0"/>
                    <wp:lineTo x="21600" y="0"/>
                    <wp:lineTo x="21600" y="21600"/>
                    <wp:lineTo x="0" y="21600"/>
                    <wp:lineTo x="0" y="0"/>
                  </wp:wrapPolygon>
                </wp:wrapThrough>
                <wp:docPr id="53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5705" cy="405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525"/>
                              <w:gridCol w:w="945"/>
                              <w:gridCol w:w="565"/>
                              <w:gridCol w:w="1512"/>
                              <w:gridCol w:w="1512"/>
                              <w:gridCol w:w="1512"/>
                              <w:gridCol w:w="1512"/>
                            </w:tblGrid>
                            <w:tr w:rsidR="00541A14" w14:paraId="23395F4B" w14:textId="77777777">
                              <w:trPr>
                                <w:trHeight w:val="218"/>
                              </w:trPr>
                              <w:tc>
                                <w:tcPr>
                                  <w:tcW w:w="1525" w:type="dxa"/>
                                  <w:tcBorders>
                                    <w:top w:val="single" w:sz="4" w:space="0" w:color="0E0F1A"/>
                                    <w:left w:val="single" w:sz="4" w:space="0" w:color="030306"/>
                                    <w:bottom w:val="single" w:sz="4" w:space="0" w:color="1A1B2E"/>
                                  </w:tcBorders>
                                  <w:shd w:val="clear" w:color="auto" w:fill="5E64A8"/>
                                </w:tcPr>
                                <w:p w14:paraId="1D49FD90" w14:textId="77777777" w:rsidR="00541A14" w:rsidRDefault="00541A14">
                                  <w:pPr>
                                    <w:pStyle w:val="Default"/>
                                    <w:rPr>
                                      <w:rFonts w:cs="Times New Roman"/>
                                      <w:color w:val="auto"/>
                                    </w:rPr>
                                  </w:pPr>
                                </w:p>
                              </w:tc>
                              <w:tc>
                                <w:tcPr>
                                  <w:tcW w:w="945" w:type="dxa"/>
                                  <w:tcBorders>
                                    <w:top w:val="single" w:sz="4" w:space="0" w:color="0E0F1A"/>
                                    <w:bottom w:val="single" w:sz="4" w:space="0" w:color="1A1B2E"/>
                                  </w:tcBorders>
                                  <w:shd w:val="clear" w:color="auto" w:fill="5E64A8"/>
                                </w:tcPr>
                                <w:p w14:paraId="3A914851" w14:textId="77777777" w:rsidR="00541A14" w:rsidRDefault="00541A14">
                                  <w:pPr>
                                    <w:pStyle w:val="Default"/>
                                    <w:rPr>
                                      <w:rFonts w:cs="Times New Roman"/>
                                      <w:color w:val="auto"/>
                                    </w:rPr>
                                  </w:pPr>
                                </w:p>
                              </w:tc>
                              <w:tc>
                                <w:tcPr>
                                  <w:tcW w:w="5100" w:type="dxa"/>
                                  <w:gridSpan w:val="4"/>
                                  <w:tcBorders>
                                    <w:top w:val="single" w:sz="4" w:space="0" w:color="0E0F1A"/>
                                    <w:bottom w:val="single" w:sz="4" w:space="0" w:color="1A1B2E"/>
                                  </w:tcBorders>
                                  <w:shd w:val="clear" w:color="auto" w:fill="5E64A8"/>
                                  <w:vAlign w:val="center"/>
                                </w:tcPr>
                                <w:p w14:paraId="72901E72"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Operational Range of Daymarks (Nautical Miles) </w:t>
                                  </w:r>
                                </w:p>
                              </w:tc>
                              <w:tc>
                                <w:tcPr>
                                  <w:tcW w:w="1512" w:type="dxa"/>
                                  <w:tcBorders>
                                    <w:top w:val="single" w:sz="4" w:space="0" w:color="0E0F1A"/>
                                    <w:bottom w:val="single" w:sz="4" w:space="0" w:color="1A1B2E"/>
                                    <w:right w:val="single" w:sz="4" w:space="0" w:color="030306"/>
                                  </w:tcBorders>
                                  <w:shd w:val="clear" w:color="auto" w:fill="5E64A8"/>
                                </w:tcPr>
                                <w:p w14:paraId="1DECDF25" w14:textId="77777777" w:rsidR="00541A14" w:rsidRDefault="00541A14">
                                  <w:pPr>
                                    <w:pStyle w:val="Default"/>
                                    <w:rPr>
                                      <w:rFonts w:cs="Times New Roman"/>
                                      <w:color w:val="auto"/>
                                    </w:rPr>
                                  </w:pPr>
                                </w:p>
                              </w:tc>
                            </w:tr>
                            <w:tr w:rsidR="00541A14" w14:paraId="495D6CC7" w14:textId="77777777">
                              <w:trPr>
                                <w:trHeight w:val="211"/>
                              </w:trPr>
                              <w:tc>
                                <w:tcPr>
                                  <w:tcW w:w="1525" w:type="dxa"/>
                                  <w:vMerge w:val="restart"/>
                                  <w:tcBorders>
                                    <w:top w:val="single" w:sz="4" w:space="0" w:color="1A1B2E"/>
                                    <w:left w:val="single" w:sz="4" w:space="0" w:color="030306"/>
                                    <w:right w:val="single" w:sz="4" w:space="0" w:color="040509"/>
                                  </w:tcBorders>
                                  <w:shd w:val="clear" w:color="auto" w:fill="5E64A8"/>
                                  <w:vAlign w:val="center"/>
                                </w:tcPr>
                                <w:p w14:paraId="6B097358"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Minimum visibility (Nautical Miles) </w:t>
                                  </w:r>
                                </w:p>
                              </w:tc>
                              <w:tc>
                                <w:tcPr>
                                  <w:tcW w:w="945" w:type="dxa"/>
                                  <w:tcBorders>
                                    <w:top w:val="single" w:sz="4" w:space="0" w:color="1A1B2E"/>
                                    <w:left w:val="single" w:sz="4" w:space="0" w:color="040509"/>
                                    <w:bottom w:val="single" w:sz="4" w:space="0" w:color="1A1B2E"/>
                                  </w:tcBorders>
                                  <w:shd w:val="clear" w:color="auto" w:fill="5E64A8"/>
                                </w:tcPr>
                                <w:p w14:paraId="649AF286" w14:textId="77777777" w:rsidR="00541A14" w:rsidRDefault="00541A14">
                                  <w:pPr>
                                    <w:pStyle w:val="Default"/>
                                    <w:rPr>
                                      <w:rFonts w:cs="Times New Roman"/>
                                      <w:color w:val="auto"/>
                                    </w:rPr>
                                  </w:pPr>
                                </w:p>
                              </w:tc>
                              <w:tc>
                                <w:tcPr>
                                  <w:tcW w:w="5100" w:type="dxa"/>
                                  <w:gridSpan w:val="4"/>
                                  <w:tcBorders>
                                    <w:top w:val="single" w:sz="4" w:space="0" w:color="1A1B2E"/>
                                    <w:bottom w:val="single" w:sz="4" w:space="0" w:color="1A1B2E"/>
                                  </w:tcBorders>
                                  <w:shd w:val="clear" w:color="auto" w:fill="5E64A8"/>
                                  <w:vAlign w:val="center"/>
                                </w:tcPr>
                                <w:p w14:paraId="2756ECC0"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Daymark height (metres). Aspect ratio h=2w </w:t>
                                  </w:r>
                                </w:p>
                              </w:tc>
                              <w:tc>
                                <w:tcPr>
                                  <w:tcW w:w="1512" w:type="dxa"/>
                                  <w:tcBorders>
                                    <w:top w:val="single" w:sz="4" w:space="0" w:color="1A1B2E"/>
                                    <w:bottom w:val="single" w:sz="4" w:space="0" w:color="1A1B2E"/>
                                    <w:right w:val="single" w:sz="4" w:space="0" w:color="030306"/>
                                  </w:tcBorders>
                                  <w:shd w:val="clear" w:color="auto" w:fill="5E64A8"/>
                                </w:tcPr>
                                <w:p w14:paraId="4CC55512" w14:textId="77777777" w:rsidR="00541A14" w:rsidRDefault="00541A14">
                                  <w:pPr>
                                    <w:pStyle w:val="Default"/>
                                    <w:rPr>
                                      <w:rFonts w:cs="Times New Roman"/>
                                      <w:color w:val="auto"/>
                                    </w:rPr>
                                  </w:pPr>
                                </w:p>
                              </w:tc>
                            </w:tr>
                            <w:tr w:rsidR="00541A14" w14:paraId="68E8380B" w14:textId="77777777">
                              <w:trPr>
                                <w:trHeight w:val="215"/>
                              </w:trPr>
                              <w:tc>
                                <w:tcPr>
                                  <w:tcW w:w="1525" w:type="dxa"/>
                                  <w:vMerge/>
                                  <w:tcBorders>
                                    <w:top w:val="single" w:sz="4" w:space="0" w:color="1A1B2E"/>
                                    <w:left w:val="single" w:sz="4" w:space="0" w:color="030306"/>
                                    <w:right w:val="single" w:sz="4" w:space="0" w:color="040509"/>
                                  </w:tcBorders>
                                  <w:shd w:val="clear" w:color="auto" w:fill="5E64A8"/>
                                  <w:vAlign w:val="center"/>
                                </w:tcPr>
                                <w:p w14:paraId="2022F4F2" w14:textId="77777777" w:rsidR="00541A14" w:rsidRDefault="00541A14">
                                  <w:pPr>
                                    <w:pStyle w:val="Default"/>
                                    <w:rPr>
                                      <w:rFonts w:cs="Times New Roman"/>
                                      <w:color w:val="auto"/>
                                    </w:rPr>
                                  </w:pPr>
                                </w:p>
                              </w:tc>
                              <w:tc>
                                <w:tcPr>
                                  <w:tcW w:w="945" w:type="dxa"/>
                                  <w:tcBorders>
                                    <w:top w:val="single" w:sz="4" w:space="0" w:color="1A1B2E"/>
                                    <w:left w:val="single" w:sz="4" w:space="0" w:color="040509"/>
                                  </w:tcBorders>
                                  <w:shd w:val="clear" w:color="auto" w:fill="5E64A8"/>
                                  <w:vAlign w:val="center"/>
                                </w:tcPr>
                                <w:p w14:paraId="781BBBE8"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1.8 </w:t>
                                  </w:r>
                                </w:p>
                              </w:tc>
                              <w:tc>
                                <w:tcPr>
                                  <w:tcW w:w="565" w:type="dxa"/>
                                  <w:tcBorders>
                                    <w:top w:val="single" w:sz="4" w:space="0" w:color="1A1B2E"/>
                                    <w:right w:val="single" w:sz="4" w:space="0" w:color="020205"/>
                                  </w:tcBorders>
                                  <w:shd w:val="clear" w:color="auto" w:fill="5E64A8"/>
                                </w:tcPr>
                                <w:p w14:paraId="5B04A4DF" w14:textId="77777777" w:rsidR="00541A14" w:rsidRDefault="00541A14">
                                  <w:pPr>
                                    <w:pStyle w:val="Default"/>
                                    <w:rPr>
                                      <w:rFonts w:cs="Times New Roman"/>
                                      <w:color w:val="auto"/>
                                    </w:rPr>
                                  </w:pPr>
                                </w:p>
                              </w:tc>
                              <w:tc>
                                <w:tcPr>
                                  <w:tcW w:w="1512" w:type="dxa"/>
                                  <w:tcBorders>
                                    <w:top w:val="single" w:sz="4" w:space="0" w:color="1A1B2E"/>
                                    <w:left w:val="single" w:sz="4" w:space="0" w:color="020205"/>
                                    <w:right w:val="single" w:sz="4" w:space="0" w:color="020205"/>
                                  </w:tcBorders>
                                  <w:shd w:val="clear" w:color="auto" w:fill="5E64A8"/>
                                  <w:vAlign w:val="center"/>
                                </w:tcPr>
                                <w:p w14:paraId="5C35E6F0"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2.4 </w:t>
                                  </w:r>
                                </w:p>
                              </w:tc>
                              <w:tc>
                                <w:tcPr>
                                  <w:tcW w:w="1512" w:type="dxa"/>
                                  <w:tcBorders>
                                    <w:top w:val="single" w:sz="4" w:space="0" w:color="1A1B2E"/>
                                    <w:left w:val="single" w:sz="4" w:space="0" w:color="020205"/>
                                    <w:right w:val="single" w:sz="4" w:space="0" w:color="020205"/>
                                  </w:tcBorders>
                                  <w:shd w:val="clear" w:color="auto" w:fill="5E64A8"/>
                                  <w:vAlign w:val="center"/>
                                </w:tcPr>
                                <w:p w14:paraId="1AE95C8E"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3.7 </w:t>
                                  </w:r>
                                </w:p>
                              </w:tc>
                              <w:tc>
                                <w:tcPr>
                                  <w:tcW w:w="1512" w:type="dxa"/>
                                  <w:tcBorders>
                                    <w:top w:val="single" w:sz="4" w:space="0" w:color="1A1B2E"/>
                                    <w:left w:val="single" w:sz="4" w:space="0" w:color="020205"/>
                                    <w:right w:val="single" w:sz="4" w:space="0" w:color="020205"/>
                                  </w:tcBorders>
                                  <w:shd w:val="clear" w:color="auto" w:fill="5E64A8"/>
                                  <w:vAlign w:val="center"/>
                                </w:tcPr>
                                <w:p w14:paraId="0590857D"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4.9 </w:t>
                                  </w:r>
                                </w:p>
                              </w:tc>
                              <w:tc>
                                <w:tcPr>
                                  <w:tcW w:w="1512" w:type="dxa"/>
                                  <w:tcBorders>
                                    <w:top w:val="single" w:sz="4" w:space="0" w:color="1A1B2E"/>
                                    <w:left w:val="single" w:sz="4" w:space="0" w:color="020205"/>
                                    <w:right w:val="single" w:sz="4" w:space="0" w:color="030306"/>
                                  </w:tcBorders>
                                  <w:shd w:val="clear" w:color="auto" w:fill="5E64A8"/>
                                  <w:vAlign w:val="center"/>
                                </w:tcPr>
                                <w:p w14:paraId="145DADFB"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7.3 </w:t>
                                  </w:r>
                                </w:p>
                              </w:tc>
                            </w:tr>
                            <w:tr w:rsidR="00541A14" w14:paraId="06ED449A" w14:textId="77777777">
                              <w:trPr>
                                <w:trHeight w:val="2130"/>
                              </w:trPr>
                              <w:tc>
                                <w:tcPr>
                                  <w:tcW w:w="1525" w:type="dxa"/>
                                  <w:tcBorders>
                                    <w:top w:val="single" w:sz="2" w:space="0" w:color="5E64A8"/>
                                    <w:left w:val="single" w:sz="4" w:space="0" w:color="030306"/>
                                    <w:bottom w:val="single" w:sz="4" w:space="0" w:color="000000"/>
                                    <w:right w:val="single" w:sz="4" w:space="0" w:color="040509"/>
                                  </w:tcBorders>
                                </w:tcPr>
                                <w:p w14:paraId="2FBAF13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1 2 3 4 5 6 7 8 9 10 </w:t>
                                  </w:r>
                                </w:p>
                              </w:tc>
                              <w:tc>
                                <w:tcPr>
                                  <w:tcW w:w="945" w:type="dxa"/>
                                  <w:tcBorders>
                                    <w:top w:val="single" w:sz="2" w:space="0" w:color="5E64A8"/>
                                    <w:left w:val="single" w:sz="4" w:space="0" w:color="040509"/>
                                    <w:bottom w:val="single" w:sz="4" w:space="0" w:color="000000"/>
                                  </w:tcBorders>
                                </w:tcPr>
                                <w:p w14:paraId="31C5729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0.5 0.6 0.6 0.7 0.8 0.8 0.9 0.9 0.9 1.0 </w:t>
                                  </w:r>
                                </w:p>
                              </w:tc>
                              <w:tc>
                                <w:tcPr>
                                  <w:tcW w:w="565" w:type="dxa"/>
                                  <w:tcBorders>
                                    <w:top w:val="single" w:sz="2" w:space="0" w:color="5E64A8"/>
                                    <w:bottom w:val="single" w:sz="4" w:space="0" w:color="000000"/>
                                    <w:right w:val="single" w:sz="4" w:space="0" w:color="020205"/>
                                  </w:tcBorders>
                                </w:tcPr>
                                <w:p w14:paraId="7EC93AD4" w14:textId="77777777" w:rsidR="00541A14" w:rsidRDefault="00541A14">
                                  <w:pPr>
                                    <w:pStyle w:val="Default"/>
                                    <w:rPr>
                                      <w:rFonts w:cs="Times New Roman"/>
                                      <w:color w:val="auto"/>
                                    </w:rPr>
                                  </w:pPr>
                                </w:p>
                              </w:tc>
                              <w:tc>
                                <w:tcPr>
                                  <w:tcW w:w="1512" w:type="dxa"/>
                                  <w:tcBorders>
                                    <w:top w:val="single" w:sz="2" w:space="0" w:color="5E64A8"/>
                                    <w:left w:val="single" w:sz="4" w:space="0" w:color="020205"/>
                                    <w:bottom w:val="single" w:sz="4" w:space="0" w:color="000000"/>
                                    <w:right w:val="single" w:sz="4" w:space="0" w:color="020205"/>
                                  </w:tcBorders>
                                </w:tcPr>
                                <w:p w14:paraId="08E2D78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0.7 0.9 1.1 1.3 1.5 1.6 1.7 1.7 1.9 2.0 </w:t>
                                  </w:r>
                                </w:p>
                              </w:tc>
                              <w:tc>
                                <w:tcPr>
                                  <w:tcW w:w="1512" w:type="dxa"/>
                                  <w:tcBorders>
                                    <w:top w:val="single" w:sz="2" w:space="0" w:color="5E64A8"/>
                                    <w:left w:val="single" w:sz="4" w:space="0" w:color="020205"/>
                                    <w:bottom w:val="single" w:sz="4" w:space="0" w:color="000000"/>
                                    <w:right w:val="single" w:sz="4" w:space="0" w:color="020205"/>
                                  </w:tcBorders>
                                </w:tcPr>
                                <w:p w14:paraId="0172D09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0.9 1.2 1.5 1.8 2.1 2.3 2.4 2.6 2.8 3.0 </w:t>
                                  </w:r>
                                </w:p>
                              </w:tc>
                              <w:tc>
                                <w:tcPr>
                                  <w:tcW w:w="1512" w:type="dxa"/>
                                  <w:tcBorders>
                                    <w:top w:val="single" w:sz="2" w:space="0" w:color="5E64A8"/>
                                    <w:left w:val="single" w:sz="4" w:space="0" w:color="020205"/>
                                    <w:bottom w:val="single" w:sz="4" w:space="0" w:color="000000"/>
                                    <w:right w:val="single" w:sz="4" w:space="0" w:color="020205"/>
                                  </w:tcBorders>
                                </w:tcPr>
                                <w:p w14:paraId="2CB8674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1.0 1.4 1.9 2.3 2.7 2.9 3.3 3.5 3.8 4.0 </w:t>
                                  </w:r>
                                </w:p>
                              </w:tc>
                              <w:tc>
                                <w:tcPr>
                                  <w:tcW w:w="1512" w:type="dxa"/>
                                  <w:tcBorders>
                                    <w:top w:val="single" w:sz="2" w:space="0" w:color="5E64A8"/>
                                    <w:left w:val="single" w:sz="4" w:space="0" w:color="020205"/>
                                    <w:bottom w:val="single" w:sz="4" w:space="0" w:color="000000"/>
                                    <w:right w:val="single" w:sz="4" w:space="0" w:color="030306"/>
                                  </w:tcBorders>
                                </w:tcPr>
                                <w:p w14:paraId="395EDA6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1.1 1.5 2.1 2.7 3.3 3.6 4.0 4.2 4.5 5.0 </w:t>
                                  </w:r>
                                </w:p>
                              </w:tc>
                            </w:tr>
                          </w:tbl>
                          <w:p w14:paraId="38975D74"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4" type="#_x0000_t202" style="position:absolute;margin-left:67.1pt;margin-top:162.35pt;width:494.15pt;height:319.2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15"/>
                        <w:gridCol w:w="42"/>
                        <w:gridCol w:w="33"/>
                        <w:gridCol w:w="120"/>
                        <w:gridCol w:w="182"/>
                        <w:gridCol w:w="33"/>
                        <w:gridCol w:w="70"/>
                        <w:gridCol w:w="65"/>
                        <w:gridCol w:w="167"/>
                        <w:gridCol w:w="10"/>
                        <w:gridCol w:w="125"/>
                        <w:gridCol w:w="55"/>
                        <w:gridCol w:w="20"/>
                        <w:gridCol w:w="50"/>
                        <w:gridCol w:w="50"/>
                        <w:gridCol w:w="118"/>
                        <w:gridCol w:w="95"/>
                        <w:gridCol w:w="2"/>
                        <w:gridCol w:w="33"/>
                        <w:gridCol w:w="155"/>
                        <w:gridCol w:w="20"/>
                        <w:gridCol w:w="197"/>
                        <w:gridCol w:w="112"/>
                        <w:gridCol w:w="5"/>
                        <w:gridCol w:w="123"/>
                        <w:gridCol w:w="22"/>
                        <w:gridCol w:w="15"/>
                        <w:gridCol w:w="73"/>
                        <w:gridCol w:w="192"/>
                        <w:gridCol w:w="235"/>
                        <w:gridCol w:w="5"/>
                        <w:gridCol w:w="60"/>
                        <w:gridCol w:w="237"/>
                        <w:gridCol w:w="38"/>
                        <w:gridCol w:w="15"/>
                        <w:gridCol w:w="25"/>
                        <w:gridCol w:w="50"/>
                        <w:gridCol w:w="136"/>
                        <w:gridCol w:w="234"/>
                        <w:gridCol w:w="5"/>
                        <w:gridCol w:w="5"/>
                        <w:gridCol w:w="12"/>
                        <w:gridCol w:w="47"/>
                        <w:gridCol w:w="168"/>
                        <w:gridCol w:w="48"/>
                        <w:gridCol w:w="4"/>
                        <w:gridCol w:w="110"/>
                        <w:gridCol w:w="12"/>
                        <w:gridCol w:w="108"/>
                        <w:gridCol w:w="366"/>
                        <w:gridCol w:w="137"/>
                        <w:gridCol w:w="47"/>
                        <w:gridCol w:w="355"/>
                        <w:gridCol w:w="10"/>
                        <w:gridCol w:w="293"/>
                        <w:gridCol w:w="70"/>
                        <w:gridCol w:w="8"/>
                        <w:gridCol w:w="78"/>
                        <w:gridCol w:w="431"/>
                        <w:gridCol w:w="183"/>
                        <w:gridCol w:w="57"/>
                        <w:gridCol w:w="283"/>
                        <w:gridCol w:w="330"/>
                        <w:gridCol w:w="119"/>
                        <w:gridCol w:w="23"/>
                        <w:gridCol w:w="1086"/>
                        <w:gridCol w:w="334"/>
                        <w:gridCol w:w="71"/>
                        <w:gridCol w:w="6"/>
                        <w:gridCol w:w="15"/>
                        <w:gridCol w:w="8"/>
                      </w:tblGrid>
                      <w:tr w:rsidR="00000000" w14:paraId="23395F4B" w14:textId="77777777">
                        <w:tblPrEx>
                          <w:tblCellMar>
                            <w:top w:w="0" w:type="dxa"/>
                            <w:bottom w:w="0" w:type="dxa"/>
                          </w:tblCellMar>
                        </w:tblPrEx>
                        <w:trPr>
                          <w:wAfter w:w="1999" w:type="dxa"/>
                          <w:trHeight w:val="218"/>
                        </w:trPr>
                        <w:tc>
                          <w:tcPr>
                            <w:tcW w:w="1525" w:type="dxa"/>
                            <w:gridSpan w:val="9"/>
                            <w:tcBorders>
                              <w:top w:val="single" w:sz="4" w:space="0" w:color="0E0F1A"/>
                              <w:left w:val="single" w:sz="4" w:space="0" w:color="030306"/>
                              <w:bottom w:val="single" w:sz="4" w:space="0" w:color="1A1B2E"/>
                            </w:tcBorders>
                            <w:shd w:val="clear" w:color="auto" w:fill="5E64A8"/>
                          </w:tcPr>
                          <w:p w14:paraId="1D49FD90" w14:textId="77777777" w:rsidR="00000000" w:rsidRDefault="00A450E1">
                            <w:pPr>
                              <w:pStyle w:val="Default"/>
                              <w:rPr>
                                <w:rFonts w:cs="Times New Roman"/>
                                <w:color w:val="auto"/>
                              </w:rPr>
                            </w:pPr>
                          </w:p>
                        </w:tc>
                        <w:tc>
                          <w:tcPr>
                            <w:tcW w:w="945" w:type="dxa"/>
                            <w:gridSpan w:val="13"/>
                            <w:tcBorders>
                              <w:top w:val="single" w:sz="4" w:space="0" w:color="0E0F1A"/>
                              <w:bottom w:val="single" w:sz="4" w:space="0" w:color="1A1B2E"/>
                            </w:tcBorders>
                            <w:shd w:val="clear" w:color="auto" w:fill="5E64A8"/>
                          </w:tcPr>
                          <w:p w14:paraId="3A914851" w14:textId="77777777" w:rsidR="00000000" w:rsidRDefault="00A450E1">
                            <w:pPr>
                              <w:pStyle w:val="Default"/>
                              <w:rPr>
                                <w:rFonts w:cs="Times New Roman"/>
                                <w:color w:val="auto"/>
                              </w:rPr>
                            </w:pPr>
                          </w:p>
                        </w:tc>
                        <w:tc>
                          <w:tcPr>
                            <w:tcW w:w="5100" w:type="dxa"/>
                            <w:gridSpan w:val="45"/>
                            <w:tcBorders>
                              <w:top w:val="single" w:sz="4" w:space="0" w:color="0E0F1A"/>
                              <w:bottom w:val="single" w:sz="4" w:space="0" w:color="1A1B2E"/>
                            </w:tcBorders>
                            <w:shd w:val="clear" w:color="auto" w:fill="5E64A8"/>
                            <w:vAlign w:val="center"/>
                          </w:tcPr>
                          <w:p w14:paraId="72901E72"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Operational Range of Daymarks (Nautical Miles) </w:t>
                            </w:r>
                          </w:p>
                        </w:tc>
                        <w:tc>
                          <w:tcPr>
                            <w:tcW w:w="1512" w:type="dxa"/>
                            <w:gridSpan w:val="6"/>
                            <w:tcBorders>
                              <w:top w:val="single" w:sz="4" w:space="0" w:color="0E0F1A"/>
                              <w:bottom w:val="single" w:sz="4" w:space="0" w:color="1A1B2E"/>
                              <w:right w:val="single" w:sz="4" w:space="0" w:color="030306"/>
                            </w:tcBorders>
                            <w:shd w:val="clear" w:color="auto" w:fill="5E64A8"/>
                          </w:tcPr>
                          <w:p w14:paraId="1DECDF25" w14:textId="77777777" w:rsidR="00000000" w:rsidRDefault="00A450E1">
                            <w:pPr>
                              <w:pStyle w:val="Default"/>
                              <w:rPr>
                                <w:rFonts w:cs="Times New Roman"/>
                                <w:color w:val="auto"/>
                              </w:rPr>
                            </w:pPr>
                          </w:p>
                        </w:tc>
                      </w:tr>
                      <w:tr w:rsidR="00000000" w14:paraId="495D6CC7" w14:textId="77777777">
                        <w:tblPrEx>
                          <w:tblCellMar>
                            <w:top w:w="0" w:type="dxa"/>
                            <w:bottom w:w="0" w:type="dxa"/>
                          </w:tblCellMar>
                        </w:tblPrEx>
                        <w:trPr>
                          <w:wAfter w:w="1999" w:type="dxa"/>
                          <w:trHeight w:val="211"/>
                        </w:trPr>
                        <w:tc>
                          <w:tcPr>
                            <w:tcW w:w="1525" w:type="dxa"/>
                            <w:gridSpan w:val="9"/>
                            <w:vMerge w:val="restart"/>
                            <w:tcBorders>
                              <w:top w:val="single" w:sz="4" w:space="0" w:color="1A1B2E"/>
                              <w:left w:val="single" w:sz="4" w:space="0" w:color="030306"/>
                              <w:right w:val="single" w:sz="4" w:space="0" w:color="040509"/>
                            </w:tcBorders>
                            <w:shd w:val="clear" w:color="auto" w:fill="5E64A8"/>
                            <w:vAlign w:val="center"/>
                          </w:tcPr>
                          <w:p w14:paraId="6B097358"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Minimum visibility (Nautical Miles) </w:t>
                            </w:r>
                          </w:p>
                        </w:tc>
                        <w:tc>
                          <w:tcPr>
                            <w:tcW w:w="945" w:type="dxa"/>
                            <w:gridSpan w:val="13"/>
                            <w:tcBorders>
                              <w:top w:val="single" w:sz="4" w:space="0" w:color="1A1B2E"/>
                              <w:left w:val="single" w:sz="4" w:space="0" w:color="040509"/>
                              <w:bottom w:val="single" w:sz="4" w:space="0" w:color="1A1B2E"/>
                            </w:tcBorders>
                            <w:shd w:val="clear" w:color="auto" w:fill="5E64A8"/>
                          </w:tcPr>
                          <w:p w14:paraId="649AF286" w14:textId="77777777" w:rsidR="00000000" w:rsidRDefault="00A450E1">
                            <w:pPr>
                              <w:pStyle w:val="Default"/>
                              <w:rPr>
                                <w:rFonts w:cs="Times New Roman"/>
                                <w:color w:val="auto"/>
                              </w:rPr>
                            </w:pPr>
                          </w:p>
                        </w:tc>
                        <w:tc>
                          <w:tcPr>
                            <w:tcW w:w="5100" w:type="dxa"/>
                            <w:gridSpan w:val="45"/>
                            <w:tcBorders>
                              <w:top w:val="single" w:sz="4" w:space="0" w:color="1A1B2E"/>
                              <w:bottom w:val="single" w:sz="4" w:space="0" w:color="1A1B2E"/>
                            </w:tcBorders>
                            <w:shd w:val="clear" w:color="auto" w:fill="5E64A8"/>
                            <w:vAlign w:val="center"/>
                          </w:tcPr>
                          <w:p w14:paraId="2756ECC0"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Daymark height (metres). Aspect ratio h=2w </w:t>
                            </w:r>
                          </w:p>
                        </w:tc>
                        <w:tc>
                          <w:tcPr>
                            <w:tcW w:w="1512" w:type="dxa"/>
                            <w:gridSpan w:val="6"/>
                            <w:tcBorders>
                              <w:top w:val="single" w:sz="4" w:space="0" w:color="1A1B2E"/>
                              <w:bottom w:val="single" w:sz="4" w:space="0" w:color="1A1B2E"/>
                              <w:right w:val="single" w:sz="4" w:space="0" w:color="030306"/>
                            </w:tcBorders>
                            <w:shd w:val="clear" w:color="auto" w:fill="5E64A8"/>
                          </w:tcPr>
                          <w:p w14:paraId="4CC55512" w14:textId="77777777" w:rsidR="00000000" w:rsidRDefault="00A450E1">
                            <w:pPr>
                              <w:pStyle w:val="Default"/>
                              <w:rPr>
                                <w:rFonts w:cs="Times New Roman"/>
                                <w:color w:val="auto"/>
                              </w:rPr>
                            </w:pPr>
                          </w:p>
                        </w:tc>
                      </w:tr>
                      <w:tr w:rsidR="00000000" w14:paraId="68E8380B" w14:textId="77777777">
                        <w:tblPrEx>
                          <w:tblCellMar>
                            <w:top w:w="0" w:type="dxa"/>
                            <w:bottom w:w="0" w:type="dxa"/>
                          </w:tblCellMar>
                        </w:tblPrEx>
                        <w:trPr>
                          <w:wAfter w:w="1999" w:type="dxa"/>
                          <w:trHeight w:val="215"/>
                        </w:trPr>
                        <w:tc>
                          <w:tcPr>
                            <w:tcW w:w="1525" w:type="dxa"/>
                            <w:gridSpan w:val="9"/>
                            <w:vMerge/>
                            <w:tcBorders>
                              <w:top w:val="single" w:sz="4" w:space="0" w:color="1A1B2E"/>
                              <w:left w:val="single" w:sz="4" w:space="0" w:color="030306"/>
                              <w:right w:val="single" w:sz="4" w:space="0" w:color="040509"/>
                            </w:tcBorders>
                            <w:shd w:val="clear" w:color="auto" w:fill="5E64A8"/>
                            <w:vAlign w:val="center"/>
                          </w:tcPr>
                          <w:p w14:paraId="2022F4F2" w14:textId="77777777" w:rsidR="00000000" w:rsidRDefault="00A450E1">
                            <w:pPr>
                              <w:pStyle w:val="Default"/>
                              <w:rPr>
                                <w:rFonts w:cs="Times New Roman"/>
                                <w:color w:val="auto"/>
                              </w:rPr>
                            </w:pPr>
                          </w:p>
                        </w:tc>
                        <w:tc>
                          <w:tcPr>
                            <w:tcW w:w="945" w:type="dxa"/>
                            <w:gridSpan w:val="13"/>
                            <w:tcBorders>
                              <w:top w:val="single" w:sz="4" w:space="0" w:color="1A1B2E"/>
                              <w:left w:val="single" w:sz="4" w:space="0" w:color="040509"/>
                            </w:tcBorders>
                            <w:shd w:val="clear" w:color="auto" w:fill="5E64A8"/>
                            <w:vAlign w:val="center"/>
                          </w:tcPr>
                          <w:p w14:paraId="781BBBE8"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1.8 </w:t>
                            </w:r>
                          </w:p>
                        </w:tc>
                        <w:tc>
                          <w:tcPr>
                            <w:tcW w:w="565" w:type="dxa"/>
                            <w:gridSpan w:val="8"/>
                            <w:tcBorders>
                              <w:top w:val="single" w:sz="4" w:space="0" w:color="1A1B2E"/>
                              <w:right w:val="single" w:sz="4" w:space="0" w:color="020205"/>
                            </w:tcBorders>
                            <w:shd w:val="clear" w:color="auto" w:fill="5E64A8"/>
                          </w:tcPr>
                          <w:p w14:paraId="5B04A4DF" w14:textId="77777777" w:rsidR="00000000" w:rsidRDefault="00A450E1">
                            <w:pPr>
                              <w:pStyle w:val="Default"/>
                              <w:rPr>
                                <w:rFonts w:cs="Times New Roman"/>
                                <w:color w:val="auto"/>
                              </w:rPr>
                            </w:pPr>
                          </w:p>
                        </w:tc>
                        <w:tc>
                          <w:tcPr>
                            <w:tcW w:w="1512" w:type="dxa"/>
                            <w:gridSpan w:val="17"/>
                            <w:tcBorders>
                              <w:top w:val="single" w:sz="4" w:space="0" w:color="1A1B2E"/>
                              <w:left w:val="single" w:sz="4" w:space="0" w:color="020205"/>
                              <w:right w:val="single" w:sz="4" w:space="0" w:color="020205"/>
                            </w:tcBorders>
                            <w:shd w:val="clear" w:color="auto" w:fill="5E64A8"/>
                            <w:vAlign w:val="center"/>
                          </w:tcPr>
                          <w:p w14:paraId="5C35E6F0"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2.4 </w:t>
                            </w:r>
                          </w:p>
                        </w:tc>
                        <w:tc>
                          <w:tcPr>
                            <w:tcW w:w="1512" w:type="dxa"/>
                            <w:gridSpan w:val="11"/>
                            <w:tcBorders>
                              <w:top w:val="single" w:sz="4" w:space="0" w:color="1A1B2E"/>
                              <w:left w:val="single" w:sz="4" w:space="0" w:color="020205"/>
                              <w:right w:val="single" w:sz="4" w:space="0" w:color="020205"/>
                            </w:tcBorders>
                            <w:shd w:val="clear" w:color="auto" w:fill="5E64A8"/>
                            <w:vAlign w:val="center"/>
                          </w:tcPr>
                          <w:p w14:paraId="1AE95C8E"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3.7 </w:t>
                            </w:r>
                          </w:p>
                        </w:tc>
                        <w:tc>
                          <w:tcPr>
                            <w:tcW w:w="1512" w:type="dxa"/>
                            <w:gridSpan w:val="9"/>
                            <w:tcBorders>
                              <w:top w:val="single" w:sz="4" w:space="0" w:color="1A1B2E"/>
                              <w:left w:val="single" w:sz="4" w:space="0" w:color="020205"/>
                              <w:right w:val="single" w:sz="4" w:space="0" w:color="020205"/>
                            </w:tcBorders>
                            <w:shd w:val="clear" w:color="auto" w:fill="5E64A8"/>
                            <w:vAlign w:val="center"/>
                          </w:tcPr>
                          <w:p w14:paraId="0590857D"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4.9 </w:t>
                            </w:r>
                          </w:p>
                        </w:tc>
                        <w:tc>
                          <w:tcPr>
                            <w:tcW w:w="1512" w:type="dxa"/>
                            <w:gridSpan w:val="6"/>
                            <w:tcBorders>
                              <w:top w:val="single" w:sz="4" w:space="0" w:color="1A1B2E"/>
                              <w:left w:val="single" w:sz="4" w:space="0" w:color="020205"/>
                              <w:right w:val="single" w:sz="4" w:space="0" w:color="030306"/>
                            </w:tcBorders>
                            <w:shd w:val="clear" w:color="auto" w:fill="5E64A8"/>
                            <w:vAlign w:val="center"/>
                          </w:tcPr>
                          <w:p w14:paraId="145DADFB"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7.3 </w:t>
                            </w:r>
                          </w:p>
                        </w:tc>
                      </w:tr>
                      <w:tr w:rsidR="00000000" w14:paraId="06ED449A" w14:textId="77777777">
                        <w:tblPrEx>
                          <w:tblCellMar>
                            <w:top w:w="0" w:type="dxa"/>
                            <w:bottom w:w="0" w:type="dxa"/>
                          </w:tblCellMar>
                        </w:tblPrEx>
                        <w:trPr>
                          <w:wAfter w:w="1999" w:type="dxa"/>
                          <w:trHeight w:val="2130"/>
                        </w:trPr>
                        <w:tc>
                          <w:tcPr>
                            <w:tcW w:w="1525" w:type="dxa"/>
                            <w:gridSpan w:val="9"/>
                            <w:tcBorders>
                              <w:top w:val="single" w:sz="2" w:space="0" w:color="5E64A8"/>
                              <w:left w:val="single" w:sz="4" w:space="0" w:color="030306"/>
                              <w:bottom w:val="single" w:sz="4" w:space="0" w:color="000000"/>
                              <w:right w:val="single" w:sz="4" w:space="0" w:color="040509"/>
                            </w:tcBorders>
                          </w:tcPr>
                          <w:p w14:paraId="2FBAF13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1 2 3 4 5 6 7 8 9 10 </w:t>
                            </w:r>
                          </w:p>
                        </w:tc>
                        <w:tc>
                          <w:tcPr>
                            <w:tcW w:w="945" w:type="dxa"/>
                            <w:gridSpan w:val="13"/>
                            <w:tcBorders>
                              <w:top w:val="single" w:sz="2" w:space="0" w:color="5E64A8"/>
                              <w:left w:val="single" w:sz="4" w:space="0" w:color="040509"/>
                              <w:bottom w:val="single" w:sz="4" w:space="0" w:color="000000"/>
                            </w:tcBorders>
                          </w:tcPr>
                          <w:p w14:paraId="31C5729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0.5 0.6 0.6 0.7 0.8 0.8 0.9 0.9 0.9 1.0 </w:t>
                            </w:r>
                          </w:p>
                        </w:tc>
                        <w:tc>
                          <w:tcPr>
                            <w:tcW w:w="565" w:type="dxa"/>
                            <w:gridSpan w:val="8"/>
                            <w:tcBorders>
                              <w:top w:val="single" w:sz="2" w:space="0" w:color="5E64A8"/>
                              <w:bottom w:val="single" w:sz="4" w:space="0" w:color="000000"/>
                              <w:right w:val="single" w:sz="4" w:space="0" w:color="020205"/>
                            </w:tcBorders>
                          </w:tcPr>
                          <w:p w14:paraId="7EC93AD4" w14:textId="77777777" w:rsidR="00000000" w:rsidRDefault="00A450E1">
                            <w:pPr>
                              <w:pStyle w:val="Default"/>
                              <w:rPr>
                                <w:rFonts w:cs="Times New Roman"/>
                                <w:color w:val="auto"/>
                              </w:rPr>
                            </w:pPr>
                          </w:p>
                        </w:tc>
                        <w:tc>
                          <w:tcPr>
                            <w:tcW w:w="1512" w:type="dxa"/>
                            <w:gridSpan w:val="17"/>
                            <w:tcBorders>
                              <w:top w:val="single" w:sz="2" w:space="0" w:color="5E64A8"/>
                              <w:left w:val="single" w:sz="4" w:space="0" w:color="020205"/>
                              <w:bottom w:val="single" w:sz="4" w:space="0" w:color="000000"/>
                              <w:right w:val="single" w:sz="4" w:space="0" w:color="020205"/>
                            </w:tcBorders>
                          </w:tcPr>
                          <w:p w14:paraId="08E2D78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0.7 0.9 1.1 1.3 1.5 1.6 1.7 1.7 1.9 2.0 </w:t>
                            </w:r>
                          </w:p>
                        </w:tc>
                        <w:tc>
                          <w:tcPr>
                            <w:tcW w:w="1512" w:type="dxa"/>
                            <w:gridSpan w:val="11"/>
                            <w:tcBorders>
                              <w:top w:val="single" w:sz="2" w:space="0" w:color="5E64A8"/>
                              <w:left w:val="single" w:sz="4" w:space="0" w:color="020205"/>
                              <w:bottom w:val="single" w:sz="4" w:space="0" w:color="000000"/>
                              <w:right w:val="single" w:sz="4" w:space="0" w:color="020205"/>
                            </w:tcBorders>
                          </w:tcPr>
                          <w:p w14:paraId="0172D09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0.9 1.2 1.5 1.8 2.1 2.3 2.4 2.6 2.8 3.0 </w:t>
                            </w:r>
                          </w:p>
                        </w:tc>
                        <w:tc>
                          <w:tcPr>
                            <w:tcW w:w="1512" w:type="dxa"/>
                            <w:gridSpan w:val="9"/>
                            <w:tcBorders>
                              <w:top w:val="single" w:sz="2" w:space="0" w:color="5E64A8"/>
                              <w:left w:val="single" w:sz="4" w:space="0" w:color="020205"/>
                              <w:bottom w:val="single" w:sz="4" w:space="0" w:color="000000"/>
                              <w:right w:val="single" w:sz="4" w:space="0" w:color="020205"/>
                            </w:tcBorders>
                          </w:tcPr>
                          <w:p w14:paraId="2CB8674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1.0 1.4 1.9 2.3 2.7 2.9 3.3 3.5 3.8 4.0 </w:t>
                            </w:r>
                          </w:p>
                        </w:tc>
                        <w:tc>
                          <w:tcPr>
                            <w:tcW w:w="1512" w:type="dxa"/>
                            <w:gridSpan w:val="6"/>
                            <w:tcBorders>
                              <w:top w:val="single" w:sz="2" w:space="0" w:color="5E64A8"/>
                              <w:left w:val="single" w:sz="4" w:space="0" w:color="020205"/>
                              <w:bottom w:val="single" w:sz="4" w:space="0" w:color="000000"/>
                              <w:right w:val="single" w:sz="4" w:space="0" w:color="030306"/>
                            </w:tcBorders>
                          </w:tcPr>
                          <w:p w14:paraId="395EDA6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1.1 1.5 2.1 2.7 3.3 3.6 4.0 4.2 4.5 5.0 </w:t>
                            </w:r>
                          </w:p>
                        </w:tc>
                      </w:tr>
                    </w:tbl>
                  </w:txbxContent>
                </v:textbox>
                <w10:wrap type="through" anchorx="page" anchory="page"/>
              </v:shape>
            </w:pict>
          </mc:Fallback>
        </mc:AlternateContent>
      </w:r>
    </w:p>
    <w:p w14:paraId="0C0FD281" w14:textId="77777777" w:rsidR="00541A14" w:rsidRDefault="00A450E1">
      <w:pPr>
        <w:pStyle w:val="CM173"/>
        <w:spacing w:after="340" w:line="300" w:lineRule="atLeast"/>
        <w:ind w:right="260"/>
        <w:jc w:val="both"/>
        <w:rPr>
          <w:rFonts w:ascii="Palatino" w:hAnsi="Palatino" w:cs="Palatino"/>
          <w:sz w:val="20"/>
          <w:szCs w:val="20"/>
        </w:rPr>
      </w:pPr>
      <w:r>
        <w:rPr>
          <w:rFonts w:ascii="Palatino" w:hAnsi="Palatino" w:cs="Palatino"/>
          <w:sz w:val="20"/>
          <w:szCs w:val="20"/>
        </w:rPr>
        <w:t xml:space="preserve">Table 15 provides guidance on the impact of background lighting and meteorological conditions on light intensity required to achieve a particular range. </w:t>
      </w:r>
    </w:p>
    <w:p w14:paraId="560B4873"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3.2.5 Fixed Aids to Navigation </w:t>
      </w:r>
    </w:p>
    <w:p w14:paraId="09E7365A" w14:textId="77777777" w:rsidR="00541A14" w:rsidRDefault="00A450E1">
      <w:pPr>
        <w:pStyle w:val="CM56"/>
        <w:ind w:right="197"/>
        <w:jc w:val="both"/>
        <w:rPr>
          <w:rFonts w:ascii="Palatino" w:hAnsi="Palatino" w:cs="Palatino"/>
          <w:color w:val="000000"/>
          <w:sz w:val="20"/>
          <w:szCs w:val="20"/>
        </w:rPr>
      </w:pPr>
      <w:r>
        <w:rPr>
          <w:rFonts w:ascii="Palatino" w:hAnsi="Palatino" w:cs="Palatino"/>
          <w:color w:val="000000"/>
          <w:sz w:val="20"/>
          <w:szCs w:val="20"/>
        </w:rPr>
        <w:t>The IALA International Dictionary of Aids to Marine Navigation defines a beacon as “</w:t>
      </w:r>
      <w:r>
        <w:rPr>
          <w:rFonts w:ascii="Palatino" w:hAnsi="Palatino" w:cs="Palatino"/>
          <w:i/>
          <w:iCs/>
          <w:color w:val="000000"/>
          <w:sz w:val="20"/>
          <w:szCs w:val="20"/>
        </w:rPr>
        <w:t>a fixed artificial navigation mark</w:t>
      </w:r>
      <w:r>
        <w:rPr>
          <w:rFonts w:ascii="Palatino" w:hAnsi="Palatino" w:cs="Palatino"/>
          <w:color w:val="000000"/>
          <w:sz w:val="20"/>
          <w:szCs w:val="20"/>
        </w:rPr>
        <w:t xml:space="preserve">” that can be recognised by its shape, colour, pattern, topmark or light character, or </w:t>
      </w:r>
    </w:p>
    <w:p w14:paraId="061CD49E"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a combination of these. While this functional definition includes lighthouses and other fixed aids to navigation, the terms </w:t>
      </w:r>
      <w:r>
        <w:rPr>
          <w:rFonts w:ascii="Palatino" w:hAnsi="Palatino" w:cs="Palatino"/>
          <w:i/>
          <w:iCs/>
          <w:color w:val="000000"/>
          <w:sz w:val="20"/>
          <w:szCs w:val="20"/>
        </w:rPr>
        <w:t>lighthouse</w:t>
      </w:r>
      <w:r>
        <w:rPr>
          <w:rFonts w:ascii="Palatino" w:hAnsi="Palatino" w:cs="Palatino"/>
          <w:color w:val="000000"/>
          <w:sz w:val="20"/>
          <w:szCs w:val="20"/>
        </w:rPr>
        <w:t xml:space="preserve"> and </w:t>
      </w:r>
      <w:r>
        <w:rPr>
          <w:rFonts w:ascii="Palatino" w:hAnsi="Palatino" w:cs="Palatino"/>
          <w:i/>
          <w:iCs/>
          <w:color w:val="000000"/>
          <w:sz w:val="20"/>
          <w:szCs w:val="20"/>
        </w:rPr>
        <w:t>beacon</w:t>
      </w:r>
      <w:r>
        <w:rPr>
          <w:rFonts w:ascii="Palatino" w:hAnsi="Palatino" w:cs="Palatino"/>
          <w:color w:val="000000"/>
          <w:sz w:val="20"/>
          <w:szCs w:val="20"/>
        </w:rPr>
        <w:t xml:space="preserve"> are used more specifically to indicate importance and size. </w:t>
      </w:r>
    </w:p>
    <w:p w14:paraId="1B157489"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b/>
          <w:bCs/>
          <w:color w:val="000000"/>
          <w:sz w:val="20"/>
          <w:szCs w:val="20"/>
        </w:rPr>
        <w:t>lighthouse</w:t>
      </w:r>
      <w:r>
        <w:rPr>
          <w:rFonts w:ascii="Palatino" w:hAnsi="Palatino" w:cs="Palatino"/>
          <w:color w:val="000000"/>
          <w:sz w:val="20"/>
          <w:szCs w:val="20"/>
        </w:rPr>
        <w:t xml:space="preserve">: A lighthouse is generally considered to be a large conspicuous structure (visual mark) on land, close to the shoreline or in the water that: </w:t>
      </w:r>
    </w:p>
    <w:p w14:paraId="21247C05" w14:textId="77777777" w:rsidR="00541A14" w:rsidRDefault="00A450E1">
      <w:pPr>
        <w:pStyle w:val="Default"/>
        <w:numPr>
          <w:ilvl w:val="0"/>
          <w:numId w:val="78"/>
        </w:numPr>
        <w:rPr>
          <w:rFonts w:ascii="Palatino" w:hAnsi="Palatino" w:cs="Palatino"/>
          <w:sz w:val="20"/>
          <w:szCs w:val="20"/>
        </w:rPr>
      </w:pPr>
      <w:r>
        <w:rPr>
          <w:rFonts w:ascii="Palatino" w:hAnsi="Palatino" w:cs="Palatino"/>
          <w:sz w:val="20"/>
          <w:szCs w:val="20"/>
        </w:rPr>
        <w:t xml:space="preserve">acts as a daymark; and </w:t>
      </w:r>
    </w:p>
    <w:p w14:paraId="0FB693E7" w14:textId="77777777" w:rsidR="00541A14" w:rsidRDefault="00A450E1">
      <w:pPr>
        <w:pStyle w:val="Default"/>
        <w:numPr>
          <w:ilvl w:val="0"/>
          <w:numId w:val="78"/>
        </w:numPr>
        <w:rPr>
          <w:rFonts w:ascii="Palatino" w:hAnsi="Palatino" w:cs="Palatino"/>
          <w:sz w:val="20"/>
          <w:szCs w:val="20"/>
        </w:rPr>
      </w:pPr>
      <w:r>
        <w:rPr>
          <w:rFonts w:ascii="Palatino" w:hAnsi="Palatino" w:cs="Palatino"/>
          <w:sz w:val="20"/>
          <w:szCs w:val="20"/>
        </w:rPr>
        <w:t xml:space="preserve">provides a platform generally for higher range marine AtoN signal lights. </w:t>
      </w:r>
    </w:p>
    <w:p w14:paraId="6A54AE5A" w14:textId="77777777" w:rsidR="00541A14" w:rsidRDefault="00541A14">
      <w:pPr>
        <w:pStyle w:val="Default"/>
        <w:rPr>
          <w:rFonts w:ascii="Palatino" w:hAnsi="Palatino" w:cs="Palatino"/>
          <w:sz w:val="20"/>
          <w:szCs w:val="20"/>
        </w:rPr>
      </w:pPr>
    </w:p>
    <w:p w14:paraId="4DB19DB1" w14:textId="77777777" w:rsidR="00541A14" w:rsidRDefault="00A450E1">
      <w:pPr>
        <w:pStyle w:val="CM165"/>
        <w:spacing w:after="85" w:line="300" w:lineRule="atLeast"/>
        <w:ind w:right="335"/>
        <w:jc w:val="both"/>
        <w:rPr>
          <w:rFonts w:ascii="Palatino" w:hAnsi="Palatino" w:cs="Palatino"/>
          <w:color w:val="000000"/>
          <w:sz w:val="20"/>
          <w:szCs w:val="20"/>
        </w:rPr>
      </w:pPr>
      <w:r>
        <w:rPr>
          <w:rFonts w:ascii="Palatino" w:hAnsi="Palatino" w:cs="Palatino"/>
          <w:color w:val="000000"/>
          <w:sz w:val="20"/>
          <w:szCs w:val="20"/>
        </w:rPr>
        <w:t xml:space="preserve">Other aids to navigation such as audible signals and radio aids to navigation may be located on or near the lighthouse. </w:t>
      </w:r>
    </w:p>
    <w:p w14:paraId="31FB77D4"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A lighthouse may be a staffed or automated facility, although the staffing of lighthouses is becoming </w:t>
      </w:r>
    </w:p>
    <w:p w14:paraId="1730C268"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less common. </w:t>
      </w:r>
    </w:p>
    <w:p w14:paraId="449EC0B6" w14:textId="77777777" w:rsidR="00541A14" w:rsidRDefault="00A450E1">
      <w:pPr>
        <w:pStyle w:val="CM176"/>
        <w:spacing w:after="1320" w:line="296" w:lineRule="atLeast"/>
        <w:jc w:val="both"/>
        <w:rPr>
          <w:rFonts w:ascii="Palatino" w:hAnsi="Palatino" w:cs="Palatino"/>
          <w:color w:val="000000"/>
          <w:sz w:val="20"/>
          <w:szCs w:val="20"/>
        </w:rPr>
      </w:pPr>
      <w:r>
        <w:rPr>
          <w:rFonts w:ascii="Palatino" w:hAnsi="Palatino" w:cs="Palatino"/>
          <w:color w:val="000000"/>
          <w:sz w:val="20"/>
          <w:szCs w:val="20"/>
        </w:rPr>
        <w:t xml:space="preserve">An automated lighthouse will often be remotely monitored and in some cases remotely controlled. </w:t>
      </w:r>
    </w:p>
    <w:p w14:paraId="1953D10C"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75D27F08" wp14:editId="276059DB">
            <wp:extent cx="7553960" cy="420370"/>
            <wp:effectExtent l="0" t="0" r="0" b="1143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3F878569" w14:textId="77777777" w:rsidR="00541A14" w:rsidRDefault="00DD420F">
      <w:pPr>
        <w:pStyle w:val="Default"/>
        <w:pageBreakBefore/>
        <w:framePr w:w="12857" w:wrap="auto" w:vAnchor="page" w:hAnchor="page" w:x="101" w:y="1"/>
        <w:spacing w:after="1360"/>
        <w:rPr>
          <w:rFonts w:ascii="Palatino" w:hAnsi="Palatino" w:cs="Palatino"/>
          <w:sz w:val="20"/>
          <w:szCs w:val="20"/>
        </w:rPr>
      </w:pPr>
      <w:r>
        <w:rPr>
          <w:rFonts w:ascii="Palatino" w:hAnsi="Palatino" w:cs="Palatino"/>
          <w:noProof/>
          <w:sz w:val="20"/>
          <w:szCs w:val="20"/>
        </w:rPr>
        <w:drawing>
          <wp:inline distT="0" distB="0" distL="0" distR="0" wp14:anchorId="3663FB74" wp14:editId="34B26343">
            <wp:extent cx="7553960" cy="11531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4D15F4FF" w14:textId="77777777" w:rsidR="00541A14" w:rsidRDefault="00A450E1">
      <w:pPr>
        <w:pStyle w:val="Default"/>
        <w:spacing w:after="1047"/>
        <w:jc w:val="center"/>
        <w:rPr>
          <w:rFonts w:ascii="Palatino" w:hAnsi="Palatino" w:cs="Palatino"/>
          <w:sz w:val="20"/>
          <w:szCs w:val="20"/>
        </w:rPr>
      </w:pPr>
      <w:r>
        <w:rPr>
          <w:rFonts w:ascii="Palatino" w:hAnsi="Palatino" w:cs="Palatino"/>
          <w:b/>
          <w:bCs/>
          <w:sz w:val="20"/>
          <w:szCs w:val="20"/>
        </w:rPr>
        <w:t xml:space="preserve">Table 15 (Night and day with background) For Guidance Only – not to be used for Nominal Range Publication </w:t>
      </w:r>
    </w:p>
    <w:p w14:paraId="5E64AB09" w14:textId="77777777" w:rsidR="00541A14" w:rsidRDefault="00DD420F">
      <w:pPr>
        <w:pStyle w:val="Default"/>
        <w:framePr w:w="8828" w:wrap="auto" w:vAnchor="page" w:hAnchor="page" w:x="1306" w:y="2547"/>
        <w:spacing w:after="1580"/>
        <w:rPr>
          <w:rFonts w:ascii="Palatino" w:hAnsi="Palatino" w:cs="Palatino"/>
          <w:sz w:val="20"/>
          <w:szCs w:val="20"/>
        </w:rPr>
      </w:pPr>
      <w:r>
        <w:rPr>
          <w:rFonts w:ascii="Palatino" w:hAnsi="Palatino" w:cs="Palatino"/>
          <w:noProof/>
          <w:sz w:val="20"/>
          <w:szCs w:val="20"/>
        </w:rPr>
        <w:drawing>
          <wp:inline distT="0" distB="0" distL="0" distR="0" wp14:anchorId="3A96DE2D" wp14:editId="48D64036">
            <wp:extent cx="7644765" cy="5066030"/>
            <wp:effectExtent l="0" t="0" r="63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7644765" cy="5066030"/>
                    </a:xfrm>
                    <a:prstGeom prst="rect">
                      <a:avLst/>
                    </a:prstGeom>
                    <a:noFill/>
                    <a:ln>
                      <a:noFill/>
                    </a:ln>
                  </pic:spPr>
                </pic:pic>
              </a:graphicData>
            </a:graphic>
          </wp:inline>
        </w:drawing>
      </w:r>
    </w:p>
    <w:p w14:paraId="57024E49"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5E6A259E" wp14:editId="2931FB9C">
            <wp:extent cx="7542530" cy="420370"/>
            <wp:effectExtent l="0" t="0" r="1270" b="1143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0E823471" w14:textId="77777777" w:rsidR="00541A14" w:rsidRDefault="00DD420F">
      <w:pPr>
        <w:pStyle w:val="Default"/>
        <w:pageBreakBefore/>
        <w:framePr w:w="24763" w:wrap="auto" w:vAnchor="page" w:hAnchor="page" w:x="101" w:y="1"/>
        <w:spacing w:after="660"/>
        <w:rPr>
          <w:rFonts w:ascii="Palatino" w:hAnsi="Palatino" w:cs="Palatino"/>
          <w:sz w:val="20"/>
          <w:szCs w:val="20"/>
        </w:rPr>
      </w:pPr>
      <w:r>
        <w:rPr>
          <w:rFonts w:ascii="Palatino" w:hAnsi="Palatino" w:cs="Palatino"/>
          <w:noProof/>
          <w:sz w:val="20"/>
          <w:szCs w:val="20"/>
        </w:rPr>
        <w:drawing>
          <wp:inline distT="0" distB="0" distL="0" distR="0" wp14:anchorId="7D8E6802" wp14:editId="5B391AD9">
            <wp:extent cx="7553960" cy="115316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3422986F" w14:textId="77777777" w:rsidR="00541A14" w:rsidRDefault="00A450E1">
      <w:pPr>
        <w:pStyle w:val="CM172"/>
        <w:spacing w:after="202" w:line="296" w:lineRule="atLeast"/>
        <w:jc w:val="both"/>
        <w:rPr>
          <w:rFonts w:ascii="Palatino" w:hAnsi="Palatino" w:cs="Palatino"/>
          <w:color w:val="000000"/>
          <w:sz w:val="20"/>
          <w:szCs w:val="20"/>
        </w:rPr>
      </w:pPr>
      <w:r>
        <w:rPr>
          <w:rFonts w:ascii="Palatino" w:hAnsi="Palatino" w:cs="Palatino"/>
          <w:b/>
          <w:bCs/>
          <w:color w:val="000000"/>
          <w:sz w:val="20"/>
          <w:szCs w:val="20"/>
        </w:rPr>
        <w:t>Beacon</w:t>
      </w:r>
      <w:r>
        <w:rPr>
          <w:rFonts w:ascii="Palatino" w:hAnsi="Palatino" w:cs="Palatino"/>
          <w:color w:val="000000"/>
          <w:sz w:val="20"/>
          <w:szCs w:val="20"/>
        </w:rPr>
        <w:t xml:space="preserve">: Visual characteristics of a beacon are often defined by daymarks, topmarks, and by numbers. A marine signalling light, if fitted, would generally be of a lower range than lighthouses. </w:t>
      </w:r>
    </w:p>
    <w:p w14:paraId="2E3EBBCF" w14:textId="77777777" w:rsidR="00541A14" w:rsidRDefault="00A450E1">
      <w:pPr>
        <w:pStyle w:val="CM165"/>
        <w:spacing w:after="85"/>
        <w:jc w:val="both"/>
        <w:rPr>
          <w:rFonts w:ascii="Palatino" w:hAnsi="Palatino" w:cs="Palatino"/>
          <w:color w:val="000000"/>
          <w:sz w:val="11"/>
          <w:szCs w:val="11"/>
        </w:rPr>
      </w:pPr>
      <w:r>
        <w:rPr>
          <w:rFonts w:ascii="Palatino" w:hAnsi="Palatino" w:cs="Palatino"/>
          <w:color w:val="000000"/>
          <w:sz w:val="20"/>
          <w:szCs w:val="20"/>
        </w:rPr>
        <w:t>In navigable channels a pile beacon may be used as an alternative to a buoy.</w:t>
      </w:r>
      <w:r>
        <w:rPr>
          <w:rFonts w:ascii="Palatino" w:hAnsi="Palatino" w:cs="Palatino"/>
          <w:color w:val="000000"/>
          <w:position w:val="7"/>
          <w:sz w:val="11"/>
          <w:szCs w:val="11"/>
          <w:vertAlign w:val="superscript"/>
        </w:rPr>
        <w:t xml:space="preserve">21 </w:t>
      </w:r>
    </w:p>
    <w:p w14:paraId="37B7B3BD"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b/>
          <w:bCs/>
          <w:color w:val="000000"/>
          <w:sz w:val="20"/>
          <w:szCs w:val="20"/>
        </w:rPr>
        <w:t xml:space="preserve">Purpose of lighthouses and Beacons </w:t>
      </w:r>
    </w:p>
    <w:p w14:paraId="1D7734B3"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A lighthouse or beacon may perform one or more of the following navigational functions: </w:t>
      </w:r>
    </w:p>
    <w:p w14:paraId="012D851B" w14:textId="77777777" w:rsidR="00541A14" w:rsidRDefault="00A450E1">
      <w:pPr>
        <w:pStyle w:val="Default"/>
        <w:numPr>
          <w:ilvl w:val="0"/>
          <w:numId w:val="79"/>
        </w:numPr>
        <w:spacing w:after="23"/>
        <w:rPr>
          <w:rFonts w:ascii="Palatino" w:hAnsi="Palatino" w:cs="Palatino"/>
          <w:sz w:val="20"/>
          <w:szCs w:val="20"/>
        </w:rPr>
      </w:pPr>
      <w:r>
        <w:rPr>
          <w:rFonts w:ascii="Palatino" w:hAnsi="Palatino" w:cs="Palatino"/>
          <w:sz w:val="20"/>
          <w:szCs w:val="20"/>
        </w:rPr>
        <w:t xml:space="preserve">Mark a landfall position. </w:t>
      </w:r>
    </w:p>
    <w:p w14:paraId="4A581AA0" w14:textId="77777777" w:rsidR="00541A14" w:rsidRDefault="00A450E1">
      <w:pPr>
        <w:pStyle w:val="Default"/>
        <w:numPr>
          <w:ilvl w:val="0"/>
          <w:numId w:val="79"/>
        </w:numPr>
        <w:spacing w:after="23"/>
        <w:rPr>
          <w:rFonts w:ascii="Palatino" w:hAnsi="Palatino" w:cs="Palatino"/>
          <w:sz w:val="20"/>
          <w:szCs w:val="20"/>
        </w:rPr>
      </w:pPr>
      <w:r>
        <w:rPr>
          <w:rFonts w:ascii="Palatino" w:hAnsi="Palatino" w:cs="Palatino"/>
          <w:sz w:val="20"/>
          <w:szCs w:val="20"/>
        </w:rPr>
        <w:t xml:space="preserve">Mark an obstruction or a danger. </w:t>
      </w:r>
    </w:p>
    <w:p w14:paraId="31024059" w14:textId="77777777" w:rsidR="00541A14" w:rsidRDefault="00A450E1">
      <w:pPr>
        <w:pStyle w:val="Default"/>
        <w:numPr>
          <w:ilvl w:val="0"/>
          <w:numId w:val="79"/>
        </w:numPr>
        <w:spacing w:after="23"/>
        <w:rPr>
          <w:rFonts w:ascii="Palatino" w:hAnsi="Palatino" w:cs="Palatino"/>
          <w:sz w:val="20"/>
          <w:szCs w:val="20"/>
        </w:rPr>
      </w:pPr>
      <w:r>
        <w:rPr>
          <w:rFonts w:ascii="Palatino" w:hAnsi="Palatino" w:cs="Palatino"/>
          <w:sz w:val="20"/>
          <w:szCs w:val="20"/>
        </w:rPr>
        <w:t xml:space="preserve">Indicate the lateral limits of a channel or navigable waterway. </w:t>
      </w:r>
    </w:p>
    <w:p w14:paraId="3E6B5B91" w14:textId="77777777" w:rsidR="00541A14" w:rsidRDefault="00A450E1">
      <w:pPr>
        <w:pStyle w:val="Default"/>
        <w:numPr>
          <w:ilvl w:val="0"/>
          <w:numId w:val="79"/>
        </w:numPr>
        <w:spacing w:after="23"/>
        <w:rPr>
          <w:rFonts w:ascii="Palatino" w:hAnsi="Palatino" w:cs="Palatino"/>
          <w:sz w:val="20"/>
          <w:szCs w:val="20"/>
        </w:rPr>
      </w:pPr>
      <w:r>
        <w:rPr>
          <w:rFonts w:ascii="Palatino" w:hAnsi="Palatino" w:cs="Palatino"/>
          <w:sz w:val="20"/>
          <w:szCs w:val="20"/>
        </w:rPr>
        <w:t xml:space="preserve">Indicate a turning point or a junction in a waterway. </w:t>
      </w:r>
    </w:p>
    <w:p w14:paraId="37A49D39" w14:textId="77777777" w:rsidR="00541A14" w:rsidRDefault="00A450E1">
      <w:pPr>
        <w:pStyle w:val="Default"/>
        <w:numPr>
          <w:ilvl w:val="0"/>
          <w:numId w:val="79"/>
        </w:numPr>
        <w:spacing w:after="23"/>
        <w:rPr>
          <w:rFonts w:ascii="Palatino" w:hAnsi="Palatino" w:cs="Palatino"/>
          <w:sz w:val="20"/>
          <w:szCs w:val="20"/>
        </w:rPr>
      </w:pPr>
      <w:r>
        <w:rPr>
          <w:rFonts w:ascii="Palatino" w:hAnsi="Palatino" w:cs="Palatino"/>
          <w:sz w:val="20"/>
          <w:szCs w:val="20"/>
        </w:rPr>
        <w:t xml:space="preserve">Mark the entrance of a Traffic Separation Scheme (TSS). </w:t>
      </w:r>
    </w:p>
    <w:p w14:paraId="41305B7D" w14:textId="77777777" w:rsidR="00541A14" w:rsidRDefault="00A450E1">
      <w:pPr>
        <w:pStyle w:val="Default"/>
        <w:numPr>
          <w:ilvl w:val="0"/>
          <w:numId w:val="79"/>
        </w:numPr>
        <w:spacing w:after="23"/>
        <w:rPr>
          <w:rFonts w:ascii="Palatino" w:hAnsi="Palatino" w:cs="Palatino"/>
          <w:sz w:val="20"/>
          <w:szCs w:val="20"/>
        </w:rPr>
      </w:pPr>
      <w:r>
        <w:rPr>
          <w:rFonts w:ascii="Palatino" w:hAnsi="Palatino" w:cs="Palatino"/>
          <w:sz w:val="20"/>
          <w:szCs w:val="20"/>
        </w:rPr>
        <w:t xml:space="preserve">Form part of a leading (range) line. </w:t>
      </w:r>
    </w:p>
    <w:p w14:paraId="7732A4B2" w14:textId="77777777" w:rsidR="00541A14" w:rsidRDefault="00A450E1">
      <w:pPr>
        <w:pStyle w:val="Default"/>
        <w:numPr>
          <w:ilvl w:val="0"/>
          <w:numId w:val="79"/>
        </w:numPr>
        <w:spacing w:after="23"/>
        <w:rPr>
          <w:rFonts w:ascii="Palatino" w:hAnsi="Palatino" w:cs="Palatino"/>
          <w:sz w:val="20"/>
          <w:szCs w:val="20"/>
        </w:rPr>
      </w:pPr>
      <w:r>
        <w:rPr>
          <w:rFonts w:ascii="Palatino" w:hAnsi="Palatino" w:cs="Palatino"/>
          <w:sz w:val="20"/>
          <w:szCs w:val="20"/>
        </w:rPr>
        <w:t xml:space="preserve">Mark an area. </w:t>
      </w:r>
    </w:p>
    <w:p w14:paraId="6CE53C25" w14:textId="77777777" w:rsidR="00541A14" w:rsidRDefault="00A450E1">
      <w:pPr>
        <w:pStyle w:val="Default"/>
        <w:numPr>
          <w:ilvl w:val="0"/>
          <w:numId w:val="79"/>
        </w:numPr>
        <w:rPr>
          <w:rFonts w:ascii="Palatino" w:hAnsi="Palatino" w:cs="Palatino"/>
          <w:sz w:val="20"/>
          <w:szCs w:val="20"/>
        </w:rPr>
      </w:pPr>
      <w:r>
        <w:rPr>
          <w:rFonts w:ascii="Palatino" w:hAnsi="Palatino" w:cs="Palatino"/>
          <w:sz w:val="20"/>
          <w:szCs w:val="20"/>
        </w:rPr>
        <w:t xml:space="preserve">Provide a reference for mariners to take a bearing or line of position (LOP). </w:t>
      </w:r>
    </w:p>
    <w:p w14:paraId="31413E78" w14:textId="77777777" w:rsidR="00541A14" w:rsidRDefault="00541A14">
      <w:pPr>
        <w:pStyle w:val="Default"/>
        <w:rPr>
          <w:rFonts w:ascii="Palatino" w:hAnsi="Palatino" w:cs="Palatino"/>
          <w:sz w:val="20"/>
          <w:szCs w:val="20"/>
        </w:rPr>
      </w:pPr>
    </w:p>
    <w:p w14:paraId="2F065225"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Other purposes for which a lighthouse can be used include: </w:t>
      </w:r>
    </w:p>
    <w:p w14:paraId="208A1309" w14:textId="77777777" w:rsidR="00541A14" w:rsidRDefault="00A450E1">
      <w:pPr>
        <w:pStyle w:val="Default"/>
        <w:numPr>
          <w:ilvl w:val="0"/>
          <w:numId w:val="80"/>
        </w:numPr>
        <w:spacing w:after="23"/>
        <w:rPr>
          <w:rFonts w:ascii="Palatino" w:hAnsi="Palatino" w:cs="Palatino"/>
          <w:sz w:val="20"/>
          <w:szCs w:val="20"/>
        </w:rPr>
      </w:pPr>
      <w:r>
        <w:rPr>
          <w:rFonts w:ascii="Palatino" w:hAnsi="Palatino" w:cs="Palatino"/>
          <w:sz w:val="20"/>
          <w:szCs w:val="20"/>
        </w:rPr>
        <w:t xml:space="preserve">Base for AIS equipment; racon; radar. </w:t>
      </w:r>
    </w:p>
    <w:p w14:paraId="6C08FF95" w14:textId="77777777" w:rsidR="00541A14" w:rsidRDefault="00A450E1">
      <w:pPr>
        <w:pStyle w:val="Default"/>
        <w:numPr>
          <w:ilvl w:val="0"/>
          <w:numId w:val="80"/>
        </w:numPr>
        <w:spacing w:after="23"/>
        <w:rPr>
          <w:rFonts w:ascii="Palatino" w:hAnsi="Palatino" w:cs="Palatino"/>
          <w:sz w:val="20"/>
          <w:szCs w:val="20"/>
        </w:rPr>
      </w:pPr>
      <w:r>
        <w:rPr>
          <w:rFonts w:ascii="Palatino" w:hAnsi="Palatino" w:cs="Palatino"/>
          <w:sz w:val="20"/>
          <w:szCs w:val="20"/>
        </w:rPr>
        <w:t xml:space="preserve">Base for radionavigation systems; reference station for DGNSS. </w:t>
      </w:r>
    </w:p>
    <w:p w14:paraId="3041E3A0" w14:textId="77777777" w:rsidR="00541A14" w:rsidRDefault="00A450E1">
      <w:pPr>
        <w:pStyle w:val="Default"/>
        <w:numPr>
          <w:ilvl w:val="0"/>
          <w:numId w:val="80"/>
        </w:numPr>
        <w:spacing w:after="23"/>
        <w:rPr>
          <w:rFonts w:ascii="Palatino" w:hAnsi="Palatino" w:cs="Palatino"/>
          <w:sz w:val="20"/>
          <w:szCs w:val="20"/>
        </w:rPr>
      </w:pPr>
      <w:r>
        <w:rPr>
          <w:rFonts w:ascii="Palatino" w:hAnsi="Palatino" w:cs="Palatino"/>
          <w:sz w:val="20"/>
          <w:szCs w:val="20"/>
        </w:rPr>
        <w:t xml:space="preserve">Coastwatch or coastguard functions. </w:t>
      </w:r>
    </w:p>
    <w:p w14:paraId="6AC64B90" w14:textId="77777777" w:rsidR="00541A14" w:rsidRDefault="00A450E1">
      <w:pPr>
        <w:pStyle w:val="Default"/>
        <w:numPr>
          <w:ilvl w:val="0"/>
          <w:numId w:val="80"/>
        </w:numPr>
        <w:spacing w:after="23"/>
        <w:rPr>
          <w:rFonts w:ascii="Palatino" w:hAnsi="Palatino" w:cs="Palatino"/>
          <w:sz w:val="20"/>
          <w:szCs w:val="20"/>
        </w:rPr>
      </w:pPr>
      <w:r>
        <w:rPr>
          <w:rFonts w:ascii="Palatino" w:hAnsi="Palatino" w:cs="Palatino"/>
          <w:sz w:val="20"/>
          <w:szCs w:val="20"/>
        </w:rPr>
        <w:t xml:space="preserve">VTS functions. </w:t>
      </w:r>
    </w:p>
    <w:p w14:paraId="544DB65E" w14:textId="77777777" w:rsidR="00541A14" w:rsidRDefault="00A450E1">
      <w:pPr>
        <w:pStyle w:val="Default"/>
        <w:numPr>
          <w:ilvl w:val="0"/>
          <w:numId w:val="80"/>
        </w:numPr>
        <w:spacing w:after="23"/>
        <w:rPr>
          <w:rFonts w:ascii="Palatino" w:hAnsi="Palatino" w:cs="Palatino"/>
          <w:sz w:val="20"/>
          <w:szCs w:val="20"/>
        </w:rPr>
      </w:pPr>
      <w:r>
        <w:rPr>
          <w:rFonts w:ascii="Palatino" w:hAnsi="Palatino" w:cs="Palatino"/>
          <w:sz w:val="20"/>
          <w:szCs w:val="20"/>
        </w:rPr>
        <w:t xml:space="preserve">Base for audible (fog) signals. </w:t>
      </w:r>
    </w:p>
    <w:p w14:paraId="445A1315" w14:textId="77777777" w:rsidR="00541A14" w:rsidRDefault="00A450E1">
      <w:pPr>
        <w:pStyle w:val="Default"/>
        <w:numPr>
          <w:ilvl w:val="0"/>
          <w:numId w:val="80"/>
        </w:numPr>
        <w:spacing w:after="23"/>
        <w:rPr>
          <w:rFonts w:ascii="Palatino" w:hAnsi="Palatino" w:cs="Palatino"/>
          <w:sz w:val="20"/>
          <w:szCs w:val="20"/>
        </w:rPr>
      </w:pPr>
      <w:r>
        <w:rPr>
          <w:rFonts w:ascii="Palatino" w:hAnsi="Palatino" w:cs="Palatino"/>
          <w:sz w:val="20"/>
          <w:szCs w:val="20"/>
        </w:rPr>
        <w:t xml:space="preserve">Collection of meteorological and oceanographic data. </w:t>
      </w:r>
    </w:p>
    <w:p w14:paraId="4E9AEBCA" w14:textId="77777777" w:rsidR="00541A14" w:rsidRDefault="00A450E1">
      <w:pPr>
        <w:pStyle w:val="Default"/>
        <w:numPr>
          <w:ilvl w:val="0"/>
          <w:numId w:val="80"/>
        </w:numPr>
        <w:spacing w:after="23"/>
        <w:rPr>
          <w:rFonts w:ascii="Palatino" w:hAnsi="Palatino" w:cs="Palatino"/>
          <w:sz w:val="20"/>
          <w:szCs w:val="20"/>
        </w:rPr>
      </w:pPr>
      <w:r>
        <w:rPr>
          <w:rFonts w:ascii="Palatino" w:hAnsi="Palatino" w:cs="Palatino"/>
          <w:sz w:val="20"/>
          <w:szCs w:val="20"/>
        </w:rPr>
        <w:t xml:space="preserve">Radio and telecommunication facilities. </w:t>
      </w:r>
    </w:p>
    <w:p w14:paraId="28547216" w14:textId="77777777" w:rsidR="00541A14" w:rsidRDefault="00A450E1">
      <w:pPr>
        <w:pStyle w:val="Default"/>
        <w:numPr>
          <w:ilvl w:val="0"/>
          <w:numId w:val="80"/>
        </w:numPr>
        <w:rPr>
          <w:rFonts w:ascii="Palatino" w:hAnsi="Palatino" w:cs="Palatino"/>
          <w:sz w:val="20"/>
          <w:szCs w:val="20"/>
        </w:rPr>
      </w:pPr>
      <w:r>
        <w:rPr>
          <w:rFonts w:ascii="Palatino" w:hAnsi="Palatino" w:cs="Palatino"/>
          <w:sz w:val="20"/>
          <w:szCs w:val="20"/>
        </w:rPr>
        <w:t xml:space="preserve">Tourist facilities. </w:t>
      </w:r>
    </w:p>
    <w:p w14:paraId="4AA97754" w14:textId="77777777" w:rsidR="00541A14" w:rsidRDefault="00541A14">
      <w:pPr>
        <w:pStyle w:val="Default"/>
        <w:rPr>
          <w:rFonts w:ascii="Palatino" w:hAnsi="Palatino" w:cs="Palatino"/>
          <w:sz w:val="20"/>
          <w:szCs w:val="20"/>
        </w:rPr>
      </w:pPr>
    </w:p>
    <w:p w14:paraId="6253BA57"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3.2.6 Floating Aids to Navigation </w:t>
      </w:r>
    </w:p>
    <w:p w14:paraId="412079DE"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A floating aid to navigation serves a similar purpose to a beacon or lighthouse. However the floating </w:t>
      </w:r>
    </w:p>
    <w:p w14:paraId="15F00075"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aid to navigation is normally associated with locations where: </w:t>
      </w:r>
    </w:p>
    <w:p w14:paraId="334E54EF" w14:textId="77777777" w:rsidR="00541A14" w:rsidRDefault="00A450E1">
      <w:pPr>
        <w:pStyle w:val="Default"/>
        <w:numPr>
          <w:ilvl w:val="0"/>
          <w:numId w:val="81"/>
        </w:numPr>
        <w:spacing w:after="52"/>
        <w:rPr>
          <w:rFonts w:ascii="Palatino" w:hAnsi="Palatino" w:cs="Palatino"/>
          <w:sz w:val="20"/>
          <w:szCs w:val="20"/>
        </w:rPr>
      </w:pPr>
      <w:r>
        <w:rPr>
          <w:rFonts w:ascii="Palatino" w:hAnsi="Palatino" w:cs="Palatino"/>
          <w:sz w:val="20"/>
          <w:szCs w:val="20"/>
        </w:rPr>
        <w:t xml:space="preserve">it would be impractical due to water depth, seabed conditions or cost to establish a fixed aid; </w:t>
      </w:r>
    </w:p>
    <w:p w14:paraId="5F1D12CA" w14:textId="77777777" w:rsidR="00541A14" w:rsidRDefault="00A450E1">
      <w:pPr>
        <w:pStyle w:val="Default"/>
        <w:numPr>
          <w:ilvl w:val="0"/>
          <w:numId w:val="81"/>
        </w:numPr>
        <w:spacing w:after="52"/>
        <w:rPr>
          <w:rFonts w:ascii="Palatino" w:hAnsi="Palatino" w:cs="Palatino"/>
          <w:sz w:val="20"/>
          <w:szCs w:val="20"/>
        </w:rPr>
      </w:pPr>
      <w:r>
        <w:rPr>
          <w:rFonts w:ascii="Palatino" w:hAnsi="Palatino" w:cs="Palatino"/>
          <w:sz w:val="20"/>
          <w:szCs w:val="20"/>
        </w:rPr>
        <w:t xml:space="preserve">the hazard shifts over time (eg. sand banks, an unstable wreck, etc.); </w:t>
      </w:r>
    </w:p>
    <w:p w14:paraId="7966B189" w14:textId="77777777" w:rsidR="00541A14" w:rsidRDefault="00A450E1">
      <w:pPr>
        <w:pStyle w:val="Default"/>
        <w:numPr>
          <w:ilvl w:val="0"/>
          <w:numId w:val="81"/>
        </w:numPr>
        <w:rPr>
          <w:rFonts w:ascii="Palatino" w:hAnsi="Palatino" w:cs="Palatino"/>
          <w:sz w:val="20"/>
          <w:szCs w:val="20"/>
        </w:rPr>
      </w:pPr>
      <w:r>
        <w:rPr>
          <w:rFonts w:ascii="Palatino" w:hAnsi="Palatino" w:cs="Palatino"/>
          <w:sz w:val="20"/>
          <w:szCs w:val="20"/>
        </w:rPr>
        <w:t xml:space="preserve">the aid is at high risk of damage or loss from ice flows or ship impacts and as a consequence is </w:t>
      </w:r>
    </w:p>
    <w:p w14:paraId="73B5D305" w14:textId="77777777" w:rsidR="00541A14" w:rsidRDefault="00541A14">
      <w:pPr>
        <w:pStyle w:val="Default"/>
        <w:rPr>
          <w:rFonts w:ascii="Palatino" w:hAnsi="Palatino" w:cs="Palatino"/>
          <w:sz w:val="20"/>
          <w:szCs w:val="20"/>
        </w:rPr>
      </w:pPr>
    </w:p>
    <w:p w14:paraId="216D6992"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treated as expendable; </w:t>
      </w:r>
    </w:p>
    <w:p w14:paraId="7D77B82A" w14:textId="77777777" w:rsidR="00541A14" w:rsidRDefault="00A450E1">
      <w:pPr>
        <w:pStyle w:val="CM198"/>
        <w:spacing w:after="1092" w:line="296" w:lineRule="atLeast"/>
        <w:jc w:val="both"/>
        <w:rPr>
          <w:rFonts w:ascii="Palatino" w:hAnsi="Palatino" w:cs="Palatino"/>
          <w:color w:val="000000"/>
          <w:sz w:val="20"/>
          <w:szCs w:val="20"/>
        </w:rPr>
      </w:pPr>
      <w:r>
        <w:rPr>
          <w:rFonts w:ascii="Palatino" w:hAnsi="Palatino" w:cs="Palatino"/>
          <w:color w:val="000000"/>
          <w:sz w:val="20"/>
          <w:szCs w:val="20"/>
        </w:rPr>
        <w:t>• a temporary mark is required.</w:t>
      </w:r>
    </w:p>
    <w:p w14:paraId="74E110F3" w14:textId="77777777" w:rsidR="00541A14" w:rsidRDefault="00A450E1">
      <w:pPr>
        <w:pStyle w:val="CM162"/>
        <w:spacing w:after="552" w:line="216" w:lineRule="atLeast"/>
        <w:ind w:right="515"/>
        <w:jc w:val="both"/>
        <w:rPr>
          <w:rFonts w:ascii="Palatino" w:hAnsi="Palatino" w:cs="Palatino"/>
          <w:color w:val="000000"/>
          <w:sz w:val="20"/>
          <w:szCs w:val="20"/>
        </w:rPr>
      </w:pPr>
      <w:r>
        <w:rPr>
          <w:rFonts w:ascii="Palatino" w:hAnsi="Palatino" w:cs="Palatino"/>
          <w:color w:val="000000"/>
          <w:position w:val="6"/>
          <w:sz w:val="20"/>
          <w:szCs w:val="20"/>
          <w:vertAlign w:val="superscript"/>
        </w:rPr>
        <w:t xml:space="preserve"> 21</w:t>
      </w:r>
      <w:r>
        <w:rPr>
          <w:rFonts w:ascii="Palatino" w:hAnsi="Palatino" w:cs="Palatino"/>
          <w:color w:val="000000"/>
          <w:sz w:val="20"/>
          <w:szCs w:val="20"/>
        </w:rPr>
        <w:t xml:space="preserve">In these situations the beacon will generally show a colour scheme and topmarks in accordance with the </w:t>
      </w:r>
      <w:hyperlink r:id="rId154" w:history="1">
        <w:r>
          <w:rPr>
            <w:rFonts w:ascii="Palatino" w:hAnsi="Palatino" w:cs="Palatino"/>
            <w:color w:val="000000"/>
            <w:sz w:val="18"/>
            <w:szCs w:val="18"/>
          </w:rPr>
          <w:t xml:space="preserve">IALA Maritime Buoyage System. </w:t>
        </w:r>
      </w:hyperlink>
    </w:p>
    <w:p w14:paraId="7954377B"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38C7D611" wp14:editId="656C1ED8">
            <wp:extent cx="7553960" cy="420370"/>
            <wp:effectExtent l="0" t="0" r="0" b="1143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2EE1579B" w14:textId="77777777" w:rsidR="00541A14" w:rsidRDefault="00DD420F">
      <w:pPr>
        <w:pStyle w:val="Default"/>
        <w:pageBreakBefore/>
        <w:framePr w:w="12857" w:wrap="auto" w:vAnchor="page" w:hAnchor="page" w:x="101" w:y="1"/>
        <w:spacing w:after="680"/>
        <w:rPr>
          <w:rFonts w:ascii="Palatino" w:hAnsi="Palatino" w:cs="Palatino"/>
          <w:sz w:val="20"/>
          <w:szCs w:val="20"/>
        </w:rPr>
      </w:pPr>
      <w:r>
        <w:rPr>
          <w:rFonts w:ascii="Palatino" w:hAnsi="Palatino" w:cs="Palatino"/>
          <w:noProof/>
          <w:sz w:val="20"/>
          <w:szCs w:val="20"/>
        </w:rPr>
        <w:drawing>
          <wp:inline distT="0" distB="0" distL="0" distR="0" wp14:anchorId="7FE8280B" wp14:editId="08553D90">
            <wp:extent cx="7553960" cy="115316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15EA9AC5"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Buoys </w:t>
      </w:r>
    </w:p>
    <w:p w14:paraId="644039A7"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Buoys are defined as </w:t>
      </w:r>
      <w:r>
        <w:rPr>
          <w:rFonts w:ascii="Palatino" w:hAnsi="Palatino" w:cs="Palatino"/>
          <w:b/>
          <w:bCs/>
          <w:color w:val="000000"/>
          <w:sz w:val="20"/>
          <w:szCs w:val="20"/>
        </w:rPr>
        <w:t>minor floating aids</w:t>
      </w:r>
      <w:r>
        <w:rPr>
          <w:rFonts w:ascii="Palatino" w:hAnsi="Palatino" w:cs="Palatino"/>
          <w:color w:val="000000"/>
          <w:sz w:val="20"/>
          <w:szCs w:val="20"/>
        </w:rPr>
        <w:t xml:space="preserve"> and whilst it is normal that they are lit there are instances where no light is installed. </w:t>
      </w:r>
    </w:p>
    <w:p w14:paraId="0EF09D74"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These types of aids to navigation are specifically covered by the IALA Maritime Buoyage System and tend to have circular hull forms in range of 1 to 3 m diameter.  Buoys may be fitted with sound signals. </w:t>
      </w:r>
    </w:p>
    <w:p w14:paraId="3FD5203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 addition, due to limitations of the structure, the following may apply: </w:t>
      </w:r>
    </w:p>
    <w:p w14:paraId="6E40C25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where lights are exhibited they are usually solar or single cycle battery powered, however gas </w:t>
      </w:r>
    </w:p>
    <w:p w14:paraId="456CECA2"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powered buoys are still in operation; </w:t>
      </w:r>
    </w:p>
    <w:p w14:paraId="7EBED91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where lights are exhibited, due to power limitations, light ranges are restricted to typically 2 to 5 </w:t>
      </w:r>
    </w:p>
    <w:p w14:paraId="7A9B4A2D"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nautical miles, although much higher ranges are used in some applications; </w:t>
      </w:r>
    </w:p>
    <w:p w14:paraId="3279A63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additional services are restricted due to limited power on a buoy but racon and AIS units are </w:t>
      </w:r>
    </w:p>
    <w:p w14:paraId="7FEB8923"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sometimes deployed in addition to a light; </w:t>
      </w:r>
    </w:p>
    <w:p w14:paraId="09F90425" w14:textId="77777777" w:rsidR="00541A14" w:rsidRDefault="00A450E1">
      <w:pPr>
        <w:pStyle w:val="CM175"/>
        <w:spacing w:after="267" w:line="291" w:lineRule="atLeast"/>
        <w:rPr>
          <w:rFonts w:ascii="Palatino" w:hAnsi="Palatino" w:cs="Palatino"/>
          <w:color w:val="000000"/>
          <w:sz w:val="20"/>
          <w:szCs w:val="20"/>
        </w:rPr>
      </w:pPr>
      <w:r>
        <w:rPr>
          <w:rFonts w:ascii="Palatino" w:hAnsi="Palatino" w:cs="Palatino"/>
          <w:color w:val="000000"/>
          <w:sz w:val="20"/>
          <w:szCs w:val="20"/>
        </w:rPr>
        <w:t xml:space="preserve">• electric fog signals are used on buoys in some countries. </w:t>
      </w:r>
    </w:p>
    <w:p w14:paraId="3120BFCE"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Lightvessels, Lightfloats and Large Navigational Buoys (LANBYS) </w:t>
      </w:r>
    </w:p>
    <w:p w14:paraId="506B1CCC"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Lightvessels, lightfloats and lanbys (or LNB) are defined as </w:t>
      </w:r>
      <w:r>
        <w:rPr>
          <w:rFonts w:ascii="Palatino" w:hAnsi="Palatino" w:cs="Palatino"/>
          <w:b/>
          <w:bCs/>
          <w:color w:val="000000"/>
          <w:sz w:val="20"/>
          <w:szCs w:val="20"/>
        </w:rPr>
        <w:t>major floating aids</w:t>
      </w:r>
      <w:r>
        <w:rPr>
          <w:rFonts w:ascii="Palatino" w:hAnsi="Palatino" w:cs="Palatino"/>
          <w:color w:val="000000"/>
          <w:sz w:val="20"/>
          <w:szCs w:val="20"/>
        </w:rPr>
        <w:t xml:space="preserve"> and may carry one or more of a racon, AIS AtoN, sound signal, and in some cases, a radio beacon in addition to the aid to navigation light. A lightvessel may also display a white riding light to signify a vessel at anchor. </w:t>
      </w:r>
    </w:p>
    <w:p w14:paraId="383CAB9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These types of aids to navigation: </w:t>
      </w:r>
    </w:p>
    <w:p w14:paraId="0A8F3512" w14:textId="77777777" w:rsidR="00541A14" w:rsidRDefault="00A450E1">
      <w:pPr>
        <w:pStyle w:val="Default"/>
        <w:numPr>
          <w:ilvl w:val="0"/>
          <w:numId w:val="82"/>
        </w:numPr>
        <w:spacing w:after="3"/>
        <w:rPr>
          <w:rFonts w:ascii="Palatino" w:hAnsi="Palatino" w:cs="Palatino"/>
          <w:sz w:val="20"/>
          <w:szCs w:val="20"/>
        </w:rPr>
      </w:pPr>
      <w:r>
        <w:rPr>
          <w:rFonts w:ascii="Palatino" w:hAnsi="Palatino" w:cs="Palatino"/>
          <w:sz w:val="20"/>
          <w:szCs w:val="20"/>
        </w:rPr>
        <w:t xml:space="preserve">generally have high operating costs; </w:t>
      </w:r>
    </w:p>
    <w:p w14:paraId="32F3A106" w14:textId="77777777" w:rsidR="00541A14" w:rsidRDefault="00A450E1">
      <w:pPr>
        <w:pStyle w:val="Default"/>
        <w:numPr>
          <w:ilvl w:val="0"/>
          <w:numId w:val="82"/>
        </w:numPr>
        <w:spacing w:after="3"/>
        <w:rPr>
          <w:rFonts w:ascii="Palatino" w:hAnsi="Palatino" w:cs="Palatino"/>
          <w:sz w:val="20"/>
          <w:szCs w:val="20"/>
        </w:rPr>
      </w:pPr>
      <w:r>
        <w:rPr>
          <w:rFonts w:ascii="Palatino" w:hAnsi="Palatino" w:cs="Palatino"/>
          <w:sz w:val="20"/>
          <w:szCs w:val="20"/>
        </w:rPr>
        <w:t xml:space="preserve">are only deployed at critical locations; </w:t>
      </w:r>
    </w:p>
    <w:p w14:paraId="47752079" w14:textId="77777777" w:rsidR="00541A14" w:rsidRDefault="00A450E1">
      <w:pPr>
        <w:pStyle w:val="Default"/>
        <w:numPr>
          <w:ilvl w:val="0"/>
          <w:numId w:val="82"/>
        </w:numPr>
        <w:spacing w:after="3"/>
        <w:rPr>
          <w:rFonts w:ascii="Palatino" w:hAnsi="Palatino" w:cs="Palatino"/>
          <w:sz w:val="20"/>
          <w:szCs w:val="20"/>
        </w:rPr>
      </w:pPr>
      <w:r>
        <w:rPr>
          <w:rFonts w:ascii="Palatino" w:hAnsi="Palatino" w:cs="Palatino"/>
          <w:sz w:val="20"/>
          <w:szCs w:val="20"/>
        </w:rPr>
        <w:t xml:space="preserve">are often assigned an availability target that is higher than for a buoy; </w:t>
      </w:r>
    </w:p>
    <w:p w14:paraId="736B8BC2" w14:textId="77777777" w:rsidR="00541A14" w:rsidRDefault="00A450E1">
      <w:pPr>
        <w:pStyle w:val="Default"/>
        <w:numPr>
          <w:ilvl w:val="0"/>
          <w:numId w:val="82"/>
        </w:numPr>
        <w:rPr>
          <w:rFonts w:ascii="Palatino" w:hAnsi="Palatino" w:cs="Palatino"/>
          <w:sz w:val="20"/>
          <w:szCs w:val="20"/>
        </w:rPr>
      </w:pPr>
      <w:r>
        <w:rPr>
          <w:rFonts w:ascii="Palatino" w:hAnsi="Palatino" w:cs="Palatino"/>
          <w:sz w:val="20"/>
          <w:szCs w:val="20"/>
        </w:rPr>
        <w:t xml:space="preserve">are not specifically covered by the IALA Maritime Buoyage System. </w:t>
      </w:r>
    </w:p>
    <w:p w14:paraId="7FDD8E74" w14:textId="77777777" w:rsidR="00541A14" w:rsidRDefault="00541A14">
      <w:pPr>
        <w:pStyle w:val="Default"/>
        <w:rPr>
          <w:rFonts w:ascii="Palatino" w:hAnsi="Palatino" w:cs="Palatino"/>
          <w:sz w:val="20"/>
          <w:szCs w:val="20"/>
        </w:rPr>
      </w:pPr>
    </w:p>
    <w:p w14:paraId="71AEF771" w14:textId="77777777" w:rsidR="00541A14" w:rsidRDefault="00A450E1">
      <w:pPr>
        <w:pStyle w:val="CM172"/>
        <w:spacing w:after="202" w:line="300" w:lineRule="atLeast"/>
        <w:ind w:right="465"/>
        <w:rPr>
          <w:rFonts w:ascii="Palatino" w:hAnsi="Palatino" w:cs="Palatino"/>
          <w:color w:val="000000"/>
          <w:sz w:val="20"/>
          <w:szCs w:val="20"/>
        </w:rPr>
      </w:pPr>
      <w:r>
        <w:rPr>
          <w:rFonts w:ascii="Palatino" w:hAnsi="Palatino" w:cs="Palatino"/>
          <w:color w:val="000000"/>
          <w:sz w:val="20"/>
          <w:szCs w:val="20"/>
        </w:rPr>
        <w:t xml:space="preserve">Some lightvessels continue to be manned, but the trend is towards automation, often with remote monitoring and control. </w:t>
      </w:r>
    </w:p>
    <w:p w14:paraId="60579B44" w14:textId="77777777" w:rsidR="00541A14" w:rsidRDefault="00A450E1">
      <w:pPr>
        <w:pStyle w:val="CM165"/>
        <w:spacing w:after="85" w:line="298" w:lineRule="atLeast"/>
        <w:ind w:left="367"/>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1BEC6B3A" w14:textId="77777777" w:rsidR="00541A14" w:rsidRDefault="009E3F25">
      <w:pPr>
        <w:pStyle w:val="CM172"/>
        <w:spacing w:after="202" w:line="298" w:lineRule="atLeast"/>
        <w:ind w:left="367"/>
        <w:rPr>
          <w:rFonts w:ascii="Palatino" w:hAnsi="Palatino" w:cs="Palatino"/>
          <w:color w:val="000000"/>
          <w:sz w:val="20"/>
          <w:szCs w:val="20"/>
        </w:rPr>
      </w:pPr>
      <w:hyperlink r:id="rId156" w:history="1">
        <w:r w:rsidR="00A450E1">
          <w:rPr>
            <w:rFonts w:ascii="Palatino" w:hAnsi="Palatino" w:cs="Palatino"/>
            <w:i/>
            <w:iCs/>
            <w:color w:val="000000"/>
            <w:sz w:val="20"/>
            <w:szCs w:val="20"/>
          </w:rPr>
          <w:t xml:space="preserve">IALA Recommendation O-104 for ‘Off Station’ signals for major floating aids to navigation. </w:t>
        </w:r>
      </w:hyperlink>
    </w:p>
    <w:p w14:paraId="57DA5CA5"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IALA Maritime Buoyage System (MBS) </w:t>
      </w:r>
    </w:p>
    <w:p w14:paraId="6F211834"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 xml:space="preserve">The Maritime Buoyage System represents one of IALA’s major contributions to enhancing the safety of navigation. As recently as 1976 there were more than thirty buoyage systems in use world </w:t>
      </w:r>
    </w:p>
    <w:p w14:paraId="63AA832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wide and conflicting sets of rules applied.  In 1980 Lighthouse Authorities from fifty countries and </w:t>
      </w:r>
    </w:p>
    <w:p w14:paraId="1F76E143"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representatives from nine international organisations reached agreement on the rules for a single system. </w:t>
      </w:r>
    </w:p>
    <w:p w14:paraId="2EAC9C9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IALA Maritime Buoyage System uses 5 types of marks, which may be used in combination.  The </w:t>
      </w:r>
    </w:p>
    <w:p w14:paraId="2F00DB4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mariner can distinguish between these marks by identifiable characteristics. The system includes </w:t>
      </w:r>
    </w:p>
    <w:p w14:paraId="4EE8D4A9" w14:textId="77777777" w:rsidR="00541A14" w:rsidRDefault="00A450E1">
      <w:pPr>
        <w:pStyle w:val="CM178"/>
        <w:spacing w:after="1397" w:line="291" w:lineRule="atLeast"/>
        <w:rPr>
          <w:rFonts w:ascii="Palatino" w:hAnsi="Palatino" w:cs="Palatino"/>
          <w:color w:val="000000"/>
          <w:sz w:val="20"/>
          <w:szCs w:val="20"/>
        </w:rPr>
      </w:pPr>
      <w:r>
        <w:rPr>
          <w:rFonts w:ascii="Palatino" w:hAnsi="Palatino" w:cs="Palatino"/>
          <w:color w:val="000000"/>
          <w:sz w:val="20"/>
          <w:szCs w:val="20"/>
        </w:rPr>
        <w:t xml:space="preserve">Cardinal and Lateral marks.  The Lateral marks differ between Buoyage Regions A and B.  </w:t>
      </w:r>
    </w:p>
    <w:p w14:paraId="55333521"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492771B0" wp14:editId="09414582">
            <wp:extent cx="7542530" cy="420370"/>
            <wp:effectExtent l="0" t="0" r="1270" b="1143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288A15BF" w14:textId="77777777" w:rsidR="00541A14" w:rsidRDefault="00DD420F">
      <w:pPr>
        <w:pStyle w:val="Default"/>
        <w:pageBreakBefore/>
        <w:framePr w:w="24763" w:wrap="auto" w:vAnchor="page" w:hAnchor="page" w:x="101" w:y="6199"/>
        <w:spacing w:after="80"/>
        <w:rPr>
          <w:rFonts w:ascii="Palatino" w:hAnsi="Palatino" w:cs="Palatino"/>
          <w:sz w:val="20"/>
          <w:szCs w:val="20"/>
        </w:rPr>
      </w:pPr>
      <w:r>
        <w:rPr>
          <w:rFonts w:ascii="Palatino" w:hAnsi="Palatino" w:cs="Palatino"/>
          <w:noProof/>
          <w:sz w:val="20"/>
          <w:szCs w:val="20"/>
        </w:rPr>
        <w:drawing>
          <wp:inline distT="0" distB="0" distL="0" distR="0" wp14:anchorId="2814342A" wp14:editId="2A2201FB">
            <wp:extent cx="7553960" cy="520827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553960" cy="5208270"/>
                    </a:xfrm>
                    <a:prstGeom prst="rect">
                      <a:avLst/>
                    </a:prstGeom>
                    <a:noFill/>
                    <a:ln>
                      <a:noFill/>
                    </a:ln>
                  </pic:spPr>
                </pic:pic>
              </a:graphicData>
            </a:graphic>
          </wp:inline>
        </w:drawing>
      </w:r>
    </w:p>
    <w:p w14:paraId="5471034C" w14:textId="77777777" w:rsidR="00541A14" w:rsidRDefault="00A450E1">
      <w:pPr>
        <w:pStyle w:val="CM163"/>
        <w:spacing w:after="642" w:line="193" w:lineRule="atLeast"/>
        <w:rPr>
          <w:rFonts w:ascii="Helvetica 55 Roman" w:hAnsi="Helvetica 55 Roman" w:cs="Helvetica 55 Roman"/>
          <w:color w:val="000000"/>
          <w:sz w:val="16"/>
          <w:szCs w:val="16"/>
        </w:rPr>
      </w:pPr>
      <w:r>
        <w:rPr>
          <w:rFonts w:ascii="Helvetica 55 Roman" w:hAnsi="Helvetica 55 Roman" w:cs="Helvetica 55 Roman"/>
          <w:color w:val="000000"/>
          <w:sz w:val="16"/>
          <w:szCs w:val="16"/>
        </w:rPr>
        <w:t xml:space="preserve">Synthetic buoy (Emergency Wreck Mark) Steel buoy (Cardinal Mark) Photo courtesy of China Maritime Safety Administration Photo courtesy of Australian Maritime Safety Authority </w:t>
      </w:r>
    </w:p>
    <w:p w14:paraId="0E985C52" w14:textId="77777777" w:rsidR="00541A14" w:rsidRDefault="00A450E1">
      <w:pPr>
        <w:pStyle w:val="Default"/>
        <w:spacing w:after="682"/>
        <w:jc w:val="center"/>
        <w:rPr>
          <w:rFonts w:ascii="Palatino" w:hAnsi="Palatino" w:cs="Palatino"/>
          <w:sz w:val="20"/>
          <w:szCs w:val="20"/>
        </w:rPr>
      </w:pPr>
      <w:r>
        <w:rPr>
          <w:rFonts w:ascii="Palatino" w:hAnsi="Palatino" w:cs="Palatino"/>
          <w:i/>
          <w:iCs/>
          <w:sz w:val="20"/>
          <w:szCs w:val="20"/>
        </w:rPr>
        <w:t xml:space="preserve">Figure 13 – Some examples of floating aids </w:t>
      </w:r>
    </w:p>
    <w:p w14:paraId="061A63E0" w14:textId="77777777" w:rsidR="00541A14" w:rsidRDefault="00DD420F">
      <w:pPr>
        <w:pStyle w:val="Default"/>
        <w:framePr w:w="9857" w:wrap="auto" w:vAnchor="page" w:hAnchor="page" w:x="1418" w:y="9192"/>
        <w:rPr>
          <w:rFonts w:ascii="Helvetica 55 Roman" w:hAnsi="Helvetica 55 Roman" w:cs="Helvetica 55 Roman"/>
          <w:sz w:val="16"/>
          <w:szCs w:val="16"/>
        </w:rPr>
      </w:pPr>
      <w:r>
        <w:rPr>
          <w:rFonts w:ascii="Palatino" w:hAnsi="Palatino" w:cs="Palatino"/>
          <w:noProof/>
          <w:sz w:val="20"/>
          <w:szCs w:val="20"/>
        </w:rPr>
        <w:drawing>
          <wp:inline distT="0" distB="0" distL="0" distR="0" wp14:anchorId="75B2C209" wp14:editId="65CADAE3">
            <wp:extent cx="4089400" cy="5753100"/>
            <wp:effectExtent l="0" t="0" r="0" b="1270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089400" cy="5753100"/>
                    </a:xfrm>
                    <a:prstGeom prst="rect">
                      <a:avLst/>
                    </a:prstGeom>
                    <a:noFill/>
                    <a:ln>
                      <a:noFill/>
                    </a:ln>
                  </pic:spPr>
                </pic:pic>
              </a:graphicData>
            </a:graphic>
          </wp:inline>
        </w:drawing>
      </w:r>
      <w:r w:rsidR="00A450E1">
        <w:rPr>
          <w:rFonts w:ascii="Helvetica 55 Roman" w:hAnsi="Helvetica 55 Roman" w:cs="Helvetica 55 Roman"/>
          <w:sz w:val="16"/>
          <w:szCs w:val="16"/>
        </w:rPr>
        <w:t xml:space="preserve">Lanby Lateral Mark Photo courtesy of Commissioner for Irish Lights Photo courtesy of Mobilis </w:t>
      </w:r>
    </w:p>
    <w:p w14:paraId="3D7630B0" w14:textId="77777777" w:rsidR="00541A14" w:rsidRDefault="00DD420F">
      <w:pPr>
        <w:pStyle w:val="Default"/>
        <w:framePr w:w="10730" w:wrap="auto" w:vAnchor="page" w:hAnchor="page" w:x="608" w:y="16278"/>
        <w:rPr>
          <w:rFonts w:ascii="Helvetica 55 Roman" w:hAnsi="Helvetica 55 Roman" w:cs="Helvetica 55 Roman"/>
          <w:sz w:val="16"/>
          <w:szCs w:val="16"/>
        </w:rPr>
      </w:pPr>
      <w:r>
        <w:rPr>
          <w:rFonts w:ascii="Helvetica 55 Roman" w:hAnsi="Helvetica 55 Roman" w:cs="Helvetica 55 Roman"/>
          <w:noProof/>
          <w:sz w:val="16"/>
          <w:szCs w:val="16"/>
        </w:rPr>
        <w:drawing>
          <wp:inline distT="0" distB="0" distL="0" distR="0" wp14:anchorId="323C2DFA" wp14:editId="49BC9ECB">
            <wp:extent cx="7553960" cy="420370"/>
            <wp:effectExtent l="0" t="0" r="0" b="1143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7A369F22" w14:textId="77777777" w:rsidR="00541A14" w:rsidRDefault="00DD420F">
      <w:pPr>
        <w:pStyle w:val="Default"/>
        <w:pageBreakBefore/>
        <w:framePr w:w="12857" w:wrap="auto" w:vAnchor="page" w:hAnchor="page" w:x="101" w:y="1"/>
        <w:spacing w:after="640"/>
        <w:rPr>
          <w:rFonts w:ascii="Helvetica 55 Roman" w:hAnsi="Helvetica 55 Roman" w:cs="Helvetica 55 Roman"/>
          <w:sz w:val="16"/>
          <w:szCs w:val="16"/>
        </w:rPr>
      </w:pPr>
      <w:r>
        <w:rPr>
          <w:rFonts w:ascii="Helvetica 55 Roman" w:hAnsi="Helvetica 55 Roman" w:cs="Helvetica 55 Roman"/>
          <w:noProof/>
          <w:sz w:val="16"/>
          <w:szCs w:val="16"/>
        </w:rPr>
        <w:drawing>
          <wp:inline distT="0" distB="0" distL="0" distR="0" wp14:anchorId="6424BCD1" wp14:editId="706C8D6B">
            <wp:extent cx="7553960" cy="11531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1C83DB5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During the period 2006-2009 the IALA Maritime Buoyage System was revised by IALA. Key changes made to the MBS with effect from 2010 include introduction of an emergency wreck marking buoy in response to concerns from members over the marking of new, dangerous wrecks, the incorporation of lighthouses and digital aids to navigation. </w:t>
      </w:r>
    </w:p>
    <w:p w14:paraId="098208A6"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 content of the General Principles and Rules of the IALA Maritime Buoyage System can be found in Annex A. </w:t>
      </w:r>
    </w:p>
    <w:p w14:paraId="5C9287B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IALA also has a consolidated recommendation and guidelines for marking areas for specific </w:t>
      </w:r>
    </w:p>
    <w:p w14:paraId="7C6C84C3"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navigational needs in relation to a variety of man-made structures including aquaculture facilities and offshore resource production and energy generation structures. </w:t>
      </w:r>
    </w:p>
    <w:p w14:paraId="6A2E2985" w14:textId="77777777" w:rsidR="00541A14" w:rsidRDefault="00A450E1">
      <w:pPr>
        <w:pStyle w:val="CM39"/>
        <w:ind w:left="367"/>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07FBB6C0" w14:textId="77777777" w:rsidR="00541A14" w:rsidRDefault="009E3F25">
      <w:pPr>
        <w:pStyle w:val="CM39"/>
        <w:ind w:left="367"/>
        <w:rPr>
          <w:rFonts w:ascii="Palatino" w:hAnsi="Palatino" w:cs="Palatino"/>
          <w:color w:val="000000"/>
          <w:sz w:val="20"/>
          <w:szCs w:val="20"/>
        </w:rPr>
      </w:pPr>
      <w:hyperlink r:id="rId161" w:history="1">
        <w:r w:rsidR="00A450E1">
          <w:rPr>
            <w:rFonts w:ascii="Palatino" w:hAnsi="Palatino" w:cs="Palatino"/>
            <w:i/>
            <w:iCs/>
            <w:color w:val="000000"/>
            <w:sz w:val="20"/>
            <w:szCs w:val="20"/>
          </w:rPr>
          <w:t xml:space="preserve">IALA Maritime Buoyage System (with supporting guidelines). </w:t>
        </w:r>
      </w:hyperlink>
    </w:p>
    <w:p w14:paraId="5E9E98A6" w14:textId="77777777" w:rsidR="00541A14" w:rsidRDefault="009E3F25">
      <w:pPr>
        <w:pStyle w:val="CM39"/>
        <w:ind w:left="367"/>
        <w:rPr>
          <w:rFonts w:ascii="Palatino" w:hAnsi="Palatino" w:cs="Palatino"/>
          <w:color w:val="000000"/>
          <w:sz w:val="20"/>
          <w:szCs w:val="20"/>
        </w:rPr>
      </w:pPr>
      <w:hyperlink r:id="rId162" w:history="1">
        <w:r w:rsidR="00A450E1">
          <w:rPr>
            <w:rFonts w:ascii="Palatino" w:hAnsi="Palatino" w:cs="Palatino"/>
            <w:i/>
            <w:iCs/>
            <w:color w:val="000000"/>
            <w:sz w:val="20"/>
            <w:szCs w:val="20"/>
          </w:rPr>
          <w:t xml:space="preserve">IALA Guideline 1046 on a Response Plan for the Marking of New Wrecks. </w:t>
        </w:r>
      </w:hyperlink>
    </w:p>
    <w:p w14:paraId="0552FB4A" w14:textId="77777777" w:rsidR="00541A14" w:rsidRDefault="009E3F25">
      <w:pPr>
        <w:pStyle w:val="CM175"/>
        <w:spacing w:after="267" w:line="298" w:lineRule="atLeast"/>
        <w:ind w:left="367"/>
        <w:rPr>
          <w:rFonts w:ascii="Palatino" w:hAnsi="Palatino" w:cs="Palatino"/>
          <w:color w:val="000000"/>
          <w:sz w:val="20"/>
          <w:szCs w:val="20"/>
        </w:rPr>
      </w:pPr>
      <w:hyperlink r:id="rId163" w:history="1">
        <w:r w:rsidR="00A450E1">
          <w:rPr>
            <w:rFonts w:ascii="Palatino" w:hAnsi="Palatino" w:cs="Palatino"/>
            <w:i/>
            <w:iCs/>
            <w:color w:val="000000"/>
            <w:sz w:val="20"/>
            <w:szCs w:val="20"/>
          </w:rPr>
          <w:t xml:space="preserve">IALA Recommendation O-133 on the Emergency Wreck Marking Buoy. </w:t>
        </w:r>
      </w:hyperlink>
    </w:p>
    <w:p w14:paraId="5B7EF756" w14:textId="77777777" w:rsidR="00541A14" w:rsidRDefault="00A450E1">
      <w:pPr>
        <w:pStyle w:val="CM4"/>
        <w:rPr>
          <w:rFonts w:ascii="Futura Book" w:hAnsi="Futura Book" w:cs="Futura Book"/>
          <w:color w:val="2C5062"/>
          <w:sz w:val="20"/>
          <w:szCs w:val="20"/>
        </w:rPr>
      </w:pPr>
      <w:r>
        <w:rPr>
          <w:rFonts w:ascii="Futura Book" w:hAnsi="Futura Book" w:cs="Futura Book"/>
          <w:b/>
          <w:bCs/>
          <w:color w:val="2C5062"/>
          <w:sz w:val="20"/>
          <w:szCs w:val="20"/>
        </w:rPr>
        <w:t xml:space="preserve">Performance Criteria for Floating Aids </w:t>
      </w:r>
    </w:p>
    <w:p w14:paraId="30E37396"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Availability is defined as: </w:t>
      </w:r>
    </w:p>
    <w:p w14:paraId="20D61710" w14:textId="77777777" w:rsidR="00541A14" w:rsidRDefault="00A450E1">
      <w:pPr>
        <w:pStyle w:val="CM54"/>
        <w:jc w:val="center"/>
        <w:rPr>
          <w:rFonts w:ascii="Palatino" w:hAnsi="Palatino" w:cs="Palatino"/>
          <w:color w:val="000000"/>
          <w:sz w:val="20"/>
          <w:szCs w:val="20"/>
        </w:rPr>
      </w:pPr>
      <w:r>
        <w:rPr>
          <w:rFonts w:ascii="Palatino" w:hAnsi="Palatino" w:cs="Palatino"/>
          <w:color w:val="000000"/>
          <w:sz w:val="20"/>
          <w:szCs w:val="20"/>
        </w:rPr>
        <w:t xml:space="preserve">The probability that an aid to navigation or a system of aids to navigation as defined by the </w:t>
      </w:r>
    </w:p>
    <w:p w14:paraId="503F84EC"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Competent Authority is performing its specified function at any randomly chosen time. This is </w:t>
      </w:r>
    </w:p>
    <w:p w14:paraId="2FDB2FD8"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expressed as a percentage of total time that an aid to navigation or a system of aids to navigation </w:t>
      </w:r>
    </w:p>
    <w:p w14:paraId="06C750B5" w14:textId="77777777" w:rsidR="00541A14" w:rsidRDefault="00A450E1">
      <w:pPr>
        <w:pStyle w:val="CM172"/>
        <w:spacing w:after="202"/>
        <w:ind w:left="302"/>
        <w:rPr>
          <w:rFonts w:ascii="Palatino" w:hAnsi="Palatino" w:cs="Palatino"/>
          <w:color w:val="000000"/>
          <w:sz w:val="11"/>
          <w:szCs w:val="11"/>
        </w:rPr>
      </w:pPr>
      <w:r>
        <w:rPr>
          <w:rFonts w:ascii="Palatino" w:hAnsi="Palatino" w:cs="Palatino"/>
          <w:color w:val="000000"/>
          <w:sz w:val="20"/>
          <w:szCs w:val="20"/>
        </w:rPr>
        <w:t>should be performing their specified function.</w:t>
      </w:r>
      <w:r>
        <w:rPr>
          <w:rFonts w:ascii="Palatino" w:hAnsi="Palatino" w:cs="Palatino"/>
          <w:color w:val="000000"/>
          <w:position w:val="7"/>
          <w:sz w:val="11"/>
          <w:szCs w:val="11"/>
          <w:vertAlign w:val="superscript"/>
        </w:rPr>
        <w:t xml:space="preserve">22 </w:t>
      </w:r>
    </w:p>
    <w:p w14:paraId="276FDE1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availability of a floating aid is the principal measure of performance determined by IALA.  The </w:t>
      </w:r>
    </w:p>
    <w:p w14:paraId="09A6C90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recommended availability targets are indicated in Table 16. </w:t>
      </w:r>
    </w:p>
    <w:p w14:paraId="5E7AFABE"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b/>
          <w:bCs/>
          <w:color w:val="000000"/>
          <w:sz w:val="20"/>
          <w:szCs w:val="20"/>
        </w:rPr>
        <w:t xml:space="preserve">table 16 – Availability targets </w:t>
      </w:r>
    </w:p>
    <w:p w14:paraId="2EF225C3"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77696" behindDoc="0" locked="0" layoutInCell="0" allowOverlap="1" wp14:anchorId="0F7A2681" wp14:editId="5C23D43D">
                <wp:simplePos x="0" y="0"/>
                <wp:positionH relativeFrom="page">
                  <wp:posOffset>826770</wp:posOffset>
                </wp:positionH>
                <wp:positionV relativeFrom="page">
                  <wp:posOffset>6503035</wp:posOffset>
                </wp:positionV>
                <wp:extent cx="6259195" cy="1625600"/>
                <wp:effectExtent l="0" t="0" r="0" b="0"/>
                <wp:wrapThrough wrapText="bothSides">
                  <wp:wrapPolygon edited="0">
                    <wp:start x="0" y="0"/>
                    <wp:lineTo x="21600" y="0"/>
                    <wp:lineTo x="21600" y="21600"/>
                    <wp:lineTo x="0" y="21600"/>
                    <wp:lineTo x="0" y="0"/>
                  </wp:wrapPolygon>
                </wp:wrapThrough>
                <wp:docPr id="53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9195" cy="162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6147"/>
                              <w:gridCol w:w="1400"/>
                              <w:gridCol w:w="1510"/>
                            </w:tblGrid>
                            <w:tr w:rsidR="00541A14" w14:paraId="69119DCB" w14:textId="77777777">
                              <w:trPr>
                                <w:trHeight w:val="220"/>
                              </w:trPr>
                              <w:tc>
                                <w:tcPr>
                                  <w:tcW w:w="6147" w:type="dxa"/>
                                  <w:tcBorders>
                                    <w:top w:val="single" w:sz="4" w:space="0" w:color="0E0F1A"/>
                                    <w:left w:val="single" w:sz="4" w:space="0" w:color="020205"/>
                                    <w:bottom w:val="single" w:sz="4" w:space="0" w:color="0E0F1A"/>
                                    <w:right w:val="single" w:sz="4" w:space="0" w:color="05050A"/>
                                  </w:tcBorders>
                                  <w:shd w:val="clear" w:color="auto" w:fill="5E64A8"/>
                                  <w:vAlign w:val="center"/>
                                </w:tcPr>
                                <w:p w14:paraId="1CDFDE86"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Type of Aid (examples only) </w:t>
                                  </w:r>
                                </w:p>
                              </w:tc>
                              <w:tc>
                                <w:tcPr>
                                  <w:tcW w:w="2907" w:type="dxa"/>
                                  <w:gridSpan w:val="2"/>
                                  <w:tcBorders>
                                    <w:top w:val="single" w:sz="4" w:space="0" w:color="0E0F1A"/>
                                    <w:left w:val="single" w:sz="4" w:space="0" w:color="05050A"/>
                                    <w:bottom w:val="single" w:sz="4" w:space="0" w:color="0E0F1A"/>
                                    <w:right w:val="single" w:sz="4" w:space="0" w:color="020205"/>
                                  </w:tcBorders>
                                  <w:shd w:val="clear" w:color="auto" w:fill="5E64A8"/>
                                  <w:vAlign w:val="center"/>
                                </w:tcPr>
                                <w:p w14:paraId="53687306" w14:textId="77777777" w:rsidR="00541A14"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Availability Target </w:t>
                                  </w:r>
                                </w:p>
                              </w:tc>
                            </w:tr>
                            <w:tr w:rsidR="00541A14" w14:paraId="2F164CF5" w14:textId="77777777">
                              <w:trPr>
                                <w:trHeight w:val="320"/>
                              </w:trPr>
                              <w:tc>
                                <w:tcPr>
                                  <w:tcW w:w="6147" w:type="dxa"/>
                                  <w:tcBorders>
                                    <w:top w:val="single" w:sz="4" w:space="0" w:color="0E0F1A"/>
                                    <w:left w:val="single" w:sz="4" w:space="0" w:color="020205"/>
                                    <w:bottom w:val="single" w:sz="4" w:space="0" w:color="000000"/>
                                    <w:right w:val="single" w:sz="4" w:space="0" w:color="05050A"/>
                                  </w:tcBorders>
                                  <w:shd w:val="clear" w:color="auto" w:fill="E8E7F3"/>
                                  <w:vAlign w:val="center"/>
                                </w:tcPr>
                                <w:p w14:paraId="63DF752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Floating aids to navigation that are considered to be of primary navigational significance. </w:t>
                                  </w:r>
                                </w:p>
                              </w:tc>
                              <w:tc>
                                <w:tcPr>
                                  <w:tcW w:w="1400" w:type="dxa"/>
                                  <w:tcBorders>
                                    <w:top w:val="single" w:sz="4" w:space="0" w:color="0E0F1A"/>
                                    <w:left w:val="single" w:sz="4" w:space="0" w:color="05050A"/>
                                    <w:bottom w:val="single" w:sz="4" w:space="0" w:color="000000"/>
                                    <w:right w:val="single" w:sz="4" w:space="0" w:color="000000"/>
                                  </w:tcBorders>
                                  <w:shd w:val="clear" w:color="auto" w:fill="E8E7F3"/>
                                </w:tcPr>
                                <w:p w14:paraId="0E9EFF9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Category 1 </w:t>
                                  </w:r>
                                </w:p>
                              </w:tc>
                              <w:tc>
                                <w:tcPr>
                                  <w:tcW w:w="1510" w:type="dxa"/>
                                  <w:tcBorders>
                                    <w:top w:val="single" w:sz="4" w:space="0" w:color="0E0F1A"/>
                                    <w:left w:val="single" w:sz="4" w:space="0" w:color="000000"/>
                                    <w:bottom w:val="single" w:sz="4" w:space="0" w:color="000000"/>
                                    <w:right w:val="single" w:sz="4" w:space="0" w:color="020205"/>
                                  </w:tcBorders>
                                  <w:shd w:val="clear" w:color="auto" w:fill="E8E7F3"/>
                                </w:tcPr>
                                <w:p w14:paraId="04BF045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at least 99.8% </w:t>
                                  </w:r>
                                </w:p>
                              </w:tc>
                            </w:tr>
                            <w:tr w:rsidR="00541A14" w14:paraId="460AC91C" w14:textId="77777777">
                              <w:trPr>
                                <w:trHeight w:val="320"/>
                              </w:trPr>
                              <w:tc>
                                <w:tcPr>
                                  <w:tcW w:w="6147" w:type="dxa"/>
                                  <w:tcBorders>
                                    <w:top w:val="single" w:sz="4" w:space="0" w:color="000000"/>
                                    <w:left w:val="single" w:sz="4" w:space="0" w:color="020205"/>
                                    <w:bottom w:val="single" w:sz="4" w:space="0" w:color="000000"/>
                                    <w:right w:val="single" w:sz="4" w:space="0" w:color="05050A"/>
                                  </w:tcBorders>
                                  <w:vAlign w:val="center"/>
                                </w:tcPr>
                                <w:p w14:paraId="0593143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Floating aids to navigation that are considered to be of navigational significance. </w:t>
                                  </w:r>
                                </w:p>
                              </w:tc>
                              <w:tc>
                                <w:tcPr>
                                  <w:tcW w:w="1400" w:type="dxa"/>
                                  <w:tcBorders>
                                    <w:top w:val="single" w:sz="4" w:space="0" w:color="000000"/>
                                    <w:left w:val="single" w:sz="4" w:space="0" w:color="05050A"/>
                                    <w:bottom w:val="single" w:sz="4" w:space="0" w:color="000000"/>
                                    <w:right w:val="single" w:sz="4" w:space="0" w:color="000000"/>
                                  </w:tcBorders>
                                </w:tcPr>
                                <w:p w14:paraId="767A76B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Category 2 </w:t>
                                  </w:r>
                                </w:p>
                              </w:tc>
                              <w:tc>
                                <w:tcPr>
                                  <w:tcW w:w="1510" w:type="dxa"/>
                                  <w:tcBorders>
                                    <w:top w:val="single" w:sz="4" w:space="0" w:color="000000"/>
                                    <w:left w:val="single" w:sz="4" w:space="0" w:color="000000"/>
                                    <w:bottom w:val="single" w:sz="4" w:space="0" w:color="000000"/>
                                    <w:right w:val="single" w:sz="4" w:space="0" w:color="020205"/>
                                  </w:tcBorders>
                                </w:tcPr>
                                <w:p w14:paraId="5328247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at least 99% </w:t>
                                  </w:r>
                                </w:p>
                              </w:tc>
                            </w:tr>
                            <w:tr w:rsidR="00541A14" w14:paraId="46B4476C" w14:textId="77777777">
                              <w:trPr>
                                <w:trHeight w:val="321"/>
                              </w:trPr>
                              <w:tc>
                                <w:tcPr>
                                  <w:tcW w:w="6147" w:type="dxa"/>
                                  <w:tcBorders>
                                    <w:top w:val="single" w:sz="4" w:space="0" w:color="000000"/>
                                    <w:left w:val="single" w:sz="4" w:space="0" w:color="020205"/>
                                    <w:bottom w:val="single" w:sz="4" w:space="0" w:color="000000"/>
                                    <w:right w:val="single" w:sz="4" w:space="0" w:color="05050A"/>
                                  </w:tcBorders>
                                  <w:shd w:val="clear" w:color="auto" w:fill="E8E7F3"/>
                                  <w:vAlign w:val="center"/>
                                </w:tcPr>
                                <w:p w14:paraId="26D20AA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Floating aids to navigation that are considered to be of less navigational significance than Category 1 or 2. </w:t>
                                  </w:r>
                                </w:p>
                              </w:tc>
                              <w:tc>
                                <w:tcPr>
                                  <w:tcW w:w="1400" w:type="dxa"/>
                                  <w:tcBorders>
                                    <w:top w:val="single" w:sz="4" w:space="0" w:color="000000"/>
                                    <w:left w:val="single" w:sz="4" w:space="0" w:color="05050A"/>
                                    <w:bottom w:val="single" w:sz="4" w:space="0" w:color="000000"/>
                                    <w:right w:val="single" w:sz="4" w:space="0" w:color="000000"/>
                                  </w:tcBorders>
                                  <w:shd w:val="clear" w:color="auto" w:fill="E8E7F3"/>
                                </w:tcPr>
                                <w:p w14:paraId="62EF1CC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Category 3 </w:t>
                                  </w:r>
                                </w:p>
                              </w:tc>
                              <w:tc>
                                <w:tcPr>
                                  <w:tcW w:w="1510" w:type="dxa"/>
                                  <w:tcBorders>
                                    <w:top w:val="single" w:sz="4" w:space="0" w:color="000000"/>
                                    <w:left w:val="single" w:sz="4" w:space="0" w:color="000000"/>
                                    <w:bottom w:val="single" w:sz="4" w:space="0" w:color="000000"/>
                                    <w:right w:val="single" w:sz="4" w:space="0" w:color="020205"/>
                                  </w:tcBorders>
                                  <w:shd w:val="clear" w:color="auto" w:fill="E8E7F3"/>
                                </w:tcPr>
                                <w:p w14:paraId="0A2EF68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at least 97% </w:t>
                                  </w:r>
                                </w:p>
                              </w:tc>
                            </w:tr>
                          </w:tbl>
                          <w:p w14:paraId="7F9F8ED3"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45" type="#_x0000_t202" style="position:absolute;margin-left:65.1pt;margin-top:512.05pt;width:492.85pt;height:128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15"/>
                        <w:gridCol w:w="42"/>
                        <w:gridCol w:w="33"/>
                        <w:gridCol w:w="120"/>
                        <w:gridCol w:w="182"/>
                        <w:gridCol w:w="33"/>
                        <w:gridCol w:w="135"/>
                        <w:gridCol w:w="167"/>
                        <w:gridCol w:w="10"/>
                        <w:gridCol w:w="125"/>
                        <w:gridCol w:w="55"/>
                        <w:gridCol w:w="20"/>
                        <w:gridCol w:w="50"/>
                        <w:gridCol w:w="50"/>
                        <w:gridCol w:w="118"/>
                        <w:gridCol w:w="95"/>
                        <w:gridCol w:w="2"/>
                        <w:gridCol w:w="33"/>
                        <w:gridCol w:w="175"/>
                        <w:gridCol w:w="197"/>
                        <w:gridCol w:w="112"/>
                        <w:gridCol w:w="5"/>
                        <w:gridCol w:w="123"/>
                        <w:gridCol w:w="22"/>
                        <w:gridCol w:w="15"/>
                        <w:gridCol w:w="265"/>
                        <w:gridCol w:w="235"/>
                        <w:gridCol w:w="5"/>
                        <w:gridCol w:w="60"/>
                        <w:gridCol w:w="237"/>
                        <w:gridCol w:w="38"/>
                        <w:gridCol w:w="15"/>
                        <w:gridCol w:w="25"/>
                        <w:gridCol w:w="50"/>
                        <w:gridCol w:w="136"/>
                        <w:gridCol w:w="234"/>
                        <w:gridCol w:w="5"/>
                        <w:gridCol w:w="5"/>
                        <w:gridCol w:w="12"/>
                        <w:gridCol w:w="47"/>
                        <w:gridCol w:w="168"/>
                        <w:gridCol w:w="48"/>
                        <w:gridCol w:w="4"/>
                        <w:gridCol w:w="110"/>
                        <w:gridCol w:w="12"/>
                        <w:gridCol w:w="108"/>
                        <w:gridCol w:w="366"/>
                        <w:gridCol w:w="137"/>
                        <w:gridCol w:w="47"/>
                        <w:gridCol w:w="355"/>
                        <w:gridCol w:w="10"/>
                        <w:gridCol w:w="293"/>
                        <w:gridCol w:w="78"/>
                        <w:gridCol w:w="78"/>
                        <w:gridCol w:w="431"/>
                        <w:gridCol w:w="183"/>
                        <w:gridCol w:w="57"/>
                        <w:gridCol w:w="283"/>
                        <w:gridCol w:w="330"/>
                        <w:gridCol w:w="119"/>
                        <w:gridCol w:w="1109"/>
                        <w:gridCol w:w="334"/>
                        <w:gridCol w:w="71"/>
                        <w:gridCol w:w="6"/>
                        <w:gridCol w:w="15"/>
                        <w:gridCol w:w="8"/>
                      </w:tblGrid>
                      <w:tr w:rsidR="00000000" w14:paraId="69119DCB" w14:textId="77777777">
                        <w:tblPrEx>
                          <w:tblCellMar>
                            <w:top w:w="0" w:type="dxa"/>
                            <w:bottom w:w="0" w:type="dxa"/>
                          </w:tblCellMar>
                        </w:tblPrEx>
                        <w:trPr>
                          <w:gridAfter w:val="3"/>
                          <w:wAfter w:w="2013" w:type="dxa"/>
                          <w:trHeight w:val="220"/>
                        </w:trPr>
                        <w:tc>
                          <w:tcPr>
                            <w:tcW w:w="6147" w:type="dxa"/>
                            <w:gridSpan w:val="56"/>
                            <w:tcBorders>
                              <w:top w:val="single" w:sz="4" w:space="0" w:color="0E0F1A"/>
                              <w:left w:val="single" w:sz="4" w:space="0" w:color="020205"/>
                              <w:bottom w:val="single" w:sz="4" w:space="0" w:color="0E0F1A"/>
                              <w:right w:val="single" w:sz="4" w:space="0" w:color="05050A"/>
                            </w:tcBorders>
                            <w:shd w:val="clear" w:color="auto" w:fill="5E64A8"/>
                            <w:vAlign w:val="center"/>
                          </w:tcPr>
                          <w:p w14:paraId="1CDFDE86" w14:textId="77777777" w:rsidR="00000000"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Type of Aid (examples only) </w:t>
                            </w:r>
                          </w:p>
                        </w:tc>
                        <w:tc>
                          <w:tcPr>
                            <w:tcW w:w="2907" w:type="dxa"/>
                            <w:gridSpan w:val="9"/>
                            <w:tcBorders>
                              <w:top w:val="single" w:sz="4" w:space="0" w:color="0E0F1A"/>
                              <w:left w:val="single" w:sz="4" w:space="0" w:color="05050A"/>
                              <w:bottom w:val="single" w:sz="4" w:space="0" w:color="0E0F1A"/>
                              <w:right w:val="single" w:sz="4" w:space="0" w:color="020205"/>
                            </w:tcBorders>
                            <w:shd w:val="clear" w:color="auto" w:fill="5E64A8"/>
                            <w:vAlign w:val="center"/>
                          </w:tcPr>
                          <w:p w14:paraId="53687306" w14:textId="77777777" w:rsidR="00000000" w:rsidRDefault="00A450E1">
                            <w:pPr>
                              <w:pStyle w:val="Default"/>
                              <w:rPr>
                                <w:rFonts w:ascii="Helvetica 55 Roman" w:hAnsi="Helvetica 55 Roman" w:cs="Helvetica 55 Roman"/>
                                <w:color w:val="FFFFFF"/>
                                <w:sz w:val="18"/>
                                <w:szCs w:val="18"/>
                              </w:rPr>
                            </w:pPr>
                            <w:r>
                              <w:rPr>
                                <w:rFonts w:ascii="Helvetica 55 Roman" w:hAnsi="Helvetica 55 Roman" w:cs="Helvetica 55 Roman"/>
                                <w:color w:val="FFFFFF"/>
                                <w:sz w:val="18"/>
                                <w:szCs w:val="18"/>
                              </w:rPr>
                              <w:t xml:space="preserve">Availability Target </w:t>
                            </w:r>
                          </w:p>
                        </w:tc>
                      </w:tr>
                      <w:tr w:rsidR="00000000" w14:paraId="2F164CF5" w14:textId="77777777">
                        <w:tblPrEx>
                          <w:tblCellMar>
                            <w:top w:w="0" w:type="dxa"/>
                            <w:bottom w:w="0" w:type="dxa"/>
                          </w:tblCellMar>
                        </w:tblPrEx>
                        <w:trPr>
                          <w:gridAfter w:val="3"/>
                          <w:wAfter w:w="2011" w:type="dxa"/>
                          <w:trHeight w:val="320"/>
                        </w:trPr>
                        <w:tc>
                          <w:tcPr>
                            <w:tcW w:w="6147" w:type="dxa"/>
                            <w:gridSpan w:val="56"/>
                            <w:tcBorders>
                              <w:top w:val="single" w:sz="4" w:space="0" w:color="0E0F1A"/>
                              <w:left w:val="single" w:sz="4" w:space="0" w:color="020205"/>
                              <w:bottom w:val="single" w:sz="4" w:space="0" w:color="000000"/>
                              <w:right w:val="single" w:sz="4" w:space="0" w:color="05050A"/>
                            </w:tcBorders>
                            <w:shd w:val="clear" w:color="auto" w:fill="E8E7F3"/>
                            <w:vAlign w:val="center"/>
                          </w:tcPr>
                          <w:p w14:paraId="63DF752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Floating aids to navigation that are considered to be of primary navigational significance. </w:t>
                            </w:r>
                          </w:p>
                        </w:tc>
                        <w:tc>
                          <w:tcPr>
                            <w:tcW w:w="1400" w:type="dxa"/>
                            <w:gridSpan w:val="6"/>
                            <w:tcBorders>
                              <w:top w:val="single" w:sz="4" w:space="0" w:color="0E0F1A"/>
                              <w:left w:val="single" w:sz="4" w:space="0" w:color="05050A"/>
                              <w:bottom w:val="single" w:sz="4" w:space="0" w:color="000000"/>
                              <w:right w:val="single" w:sz="4" w:space="0" w:color="000000"/>
                            </w:tcBorders>
                            <w:shd w:val="clear" w:color="auto" w:fill="E8E7F3"/>
                          </w:tcPr>
                          <w:p w14:paraId="0E9EFF9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Category 1 </w:t>
                            </w:r>
                          </w:p>
                        </w:tc>
                        <w:tc>
                          <w:tcPr>
                            <w:tcW w:w="1510" w:type="dxa"/>
                            <w:gridSpan w:val="3"/>
                            <w:tcBorders>
                              <w:top w:val="single" w:sz="4" w:space="0" w:color="0E0F1A"/>
                              <w:left w:val="single" w:sz="4" w:space="0" w:color="000000"/>
                              <w:bottom w:val="single" w:sz="4" w:space="0" w:color="000000"/>
                              <w:right w:val="single" w:sz="4" w:space="0" w:color="020205"/>
                            </w:tcBorders>
                            <w:shd w:val="clear" w:color="auto" w:fill="E8E7F3"/>
                          </w:tcPr>
                          <w:p w14:paraId="04BF045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at least 99.8% </w:t>
                            </w:r>
                          </w:p>
                        </w:tc>
                      </w:tr>
                      <w:tr w:rsidR="00000000" w14:paraId="460AC91C" w14:textId="77777777">
                        <w:tblPrEx>
                          <w:tblCellMar>
                            <w:top w:w="0" w:type="dxa"/>
                            <w:bottom w:w="0" w:type="dxa"/>
                          </w:tblCellMar>
                        </w:tblPrEx>
                        <w:trPr>
                          <w:gridAfter w:val="3"/>
                          <w:wAfter w:w="2011" w:type="dxa"/>
                          <w:trHeight w:val="320"/>
                        </w:trPr>
                        <w:tc>
                          <w:tcPr>
                            <w:tcW w:w="6147" w:type="dxa"/>
                            <w:gridSpan w:val="56"/>
                            <w:tcBorders>
                              <w:top w:val="single" w:sz="4" w:space="0" w:color="000000"/>
                              <w:left w:val="single" w:sz="4" w:space="0" w:color="020205"/>
                              <w:bottom w:val="single" w:sz="4" w:space="0" w:color="000000"/>
                              <w:right w:val="single" w:sz="4" w:space="0" w:color="05050A"/>
                            </w:tcBorders>
                            <w:vAlign w:val="center"/>
                          </w:tcPr>
                          <w:p w14:paraId="0593143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Floating aids to navigation that are considered to be of navigational significance. </w:t>
                            </w:r>
                          </w:p>
                        </w:tc>
                        <w:tc>
                          <w:tcPr>
                            <w:tcW w:w="1400" w:type="dxa"/>
                            <w:gridSpan w:val="6"/>
                            <w:tcBorders>
                              <w:top w:val="single" w:sz="4" w:space="0" w:color="000000"/>
                              <w:left w:val="single" w:sz="4" w:space="0" w:color="05050A"/>
                              <w:bottom w:val="single" w:sz="4" w:space="0" w:color="000000"/>
                              <w:right w:val="single" w:sz="4" w:space="0" w:color="000000"/>
                            </w:tcBorders>
                          </w:tcPr>
                          <w:p w14:paraId="767A76B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Category 2 </w:t>
                            </w:r>
                          </w:p>
                        </w:tc>
                        <w:tc>
                          <w:tcPr>
                            <w:tcW w:w="1510" w:type="dxa"/>
                            <w:gridSpan w:val="3"/>
                            <w:tcBorders>
                              <w:top w:val="single" w:sz="4" w:space="0" w:color="000000"/>
                              <w:left w:val="single" w:sz="4" w:space="0" w:color="000000"/>
                              <w:bottom w:val="single" w:sz="4" w:space="0" w:color="000000"/>
                              <w:right w:val="single" w:sz="4" w:space="0" w:color="020205"/>
                            </w:tcBorders>
                          </w:tcPr>
                          <w:p w14:paraId="5328247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at least 99% </w:t>
                            </w:r>
                          </w:p>
                        </w:tc>
                      </w:tr>
                      <w:tr w:rsidR="00000000" w14:paraId="46B4476C" w14:textId="77777777">
                        <w:tblPrEx>
                          <w:tblCellMar>
                            <w:top w:w="0" w:type="dxa"/>
                            <w:bottom w:w="0" w:type="dxa"/>
                          </w:tblCellMar>
                        </w:tblPrEx>
                        <w:trPr>
                          <w:gridAfter w:val="3"/>
                          <w:wAfter w:w="2011" w:type="dxa"/>
                          <w:trHeight w:val="321"/>
                        </w:trPr>
                        <w:tc>
                          <w:tcPr>
                            <w:tcW w:w="6147" w:type="dxa"/>
                            <w:gridSpan w:val="56"/>
                            <w:tcBorders>
                              <w:top w:val="single" w:sz="4" w:space="0" w:color="000000"/>
                              <w:left w:val="single" w:sz="4" w:space="0" w:color="020205"/>
                              <w:bottom w:val="single" w:sz="4" w:space="0" w:color="000000"/>
                              <w:right w:val="single" w:sz="4" w:space="0" w:color="05050A"/>
                            </w:tcBorders>
                            <w:shd w:val="clear" w:color="auto" w:fill="E8E7F3"/>
                            <w:vAlign w:val="center"/>
                          </w:tcPr>
                          <w:p w14:paraId="26D20AA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Floating aids to navigation that are considered to be of less navigational significance than Category 1 or 2. </w:t>
                            </w:r>
                          </w:p>
                        </w:tc>
                        <w:tc>
                          <w:tcPr>
                            <w:tcW w:w="1400" w:type="dxa"/>
                            <w:gridSpan w:val="6"/>
                            <w:tcBorders>
                              <w:top w:val="single" w:sz="4" w:space="0" w:color="000000"/>
                              <w:left w:val="single" w:sz="4" w:space="0" w:color="05050A"/>
                              <w:bottom w:val="single" w:sz="4" w:space="0" w:color="000000"/>
                              <w:right w:val="single" w:sz="4" w:space="0" w:color="000000"/>
                            </w:tcBorders>
                            <w:shd w:val="clear" w:color="auto" w:fill="E8E7F3"/>
                          </w:tcPr>
                          <w:p w14:paraId="62EF1CC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Category 3 </w:t>
                            </w:r>
                          </w:p>
                        </w:tc>
                        <w:tc>
                          <w:tcPr>
                            <w:tcW w:w="1510" w:type="dxa"/>
                            <w:gridSpan w:val="3"/>
                            <w:tcBorders>
                              <w:top w:val="single" w:sz="4" w:space="0" w:color="000000"/>
                              <w:left w:val="single" w:sz="4" w:space="0" w:color="000000"/>
                              <w:bottom w:val="single" w:sz="4" w:space="0" w:color="000000"/>
                              <w:right w:val="single" w:sz="4" w:space="0" w:color="020205"/>
                            </w:tcBorders>
                            <w:shd w:val="clear" w:color="auto" w:fill="E8E7F3"/>
                          </w:tcPr>
                          <w:p w14:paraId="0A2EF68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at least 97% </w:t>
                            </w:r>
                          </w:p>
                        </w:tc>
                      </w:tr>
                    </w:tbl>
                  </w:txbxContent>
                </v:textbox>
                <w10:wrap type="through" anchorx="page" anchory="page"/>
              </v:shape>
            </w:pict>
          </mc:Fallback>
        </mc:AlternateContent>
      </w:r>
    </w:p>
    <w:p w14:paraId="1A9F8268" w14:textId="77777777" w:rsidR="00541A14" w:rsidRDefault="00A450E1">
      <w:pPr>
        <w:pStyle w:val="Default"/>
        <w:rPr>
          <w:rFonts w:ascii="Palatino" w:hAnsi="Palatino" w:cs="Palatino"/>
          <w:color w:val="auto"/>
          <w:sz w:val="20"/>
          <w:szCs w:val="20"/>
        </w:rPr>
      </w:pPr>
      <w:r>
        <w:rPr>
          <w:rFonts w:ascii="Palatino" w:hAnsi="Palatino" w:cs="Palatino"/>
          <w:b/>
          <w:bCs/>
          <w:color w:val="auto"/>
          <w:sz w:val="20"/>
          <w:szCs w:val="20"/>
        </w:rPr>
        <w:t>Note</w:t>
      </w:r>
      <w:r>
        <w:rPr>
          <w:rFonts w:ascii="Palatino" w:hAnsi="Palatino" w:cs="Palatino"/>
          <w:color w:val="auto"/>
          <w:sz w:val="20"/>
          <w:szCs w:val="20"/>
        </w:rPr>
        <w:t>: The availability objective assigned to floating aids to navigation conforming to the IALA</w:t>
      </w:r>
    </w:p>
    <w:p w14:paraId="745A9E14" w14:textId="77777777" w:rsidR="00541A14" w:rsidRDefault="00A450E1">
      <w:pPr>
        <w:pStyle w:val="CM173"/>
        <w:spacing w:after="340"/>
        <w:jc w:val="both"/>
        <w:rPr>
          <w:rFonts w:ascii="Palatino" w:hAnsi="Palatino" w:cs="Palatino"/>
          <w:sz w:val="20"/>
          <w:szCs w:val="20"/>
        </w:rPr>
      </w:pPr>
      <w:r>
        <w:rPr>
          <w:rFonts w:ascii="Palatino" w:hAnsi="Palatino" w:cs="Palatino"/>
          <w:sz w:val="20"/>
          <w:szCs w:val="20"/>
        </w:rPr>
        <w:t xml:space="preserve">Maritime Buoyage System should also apply to the topmark. </w:t>
      </w:r>
    </w:p>
    <w:p w14:paraId="536F5E59" w14:textId="77777777" w:rsidR="00541A14" w:rsidRDefault="00A450E1">
      <w:pPr>
        <w:pStyle w:val="CM84"/>
        <w:ind w:left="197"/>
        <w:jc w:val="both"/>
        <w:rPr>
          <w:rFonts w:ascii="Palatino" w:hAnsi="Palatino" w:cs="Palatino"/>
          <w:sz w:val="20"/>
          <w:szCs w:val="20"/>
        </w:rPr>
      </w:pPr>
      <w:r>
        <w:rPr>
          <w:rFonts w:ascii="Palatino" w:hAnsi="Palatino" w:cs="Palatino"/>
          <w:b/>
          <w:bCs/>
          <w:sz w:val="20"/>
          <w:szCs w:val="20"/>
        </w:rPr>
        <w:t xml:space="preserve">Refer to IAlA publications: </w:t>
      </w:r>
    </w:p>
    <w:p w14:paraId="72836A8C" w14:textId="77777777" w:rsidR="00541A14" w:rsidRDefault="009E3F25">
      <w:pPr>
        <w:pStyle w:val="CM162"/>
        <w:spacing w:after="552" w:line="300" w:lineRule="atLeast"/>
        <w:ind w:left="197"/>
        <w:jc w:val="both"/>
        <w:rPr>
          <w:rFonts w:ascii="Palatino" w:hAnsi="Palatino" w:cs="Palatino"/>
          <w:sz w:val="20"/>
          <w:szCs w:val="20"/>
        </w:rPr>
      </w:pPr>
      <w:hyperlink r:id="rId164" w:history="1">
        <w:r w:rsidR="00A450E1">
          <w:rPr>
            <w:rFonts w:ascii="Palatino" w:hAnsi="Palatino" w:cs="Palatino"/>
            <w:i/>
            <w:iCs/>
            <w:sz w:val="20"/>
            <w:szCs w:val="20"/>
          </w:rPr>
          <w:t xml:space="preserve">IALA Recommendation O-130 on Categorisation and Availability Objectives for Short Range Aids to Navigation. </w:t>
        </w:r>
      </w:hyperlink>
      <w:hyperlink r:id="rId165" w:history="1">
        <w:r w:rsidR="00A450E1">
          <w:rPr>
            <w:rFonts w:ascii="Palatino" w:hAnsi="Palatino" w:cs="Palatino"/>
            <w:i/>
            <w:iCs/>
            <w:sz w:val="20"/>
            <w:szCs w:val="20"/>
          </w:rPr>
          <w:t xml:space="preserve">IALA Guideline 1035 on Availability and Reliability of Aids to Navigation. </w:t>
        </w:r>
      </w:hyperlink>
    </w:p>
    <w:p w14:paraId="369B847B" w14:textId="77777777" w:rsidR="00541A14" w:rsidRDefault="00A450E1">
      <w:pPr>
        <w:pStyle w:val="CM162"/>
        <w:spacing w:after="552" w:line="216" w:lineRule="atLeast"/>
        <w:ind w:right="307"/>
        <w:jc w:val="both"/>
        <w:rPr>
          <w:rFonts w:ascii="Palatino" w:hAnsi="Palatino" w:cs="Palatino"/>
          <w:sz w:val="18"/>
          <w:szCs w:val="18"/>
        </w:rPr>
      </w:pPr>
      <w:r>
        <w:rPr>
          <w:rFonts w:ascii="Palatino" w:hAnsi="Palatino" w:cs="Palatino"/>
          <w:position w:val="6"/>
          <w:sz w:val="20"/>
          <w:szCs w:val="20"/>
          <w:vertAlign w:val="superscript"/>
        </w:rPr>
        <w:t>22</w:t>
      </w:r>
      <w:r>
        <w:rPr>
          <w:rFonts w:ascii="Palatino" w:hAnsi="Palatino" w:cs="Palatino"/>
          <w:sz w:val="20"/>
          <w:szCs w:val="20"/>
        </w:rPr>
        <w:t>As adapted from the IALA Guideline 1035 on Availability a</w:t>
      </w:r>
      <w:r>
        <w:rPr>
          <w:rFonts w:ascii="Palatino" w:hAnsi="Palatino" w:cs="Palatino"/>
          <w:sz w:val="18"/>
          <w:szCs w:val="18"/>
        </w:rPr>
        <w:t xml:space="preserve">nd Reliability of Aids to Navigation, Theory and Examples. </w:t>
      </w:r>
    </w:p>
    <w:p w14:paraId="073633D6" w14:textId="77777777" w:rsidR="00541A14" w:rsidRDefault="00DD420F">
      <w:pPr>
        <w:pStyle w:val="Default"/>
        <w:framePr w:w="10739" w:wrap="auto" w:vAnchor="page" w:hAnchor="page" w:x="1434" w:y="16278"/>
        <w:rPr>
          <w:rFonts w:ascii="Palatino" w:hAnsi="Palatino" w:cs="Palatino"/>
          <w:color w:val="auto"/>
          <w:sz w:val="18"/>
          <w:szCs w:val="18"/>
        </w:rPr>
      </w:pPr>
      <w:r>
        <w:rPr>
          <w:rFonts w:ascii="Palatino" w:hAnsi="Palatino" w:cs="Palatino"/>
          <w:noProof/>
          <w:color w:val="auto"/>
          <w:sz w:val="18"/>
          <w:szCs w:val="18"/>
        </w:rPr>
        <w:drawing>
          <wp:inline distT="0" distB="0" distL="0" distR="0" wp14:anchorId="65921CE5" wp14:editId="316B7D3F">
            <wp:extent cx="7542530" cy="420370"/>
            <wp:effectExtent l="0" t="0" r="1270" b="1143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456F415A" w14:textId="77777777" w:rsidR="00541A14" w:rsidRDefault="00DD420F">
      <w:pPr>
        <w:pStyle w:val="Default"/>
        <w:pageBreakBefore/>
        <w:framePr w:w="24763" w:wrap="auto" w:vAnchor="page" w:hAnchor="page" w:x="101" w:y="1"/>
        <w:spacing w:after="660"/>
        <w:rPr>
          <w:rFonts w:ascii="Palatino" w:hAnsi="Palatino" w:cs="Palatino"/>
          <w:color w:val="auto"/>
          <w:sz w:val="18"/>
          <w:szCs w:val="18"/>
        </w:rPr>
      </w:pPr>
      <w:r>
        <w:rPr>
          <w:rFonts w:ascii="Palatino" w:hAnsi="Palatino" w:cs="Palatino"/>
          <w:noProof/>
          <w:color w:val="auto"/>
          <w:sz w:val="18"/>
          <w:szCs w:val="18"/>
        </w:rPr>
        <w:drawing>
          <wp:inline distT="0" distB="0" distL="0" distR="0" wp14:anchorId="03B09DA0" wp14:editId="299BBE65">
            <wp:extent cx="7553960" cy="115316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582B04C4"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Technical Considerations for Floating Aids to Navigation </w:t>
      </w:r>
    </w:p>
    <w:p w14:paraId="0562C2B3"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There are various technical considerations that should be taken into account, including: cost; design factors; positioning and markings. </w:t>
      </w:r>
    </w:p>
    <w:p w14:paraId="38D40B4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Cost </w:t>
      </w:r>
    </w:p>
    <w:p w14:paraId="39C213E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cost of establishing a floating aid at a given location will generally be less than for a fixed </w:t>
      </w:r>
    </w:p>
    <w:p w14:paraId="6582BF6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structure. The cost difference increases with increasing water depth and exposure to wind and waves. </w:t>
      </w:r>
    </w:p>
    <w:p w14:paraId="63F6235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In contrast, the maintenance cost of floating aids to navigation tends to be high relative to the capital </w:t>
      </w:r>
    </w:p>
    <w:p w14:paraId="74B5C42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value. This has caused many authorities to critically examine the potential for savings through design changes, use of alternative materials, alternate service deliveries (contracting out) and amending maintenance practices, generally with the aim of extending maintenance intervals. </w:t>
      </w:r>
    </w:p>
    <w:p w14:paraId="7C32CAF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Where an authority operates a large number of floating aids, it may become practicable to operate a </w:t>
      </w:r>
    </w:p>
    <w:p w14:paraId="43A0FB3C" w14:textId="77777777" w:rsidR="00541A14" w:rsidRDefault="00A450E1">
      <w:pPr>
        <w:pStyle w:val="CM172"/>
        <w:spacing w:after="202" w:line="293" w:lineRule="atLeast"/>
        <w:ind w:right="245"/>
        <w:rPr>
          <w:rFonts w:ascii="Palatino" w:hAnsi="Palatino" w:cs="Palatino"/>
          <w:color w:val="000000"/>
          <w:sz w:val="20"/>
          <w:szCs w:val="20"/>
        </w:rPr>
      </w:pPr>
      <w:r>
        <w:rPr>
          <w:rFonts w:ascii="Palatino" w:hAnsi="Palatino" w:cs="Palatino"/>
          <w:color w:val="000000"/>
          <w:sz w:val="20"/>
          <w:szCs w:val="20"/>
        </w:rPr>
        <w:t xml:space="preserve">dedicated buoy tender vessel with specialised equipment to minimise buoy change-out times and to improve occupational safety. </w:t>
      </w:r>
    </w:p>
    <w:p w14:paraId="11D30BBC"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6875E417" w14:textId="77777777" w:rsidR="00541A14" w:rsidRDefault="009E3F25">
      <w:pPr>
        <w:pStyle w:val="CM172"/>
        <w:spacing w:after="202" w:line="293" w:lineRule="atLeast"/>
        <w:ind w:left="300"/>
        <w:rPr>
          <w:rFonts w:ascii="Palatino" w:hAnsi="Palatino" w:cs="Palatino"/>
          <w:color w:val="000000"/>
          <w:sz w:val="20"/>
          <w:szCs w:val="20"/>
        </w:rPr>
      </w:pPr>
      <w:hyperlink r:id="rId167" w:history="1">
        <w:r w:rsidR="00A450E1">
          <w:rPr>
            <w:rFonts w:ascii="Palatino" w:hAnsi="Palatino" w:cs="Palatino"/>
            <w:i/>
            <w:iCs/>
            <w:color w:val="000000"/>
            <w:sz w:val="20"/>
            <w:szCs w:val="20"/>
          </w:rPr>
          <w:t xml:space="preserve">IALA Guideline 1047 on Cost Comparison Methodology of Buoy Technologies. </w:t>
        </w:r>
      </w:hyperlink>
    </w:p>
    <w:p w14:paraId="0DBC3A6C" w14:textId="77777777" w:rsidR="00541A14" w:rsidRDefault="00A450E1">
      <w:pPr>
        <w:pStyle w:val="CM4"/>
        <w:rPr>
          <w:rFonts w:ascii="Palatino" w:hAnsi="Palatino" w:cs="Palatino"/>
          <w:color w:val="000000"/>
          <w:sz w:val="20"/>
          <w:szCs w:val="20"/>
        </w:rPr>
      </w:pPr>
      <w:r>
        <w:rPr>
          <w:rFonts w:ascii="Palatino" w:hAnsi="Palatino" w:cs="Palatino"/>
          <w:b/>
          <w:bCs/>
          <w:color w:val="000000"/>
          <w:sz w:val="20"/>
          <w:szCs w:val="20"/>
        </w:rPr>
        <w:t xml:space="preserve">Floating Aid Design </w:t>
      </w:r>
    </w:p>
    <w:p w14:paraId="091A029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process of designing a buoy to meet specific requirements is a specialised task. It involves, but is </w:t>
      </w:r>
    </w:p>
    <w:p w14:paraId="45E183D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not limited to: </w:t>
      </w:r>
    </w:p>
    <w:p w14:paraId="778C938B" w14:textId="77777777" w:rsidR="00541A14" w:rsidRDefault="00A450E1">
      <w:pPr>
        <w:pStyle w:val="Default"/>
        <w:numPr>
          <w:ilvl w:val="0"/>
          <w:numId w:val="83"/>
        </w:numPr>
        <w:rPr>
          <w:rFonts w:ascii="Palatino" w:hAnsi="Palatino" w:cs="Palatino"/>
          <w:sz w:val="20"/>
          <w:szCs w:val="20"/>
        </w:rPr>
      </w:pPr>
      <w:r>
        <w:rPr>
          <w:rFonts w:ascii="Palatino" w:hAnsi="Palatino" w:cs="Palatino"/>
          <w:sz w:val="20"/>
          <w:szCs w:val="20"/>
        </w:rPr>
        <w:t xml:space="preserve">defining the operational performance characteristics; </w:t>
      </w:r>
    </w:p>
    <w:p w14:paraId="670528AA" w14:textId="77777777" w:rsidR="00541A14" w:rsidRDefault="00A450E1">
      <w:pPr>
        <w:pStyle w:val="Default"/>
        <w:numPr>
          <w:ilvl w:val="0"/>
          <w:numId w:val="83"/>
        </w:numPr>
        <w:rPr>
          <w:rFonts w:ascii="Palatino" w:hAnsi="Palatino" w:cs="Palatino"/>
          <w:sz w:val="20"/>
          <w:szCs w:val="20"/>
        </w:rPr>
      </w:pPr>
      <w:r>
        <w:rPr>
          <w:rFonts w:ascii="Palatino" w:hAnsi="Palatino" w:cs="Palatino"/>
          <w:sz w:val="20"/>
          <w:szCs w:val="20"/>
        </w:rPr>
        <w:t xml:space="preserve">defining the equipment, power requirements and power source(s); </w:t>
      </w:r>
    </w:p>
    <w:p w14:paraId="4BF5F49F" w14:textId="77777777" w:rsidR="00541A14" w:rsidRDefault="00A450E1">
      <w:pPr>
        <w:pStyle w:val="Default"/>
        <w:numPr>
          <w:ilvl w:val="0"/>
          <w:numId w:val="83"/>
        </w:numPr>
        <w:rPr>
          <w:rFonts w:ascii="Palatino" w:hAnsi="Palatino" w:cs="Palatino"/>
          <w:sz w:val="20"/>
          <w:szCs w:val="20"/>
        </w:rPr>
      </w:pPr>
      <w:r>
        <w:rPr>
          <w:rFonts w:ascii="Palatino" w:hAnsi="Palatino" w:cs="Palatino"/>
          <w:sz w:val="20"/>
          <w:szCs w:val="20"/>
        </w:rPr>
        <w:t xml:space="preserve">defining the type and capabilities of the vessels that will be used to service the buoy; </w:t>
      </w:r>
    </w:p>
    <w:p w14:paraId="35B6630F" w14:textId="77777777" w:rsidR="00541A14" w:rsidRDefault="00A450E1">
      <w:pPr>
        <w:pStyle w:val="Default"/>
        <w:numPr>
          <w:ilvl w:val="0"/>
          <w:numId w:val="83"/>
        </w:numPr>
        <w:rPr>
          <w:rFonts w:ascii="Palatino" w:hAnsi="Palatino" w:cs="Palatino"/>
          <w:sz w:val="20"/>
          <w:szCs w:val="20"/>
        </w:rPr>
      </w:pPr>
      <w:r>
        <w:rPr>
          <w:rFonts w:ascii="Palatino" w:hAnsi="Palatino" w:cs="Palatino"/>
          <w:sz w:val="20"/>
          <w:szCs w:val="20"/>
        </w:rPr>
        <w:t xml:space="preserve">selecting the initial type proportions and mooring for the buoy; </w:t>
      </w:r>
    </w:p>
    <w:p w14:paraId="3103147C" w14:textId="77777777" w:rsidR="00541A14" w:rsidRDefault="00A450E1">
      <w:pPr>
        <w:pStyle w:val="Default"/>
        <w:numPr>
          <w:ilvl w:val="0"/>
          <w:numId w:val="83"/>
        </w:numPr>
        <w:rPr>
          <w:rFonts w:ascii="Palatino" w:hAnsi="Palatino" w:cs="Palatino"/>
          <w:sz w:val="20"/>
          <w:szCs w:val="20"/>
        </w:rPr>
      </w:pPr>
      <w:r>
        <w:rPr>
          <w:rFonts w:ascii="Palatino" w:hAnsi="Palatino" w:cs="Palatino"/>
          <w:sz w:val="20"/>
          <w:szCs w:val="20"/>
        </w:rPr>
        <w:t xml:space="preserve">integrating of equipment and power supply; </w:t>
      </w:r>
    </w:p>
    <w:p w14:paraId="5E35B150" w14:textId="77777777" w:rsidR="00541A14" w:rsidRDefault="00A450E1">
      <w:pPr>
        <w:pStyle w:val="Default"/>
        <w:numPr>
          <w:ilvl w:val="0"/>
          <w:numId w:val="83"/>
        </w:numPr>
        <w:rPr>
          <w:rFonts w:ascii="Palatino" w:hAnsi="Palatino" w:cs="Palatino"/>
          <w:sz w:val="20"/>
          <w:szCs w:val="20"/>
        </w:rPr>
      </w:pPr>
      <w:r>
        <w:rPr>
          <w:rFonts w:ascii="Palatino" w:hAnsi="Palatino" w:cs="Palatino"/>
          <w:sz w:val="20"/>
          <w:szCs w:val="20"/>
        </w:rPr>
        <w:t xml:space="preserve">considering of the maintenance requirements; </w:t>
      </w:r>
    </w:p>
    <w:p w14:paraId="4CE022DA" w14:textId="77777777" w:rsidR="00541A14" w:rsidRDefault="00A450E1">
      <w:pPr>
        <w:pStyle w:val="Default"/>
        <w:numPr>
          <w:ilvl w:val="0"/>
          <w:numId w:val="83"/>
        </w:numPr>
        <w:rPr>
          <w:rFonts w:ascii="Palatino" w:hAnsi="Palatino" w:cs="Palatino"/>
          <w:sz w:val="20"/>
          <w:szCs w:val="20"/>
        </w:rPr>
      </w:pPr>
      <w:r>
        <w:rPr>
          <w:rFonts w:ascii="Palatino" w:hAnsi="Palatino" w:cs="Palatino"/>
          <w:sz w:val="20"/>
          <w:szCs w:val="20"/>
        </w:rPr>
        <w:t xml:space="preserve">identifying deployment and recovery techniques; </w:t>
      </w:r>
    </w:p>
    <w:p w14:paraId="4DA5E866" w14:textId="77777777" w:rsidR="00541A14" w:rsidRDefault="00A450E1">
      <w:pPr>
        <w:pStyle w:val="Default"/>
        <w:numPr>
          <w:ilvl w:val="0"/>
          <w:numId w:val="83"/>
        </w:numPr>
        <w:rPr>
          <w:rFonts w:ascii="Palatino" w:hAnsi="Palatino" w:cs="Palatino"/>
          <w:sz w:val="20"/>
          <w:szCs w:val="20"/>
        </w:rPr>
      </w:pPr>
      <w:r>
        <w:rPr>
          <w:rFonts w:ascii="Palatino" w:hAnsi="Palatino" w:cs="Palatino"/>
          <w:sz w:val="20"/>
          <w:szCs w:val="20"/>
        </w:rPr>
        <w:t xml:space="preserve">protecting equipment from damage; </w:t>
      </w:r>
    </w:p>
    <w:p w14:paraId="70D17DC6" w14:textId="77777777" w:rsidR="00541A14" w:rsidRDefault="00A450E1">
      <w:pPr>
        <w:pStyle w:val="Default"/>
        <w:numPr>
          <w:ilvl w:val="0"/>
          <w:numId w:val="83"/>
        </w:numPr>
        <w:rPr>
          <w:rFonts w:ascii="Palatino" w:hAnsi="Palatino" w:cs="Palatino"/>
          <w:sz w:val="20"/>
          <w:szCs w:val="20"/>
        </w:rPr>
      </w:pPr>
      <w:r>
        <w:rPr>
          <w:rFonts w:ascii="Palatino" w:hAnsi="Palatino" w:cs="Palatino"/>
          <w:sz w:val="20"/>
          <w:szCs w:val="20"/>
        </w:rPr>
        <w:t xml:space="preserve">providing the ability to rectify faults without having to lift the buoy; </w:t>
      </w:r>
    </w:p>
    <w:p w14:paraId="2FD30446" w14:textId="77777777" w:rsidR="00541A14" w:rsidRDefault="00A450E1">
      <w:pPr>
        <w:pStyle w:val="Default"/>
        <w:numPr>
          <w:ilvl w:val="0"/>
          <w:numId w:val="83"/>
        </w:numPr>
        <w:rPr>
          <w:rFonts w:ascii="Palatino" w:hAnsi="Palatino" w:cs="Palatino"/>
          <w:sz w:val="20"/>
          <w:szCs w:val="20"/>
        </w:rPr>
      </w:pPr>
      <w:r>
        <w:rPr>
          <w:rFonts w:ascii="Palatino" w:hAnsi="Palatino" w:cs="Palatino"/>
          <w:sz w:val="20"/>
          <w:szCs w:val="20"/>
        </w:rPr>
        <w:t xml:space="preserve">determining the buoy response to the wave, wind and current conditions at the site(s); • optimising the design. </w:t>
      </w:r>
    </w:p>
    <w:p w14:paraId="4D57C845" w14:textId="77777777" w:rsidR="00541A14" w:rsidRDefault="00541A14">
      <w:pPr>
        <w:pStyle w:val="Default"/>
        <w:rPr>
          <w:rFonts w:ascii="Palatino" w:hAnsi="Palatino" w:cs="Palatino"/>
          <w:sz w:val="20"/>
          <w:szCs w:val="20"/>
        </w:rPr>
      </w:pPr>
    </w:p>
    <w:p w14:paraId="3BAAECE9" w14:textId="77777777" w:rsidR="00541A14" w:rsidRDefault="00A450E1">
      <w:pPr>
        <w:pStyle w:val="CM169"/>
        <w:spacing w:after="65" w:line="333" w:lineRule="atLeast"/>
        <w:ind w:left="29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274F8B6D" w14:textId="77777777" w:rsidR="00541A14" w:rsidRDefault="009E3F25">
      <w:pPr>
        <w:pStyle w:val="CM169"/>
        <w:spacing w:after="65" w:line="333" w:lineRule="atLeast"/>
        <w:ind w:left="290"/>
        <w:rPr>
          <w:rFonts w:ascii="Palatino" w:hAnsi="Palatino" w:cs="Palatino"/>
          <w:color w:val="000000"/>
          <w:sz w:val="20"/>
          <w:szCs w:val="20"/>
        </w:rPr>
      </w:pPr>
      <w:hyperlink r:id="rId168" w:history="1">
        <w:r w:rsidR="00A450E1">
          <w:rPr>
            <w:rFonts w:ascii="Palatino" w:hAnsi="Palatino" w:cs="Palatino"/>
            <w:i/>
            <w:iCs/>
            <w:color w:val="000000"/>
            <w:sz w:val="20"/>
            <w:szCs w:val="20"/>
          </w:rPr>
          <w:t xml:space="preserve">IALA Guideline 1006 on Plastic Buoys. </w:t>
        </w:r>
      </w:hyperlink>
    </w:p>
    <w:p w14:paraId="31A493D7" w14:textId="77777777" w:rsidR="00541A14" w:rsidRDefault="009E3F25">
      <w:pPr>
        <w:pStyle w:val="CM30"/>
        <w:ind w:left="290"/>
        <w:rPr>
          <w:rFonts w:ascii="Palatino" w:hAnsi="Palatino" w:cs="Palatino"/>
          <w:color w:val="000000"/>
          <w:sz w:val="20"/>
          <w:szCs w:val="20"/>
        </w:rPr>
      </w:pPr>
      <w:hyperlink r:id="rId169" w:history="1">
        <w:r w:rsidR="00A450E1">
          <w:rPr>
            <w:rFonts w:ascii="Palatino" w:hAnsi="Palatino" w:cs="Palatino"/>
            <w:i/>
            <w:iCs/>
            <w:color w:val="000000"/>
            <w:sz w:val="20"/>
            <w:szCs w:val="20"/>
          </w:rPr>
          <w:t xml:space="preserve">IALA Guideline 1011 on a standard method for defining and calculating the load profile of aids to navigation. </w:t>
        </w:r>
      </w:hyperlink>
    </w:p>
    <w:p w14:paraId="11C85E46" w14:textId="77777777" w:rsidR="00541A14" w:rsidRDefault="009E3F25">
      <w:pPr>
        <w:pStyle w:val="CM72"/>
        <w:ind w:left="295"/>
        <w:rPr>
          <w:rFonts w:ascii="Palatino" w:hAnsi="Palatino" w:cs="Palatino"/>
          <w:color w:val="000000"/>
          <w:sz w:val="20"/>
          <w:szCs w:val="20"/>
        </w:rPr>
      </w:pPr>
      <w:hyperlink r:id="rId170" w:history="1">
        <w:r w:rsidR="00A450E1">
          <w:rPr>
            <w:rFonts w:ascii="Palatino" w:hAnsi="Palatino" w:cs="Palatino"/>
            <w:i/>
            <w:iCs/>
            <w:color w:val="000000"/>
            <w:sz w:val="20"/>
            <w:szCs w:val="20"/>
          </w:rPr>
          <w:t xml:space="preserve">IALA Guideline 1036 on Environmental Considerations in Aids to Navigation Engineering. </w:t>
        </w:r>
      </w:hyperlink>
      <w:hyperlink r:id="rId171" w:history="1">
        <w:r w:rsidR="00A450E1">
          <w:rPr>
            <w:rFonts w:ascii="Palatino" w:hAnsi="Palatino" w:cs="Palatino"/>
            <w:i/>
            <w:iCs/>
            <w:color w:val="000000"/>
            <w:sz w:val="20"/>
            <w:szCs w:val="20"/>
          </w:rPr>
          <w:t xml:space="preserve">IALA Guideline 1037 on Data Collection for Aids to Navigation Performance Calculation. </w:t>
        </w:r>
      </w:hyperlink>
      <w:r w:rsidR="00A450E1">
        <w:rPr>
          <w:rFonts w:ascii="Palatino" w:hAnsi="Palatino" w:cs="Palatino"/>
          <w:i/>
          <w:iCs/>
          <w:color w:val="000000"/>
          <w:sz w:val="20"/>
          <w:szCs w:val="20"/>
        </w:rPr>
        <w:t xml:space="preserve">IALA Guideline 1040 on the Maintenance of Buoys and Small Aids to Navigation Structures. </w:t>
      </w:r>
    </w:p>
    <w:p w14:paraId="4ED55BA0" w14:textId="77777777" w:rsidR="00541A14" w:rsidRDefault="009E3F25">
      <w:pPr>
        <w:pStyle w:val="CM72"/>
        <w:ind w:left="295"/>
        <w:rPr>
          <w:rFonts w:ascii="Palatino" w:hAnsi="Palatino" w:cs="Palatino"/>
          <w:color w:val="000000"/>
          <w:sz w:val="20"/>
          <w:szCs w:val="20"/>
        </w:rPr>
      </w:pPr>
      <w:hyperlink r:id="rId172" w:history="1">
        <w:r w:rsidR="00A450E1">
          <w:rPr>
            <w:rFonts w:ascii="Palatino" w:hAnsi="Palatino" w:cs="Palatino"/>
            <w:i/>
            <w:iCs/>
            <w:color w:val="000000"/>
            <w:sz w:val="20"/>
            <w:szCs w:val="20"/>
          </w:rPr>
          <w:t xml:space="preserve">IALA Guideline 1067-0 on Selection of Power Systems for Aids to Navigation and Associated Equipment. </w:t>
        </w:r>
      </w:hyperlink>
    </w:p>
    <w:p w14:paraId="6A28EBCE" w14:textId="77777777" w:rsidR="00541A14" w:rsidRDefault="009E3F25">
      <w:pPr>
        <w:pStyle w:val="CM72"/>
        <w:ind w:left="295"/>
        <w:rPr>
          <w:rFonts w:ascii="Palatino" w:hAnsi="Palatino" w:cs="Palatino"/>
          <w:color w:val="000000"/>
          <w:sz w:val="20"/>
          <w:szCs w:val="20"/>
        </w:rPr>
      </w:pPr>
      <w:hyperlink r:id="rId173" w:history="1">
        <w:r w:rsidR="00A450E1">
          <w:rPr>
            <w:rFonts w:ascii="Palatino" w:hAnsi="Palatino" w:cs="Palatino"/>
            <w:i/>
            <w:iCs/>
            <w:color w:val="000000"/>
            <w:sz w:val="20"/>
            <w:szCs w:val="20"/>
          </w:rPr>
          <w:t xml:space="preserve">IALA Guideline 1067-1 on Total Electrical Loads of Aids to Navigation. </w:t>
        </w:r>
      </w:hyperlink>
    </w:p>
    <w:p w14:paraId="3EEB2024" w14:textId="77777777" w:rsidR="00541A14" w:rsidRDefault="009E3F25">
      <w:pPr>
        <w:pStyle w:val="CM72"/>
        <w:ind w:left="295"/>
        <w:rPr>
          <w:rFonts w:ascii="Palatino" w:hAnsi="Palatino" w:cs="Palatino"/>
          <w:color w:val="000000"/>
          <w:sz w:val="20"/>
          <w:szCs w:val="20"/>
        </w:rPr>
      </w:pPr>
      <w:hyperlink r:id="rId174" w:history="1">
        <w:r w:rsidR="00A450E1">
          <w:rPr>
            <w:rFonts w:ascii="Palatino" w:hAnsi="Palatino" w:cs="Palatino"/>
            <w:i/>
            <w:iCs/>
            <w:color w:val="000000"/>
            <w:sz w:val="20"/>
            <w:szCs w:val="20"/>
          </w:rPr>
          <w:t xml:space="preserve">IALA Guideline 1067-2 on Power Sources. </w:t>
        </w:r>
      </w:hyperlink>
    </w:p>
    <w:p w14:paraId="5D3CEAE7" w14:textId="77777777" w:rsidR="00541A14" w:rsidRDefault="009E3F25">
      <w:pPr>
        <w:pStyle w:val="CM72"/>
        <w:ind w:left="295"/>
        <w:rPr>
          <w:rFonts w:ascii="Palatino" w:hAnsi="Palatino" w:cs="Palatino"/>
          <w:color w:val="000000"/>
          <w:sz w:val="20"/>
          <w:szCs w:val="20"/>
        </w:rPr>
      </w:pPr>
      <w:hyperlink r:id="rId175" w:history="1">
        <w:r w:rsidR="00A450E1">
          <w:rPr>
            <w:rFonts w:ascii="Palatino" w:hAnsi="Palatino" w:cs="Palatino"/>
            <w:i/>
            <w:iCs/>
            <w:color w:val="000000"/>
            <w:sz w:val="20"/>
            <w:szCs w:val="20"/>
          </w:rPr>
          <w:t xml:space="preserve">IALA Guideline 1067-3 on Electrical Energy Storage for Aids to Navigation. </w:t>
        </w:r>
      </w:hyperlink>
      <w:hyperlink r:id="rId176" w:history="1">
        <w:r w:rsidR="00A450E1">
          <w:rPr>
            <w:rFonts w:ascii="Palatino" w:hAnsi="Palatino" w:cs="Palatino"/>
            <w:i/>
            <w:iCs/>
            <w:color w:val="000000"/>
            <w:sz w:val="20"/>
            <w:szCs w:val="20"/>
          </w:rPr>
          <w:t>IALA Guideline 1043 on Light Sources used in Visual Aids to Navigatio</w:t>
        </w:r>
        <w:r w:rsidR="00A450E1">
          <w:rPr>
            <w:rFonts w:ascii="Palatino" w:hAnsi="Palatino" w:cs="Palatino"/>
            <w:color w:val="000000"/>
            <w:sz w:val="20"/>
            <w:szCs w:val="20"/>
          </w:rPr>
          <w:t xml:space="preserve">n. </w:t>
        </w:r>
      </w:hyperlink>
    </w:p>
    <w:p w14:paraId="050C9A5B" w14:textId="77777777" w:rsidR="00541A14" w:rsidRDefault="009E3F25">
      <w:pPr>
        <w:pStyle w:val="CM72"/>
        <w:ind w:left="295"/>
        <w:rPr>
          <w:rFonts w:ascii="Palatino" w:hAnsi="Palatino" w:cs="Palatino"/>
          <w:color w:val="000000"/>
          <w:sz w:val="20"/>
          <w:szCs w:val="20"/>
        </w:rPr>
      </w:pPr>
      <w:hyperlink r:id="rId177" w:history="1">
        <w:r w:rsidR="00A450E1">
          <w:rPr>
            <w:rFonts w:ascii="Palatino" w:hAnsi="Palatino" w:cs="Palatino"/>
            <w:i/>
            <w:iCs/>
            <w:color w:val="000000"/>
            <w:sz w:val="20"/>
            <w:szCs w:val="20"/>
          </w:rPr>
          <w:t>IALA Recommendation E-106 on the Use of Retroreflecting Material on Aids to Navigation Marks within</w:t>
        </w:r>
      </w:hyperlink>
    </w:p>
    <w:p w14:paraId="4F8A40E4" w14:textId="77777777" w:rsidR="00541A14" w:rsidRDefault="009E3F25">
      <w:pPr>
        <w:pStyle w:val="CM163"/>
        <w:spacing w:after="642" w:line="260" w:lineRule="atLeast"/>
        <w:ind w:left="295"/>
        <w:rPr>
          <w:rFonts w:ascii="Palatino" w:hAnsi="Palatino" w:cs="Palatino"/>
          <w:color w:val="000000"/>
          <w:sz w:val="20"/>
          <w:szCs w:val="20"/>
        </w:rPr>
      </w:pPr>
      <w:hyperlink r:id="rId178" w:history="1">
        <w:r w:rsidR="00A450E1">
          <w:rPr>
            <w:rFonts w:ascii="Palatino" w:hAnsi="Palatino" w:cs="Palatino"/>
            <w:i/>
            <w:iCs/>
            <w:color w:val="000000"/>
            <w:sz w:val="20"/>
            <w:szCs w:val="20"/>
          </w:rPr>
          <w:t xml:space="preserve">the IALA Maritime Buoyage System. </w:t>
        </w:r>
      </w:hyperlink>
    </w:p>
    <w:p w14:paraId="05E84EA3"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56E3F62B" wp14:editId="0267A26C">
            <wp:extent cx="7553960" cy="420370"/>
            <wp:effectExtent l="0" t="0" r="0" b="1143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3C1D7498" w14:textId="77777777" w:rsidR="00541A14" w:rsidRDefault="00DD420F">
      <w:pPr>
        <w:pStyle w:val="Default"/>
        <w:pageBreakBefore/>
        <w:framePr w:w="12857" w:wrap="auto" w:vAnchor="page" w:hAnchor="page" w:x="101" w:y="1"/>
        <w:spacing w:after="700"/>
        <w:rPr>
          <w:rFonts w:ascii="Palatino" w:hAnsi="Palatino" w:cs="Palatino"/>
          <w:sz w:val="20"/>
          <w:szCs w:val="20"/>
        </w:rPr>
      </w:pPr>
      <w:r>
        <w:rPr>
          <w:rFonts w:ascii="Palatino" w:hAnsi="Palatino" w:cs="Palatino"/>
          <w:noProof/>
          <w:sz w:val="20"/>
          <w:szCs w:val="20"/>
        </w:rPr>
        <w:drawing>
          <wp:inline distT="0" distB="0" distL="0" distR="0" wp14:anchorId="5CCEB1B2" wp14:editId="0083D6CE">
            <wp:extent cx="7553960" cy="115316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510EB998" w14:textId="77777777" w:rsidR="00541A14" w:rsidRDefault="00A450E1">
      <w:pPr>
        <w:pStyle w:val="CM185"/>
        <w:spacing w:after="140"/>
        <w:rPr>
          <w:rFonts w:ascii="Palatino" w:hAnsi="Palatino" w:cs="Palatino"/>
          <w:color w:val="000000"/>
          <w:sz w:val="20"/>
          <w:szCs w:val="20"/>
        </w:rPr>
      </w:pPr>
      <w:r>
        <w:rPr>
          <w:rFonts w:ascii="Palatino" w:hAnsi="Palatino" w:cs="Palatino"/>
          <w:b/>
          <w:bCs/>
          <w:color w:val="000000"/>
          <w:sz w:val="20"/>
          <w:szCs w:val="20"/>
        </w:rPr>
        <w:t xml:space="preserve">mooring Design and swing Radius </w:t>
      </w:r>
    </w:p>
    <w:p w14:paraId="3CF2D5E9" w14:textId="77777777" w:rsidR="00541A14" w:rsidRDefault="00A450E1">
      <w:pPr>
        <w:pStyle w:val="Default"/>
        <w:rPr>
          <w:rFonts w:ascii="Palatino" w:hAnsi="Palatino" w:cs="Palatino"/>
          <w:sz w:val="20"/>
          <w:szCs w:val="20"/>
        </w:rPr>
      </w:pPr>
      <w:r>
        <w:rPr>
          <w:rFonts w:ascii="Palatino" w:hAnsi="Palatino" w:cs="Palatino"/>
          <w:sz w:val="20"/>
          <w:szCs w:val="20"/>
        </w:rPr>
        <w:t xml:space="preserve">The mooring system for a floating aid to navigation is the sum of the components that keep the aid </w:t>
      </w:r>
    </w:p>
    <w:p w14:paraId="4B050F61" w14:textId="77777777" w:rsidR="00541A14" w:rsidRDefault="00A450E1">
      <w:pPr>
        <w:pStyle w:val="Default"/>
        <w:rPr>
          <w:rFonts w:ascii="Palatino" w:hAnsi="Palatino" w:cs="Palatino"/>
          <w:sz w:val="20"/>
          <w:szCs w:val="20"/>
        </w:rPr>
      </w:pPr>
      <w:r>
        <w:rPr>
          <w:rFonts w:ascii="Palatino" w:hAnsi="Palatino" w:cs="Palatino"/>
          <w:sz w:val="20"/>
          <w:szCs w:val="20"/>
        </w:rPr>
        <w:t xml:space="preserve">within a nominated area.  These components have to withstand the forces of wind, wave and current </w:t>
      </w:r>
    </w:p>
    <w:p w14:paraId="1C2BDDDF"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on the floating aid and drag on the mooring line. The basic assumptions made for determining the </w:t>
      </w:r>
    </w:p>
    <w:p w14:paraId="59EB817C" w14:textId="77777777" w:rsidR="00541A14" w:rsidRDefault="00A450E1">
      <w:pPr>
        <w:pStyle w:val="CM185"/>
        <w:spacing w:after="140"/>
        <w:rPr>
          <w:rFonts w:ascii="Palatino" w:hAnsi="Palatino" w:cs="Palatino"/>
          <w:color w:val="000000"/>
          <w:sz w:val="20"/>
          <w:szCs w:val="20"/>
        </w:rPr>
      </w:pPr>
      <w:r>
        <w:rPr>
          <w:rFonts w:ascii="Palatino" w:hAnsi="Palatino" w:cs="Palatino"/>
          <w:color w:val="000000"/>
          <w:sz w:val="20"/>
          <w:szCs w:val="20"/>
        </w:rPr>
        <w:t xml:space="preserve">forces are that the: </w:t>
      </w:r>
    </w:p>
    <w:p w14:paraId="3AD36B35" w14:textId="77777777" w:rsidR="00541A14" w:rsidRDefault="00A450E1">
      <w:pPr>
        <w:pStyle w:val="Default"/>
        <w:numPr>
          <w:ilvl w:val="0"/>
          <w:numId w:val="84"/>
        </w:numPr>
        <w:rPr>
          <w:rFonts w:ascii="Palatino" w:hAnsi="Palatino" w:cs="Palatino"/>
          <w:sz w:val="20"/>
          <w:szCs w:val="20"/>
        </w:rPr>
      </w:pPr>
      <w:r>
        <w:rPr>
          <w:rFonts w:ascii="Palatino" w:hAnsi="Palatino" w:cs="Palatino"/>
          <w:sz w:val="20"/>
          <w:szCs w:val="20"/>
        </w:rPr>
        <w:t xml:space="preserve">mooring system is tangential to the sea bed under all conditions of current and wind at the site; </w:t>
      </w:r>
    </w:p>
    <w:p w14:paraId="5BC49F14" w14:textId="77777777" w:rsidR="00541A14" w:rsidRDefault="00A450E1">
      <w:pPr>
        <w:pStyle w:val="Default"/>
        <w:numPr>
          <w:ilvl w:val="0"/>
          <w:numId w:val="84"/>
        </w:numPr>
        <w:rPr>
          <w:rFonts w:ascii="Palatino" w:hAnsi="Palatino" w:cs="Palatino"/>
          <w:sz w:val="20"/>
          <w:szCs w:val="20"/>
        </w:rPr>
      </w:pPr>
      <w:r>
        <w:rPr>
          <w:rFonts w:ascii="Palatino" w:hAnsi="Palatino" w:cs="Palatino"/>
          <w:sz w:val="20"/>
          <w:szCs w:val="20"/>
        </w:rPr>
        <w:t xml:space="preserve">buoy axis is vertical under the most common conditions of current and wind; </w:t>
      </w:r>
    </w:p>
    <w:p w14:paraId="21179F67" w14:textId="77777777" w:rsidR="00541A14" w:rsidRDefault="00A450E1">
      <w:pPr>
        <w:pStyle w:val="Default"/>
        <w:numPr>
          <w:ilvl w:val="0"/>
          <w:numId w:val="84"/>
        </w:numPr>
        <w:rPr>
          <w:rFonts w:ascii="Palatino" w:hAnsi="Palatino" w:cs="Palatino"/>
          <w:sz w:val="20"/>
          <w:szCs w:val="20"/>
        </w:rPr>
      </w:pPr>
      <w:r>
        <w:rPr>
          <w:rFonts w:ascii="Palatino" w:hAnsi="Palatino" w:cs="Palatino"/>
          <w:sz w:val="20"/>
          <w:szCs w:val="20"/>
        </w:rPr>
        <w:t xml:space="preserve">ratio of the breaking stress of the mooring system to the calculated stress is not less than 5 </w:t>
      </w:r>
    </w:p>
    <w:p w14:paraId="224B03CB" w14:textId="77777777" w:rsidR="00541A14" w:rsidRDefault="00541A14">
      <w:pPr>
        <w:pStyle w:val="Default"/>
        <w:rPr>
          <w:rFonts w:ascii="Palatino" w:hAnsi="Palatino" w:cs="Palatino"/>
          <w:sz w:val="20"/>
          <w:szCs w:val="20"/>
        </w:rPr>
      </w:pPr>
    </w:p>
    <w:p w14:paraId="32DD4043"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 xml:space="preserve">under the most unfavourable conditions of current and wind; </w:t>
      </w:r>
    </w:p>
    <w:p w14:paraId="6CF7290C"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reserve buoyancy of the fully equipped floating aid is greater than the combined loads of </w:t>
      </w:r>
    </w:p>
    <w:p w14:paraId="60EEA1FA" w14:textId="77777777" w:rsidR="00541A14" w:rsidRDefault="00A450E1">
      <w:pPr>
        <w:pStyle w:val="CM175"/>
        <w:spacing w:after="267"/>
        <w:ind w:left="302"/>
        <w:rPr>
          <w:rFonts w:ascii="Palatino" w:hAnsi="Palatino" w:cs="Palatino"/>
          <w:color w:val="000000"/>
          <w:sz w:val="20"/>
          <w:szCs w:val="20"/>
        </w:rPr>
      </w:pPr>
      <w:r>
        <w:rPr>
          <w:rFonts w:ascii="Palatino" w:hAnsi="Palatino" w:cs="Palatino"/>
          <w:color w:val="000000"/>
          <w:sz w:val="20"/>
          <w:szCs w:val="20"/>
        </w:rPr>
        <w:t xml:space="preserve">current and wind under the most unfavourable conditions. </w:t>
      </w:r>
    </w:p>
    <w:p w14:paraId="3DC8CDF6"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Swing Radius </w:t>
      </w:r>
    </w:p>
    <w:p w14:paraId="5B921D8C"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The following formula can be used for determining the maximum swing radius. </w:t>
      </w:r>
    </w:p>
    <w:p w14:paraId="0F847322"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Where the recommended minimum length of mooring line is: </w:t>
      </w:r>
    </w:p>
    <w:p w14:paraId="674188B6" w14:textId="77777777" w:rsidR="00541A14" w:rsidRDefault="00A450E1">
      <w:pPr>
        <w:pStyle w:val="Default"/>
        <w:numPr>
          <w:ilvl w:val="0"/>
          <w:numId w:val="85"/>
        </w:numPr>
        <w:rPr>
          <w:rFonts w:ascii="Palatino" w:hAnsi="Palatino" w:cs="Palatino"/>
          <w:sz w:val="20"/>
          <w:szCs w:val="20"/>
        </w:rPr>
      </w:pPr>
      <w:r>
        <w:rPr>
          <w:rFonts w:ascii="Palatino" w:hAnsi="Palatino" w:cs="Palatino"/>
          <w:sz w:val="20"/>
          <w:szCs w:val="20"/>
        </w:rPr>
        <w:t>L</w:t>
      </w:r>
      <w:r>
        <w:rPr>
          <w:rFonts w:ascii="Palatino" w:hAnsi="Palatino" w:cs="Palatino"/>
          <w:position w:val="-7"/>
          <w:sz w:val="11"/>
          <w:szCs w:val="11"/>
          <w:vertAlign w:val="subscript"/>
        </w:rPr>
        <w:t>min</w:t>
      </w:r>
      <w:r>
        <w:rPr>
          <w:rFonts w:ascii="Palatino" w:hAnsi="Palatino" w:cs="Palatino"/>
          <w:sz w:val="20"/>
          <w:szCs w:val="20"/>
        </w:rPr>
        <w:t xml:space="preserve"> = 3H for depths less than 50 metres; </w:t>
      </w:r>
    </w:p>
    <w:p w14:paraId="58269225" w14:textId="77777777" w:rsidR="00541A14" w:rsidRDefault="00A450E1">
      <w:pPr>
        <w:pStyle w:val="Default"/>
        <w:numPr>
          <w:ilvl w:val="0"/>
          <w:numId w:val="85"/>
        </w:numPr>
        <w:rPr>
          <w:rFonts w:ascii="Palatino" w:hAnsi="Palatino" w:cs="Palatino"/>
          <w:sz w:val="20"/>
          <w:szCs w:val="20"/>
        </w:rPr>
      </w:pPr>
      <w:r>
        <w:rPr>
          <w:rFonts w:ascii="Palatino" w:hAnsi="Palatino" w:cs="Palatino"/>
          <w:sz w:val="20"/>
          <w:szCs w:val="20"/>
        </w:rPr>
        <w:t>L</w:t>
      </w:r>
      <w:r>
        <w:rPr>
          <w:rFonts w:ascii="Palatino" w:hAnsi="Palatino" w:cs="Palatino"/>
          <w:position w:val="-7"/>
          <w:sz w:val="11"/>
          <w:szCs w:val="11"/>
          <w:vertAlign w:val="subscript"/>
        </w:rPr>
        <w:t>min</w:t>
      </w:r>
      <w:r>
        <w:rPr>
          <w:rFonts w:ascii="Palatino" w:hAnsi="Palatino" w:cs="Palatino"/>
          <w:sz w:val="20"/>
          <w:szCs w:val="20"/>
        </w:rPr>
        <w:t xml:space="preserve"> = 2H for depths greater than 50 metres; </w:t>
      </w:r>
    </w:p>
    <w:p w14:paraId="5AC18216" w14:textId="77777777" w:rsidR="00541A14" w:rsidRDefault="00A450E1">
      <w:pPr>
        <w:pStyle w:val="Default"/>
        <w:numPr>
          <w:ilvl w:val="0"/>
          <w:numId w:val="85"/>
        </w:numPr>
        <w:rPr>
          <w:rFonts w:ascii="Palatino" w:hAnsi="Palatino" w:cs="Palatino"/>
          <w:sz w:val="20"/>
          <w:szCs w:val="20"/>
        </w:rPr>
      </w:pPr>
      <w:r>
        <w:rPr>
          <w:rFonts w:ascii="Palatino" w:hAnsi="Palatino" w:cs="Palatino"/>
          <w:sz w:val="20"/>
          <w:szCs w:val="20"/>
        </w:rPr>
        <w:t>L</w:t>
      </w:r>
      <w:r>
        <w:rPr>
          <w:rFonts w:ascii="Palatino" w:hAnsi="Palatino" w:cs="Palatino"/>
          <w:position w:val="-7"/>
          <w:sz w:val="11"/>
          <w:szCs w:val="11"/>
          <w:vertAlign w:val="subscript"/>
        </w:rPr>
        <w:t>min</w:t>
      </w:r>
      <w:r>
        <w:rPr>
          <w:rFonts w:ascii="Palatino" w:hAnsi="Palatino" w:cs="Palatino"/>
          <w:sz w:val="20"/>
          <w:szCs w:val="20"/>
        </w:rPr>
        <w:t xml:space="preserve"> = 7H for shallow moorings where breaking waves occur L = Length of mooring line (m) </w:t>
      </w:r>
    </w:p>
    <w:p w14:paraId="4CA86E5E" w14:textId="77777777" w:rsidR="00541A14" w:rsidRDefault="00541A14">
      <w:pPr>
        <w:pStyle w:val="Default"/>
        <w:rPr>
          <w:rFonts w:ascii="Palatino" w:hAnsi="Palatino" w:cs="Palatino"/>
          <w:sz w:val="20"/>
          <w:szCs w:val="20"/>
        </w:rPr>
      </w:pPr>
    </w:p>
    <w:p w14:paraId="749EE6F5" w14:textId="77777777" w:rsidR="00541A14" w:rsidRDefault="00A450E1">
      <w:pPr>
        <w:pStyle w:val="CM165"/>
        <w:spacing w:after="85"/>
        <w:ind w:left="855"/>
        <w:rPr>
          <w:rFonts w:ascii="Palatino" w:hAnsi="Palatino" w:cs="Palatino"/>
          <w:color w:val="000000"/>
          <w:sz w:val="20"/>
          <w:szCs w:val="20"/>
        </w:rPr>
      </w:pPr>
      <w:r>
        <w:rPr>
          <w:rFonts w:ascii="Palatino" w:hAnsi="Palatino" w:cs="Palatino"/>
          <w:color w:val="000000"/>
          <w:sz w:val="20"/>
          <w:szCs w:val="20"/>
        </w:rPr>
        <w:t xml:space="preserve">H= Depth of water (m) </w:t>
      </w:r>
    </w:p>
    <w:p w14:paraId="0F0F4AE7" w14:textId="77777777" w:rsidR="00541A14" w:rsidRDefault="00A450E1">
      <w:pPr>
        <w:pStyle w:val="CM165"/>
        <w:spacing w:after="85"/>
        <w:ind w:left="1210"/>
        <w:rPr>
          <w:rFonts w:ascii="Palatino" w:hAnsi="Palatino" w:cs="Palatino"/>
          <w:color w:val="000000"/>
          <w:sz w:val="20"/>
          <w:szCs w:val="20"/>
        </w:rPr>
      </w:pPr>
      <w:r>
        <w:rPr>
          <w:rFonts w:ascii="Palatino" w:hAnsi="Palatino" w:cs="Palatino"/>
          <w:color w:val="000000"/>
          <w:sz w:val="20"/>
          <w:szCs w:val="20"/>
        </w:rPr>
        <w:t xml:space="preserve">(This is defined as the maximum depth of water and includes the highest tide level and </w:t>
      </w:r>
    </w:p>
    <w:p w14:paraId="58B94A2C" w14:textId="77777777" w:rsidR="00541A14" w:rsidRDefault="00A450E1">
      <w:pPr>
        <w:pStyle w:val="CM175"/>
        <w:spacing w:after="267"/>
        <w:ind w:left="1210"/>
        <w:rPr>
          <w:rFonts w:ascii="Palatino" w:hAnsi="Palatino" w:cs="Palatino"/>
          <w:color w:val="000000"/>
          <w:sz w:val="20"/>
          <w:szCs w:val="20"/>
        </w:rPr>
      </w:pPr>
      <w:r>
        <w:rPr>
          <w:rFonts w:ascii="Palatino" w:hAnsi="Palatino" w:cs="Palatino"/>
          <w:color w:val="000000"/>
          <w:sz w:val="20"/>
          <w:szCs w:val="20"/>
        </w:rPr>
        <w:t xml:space="preserve">half the maximum wave height at the particular site.) </w:t>
      </w:r>
    </w:p>
    <w:p w14:paraId="575F540C" w14:textId="77777777" w:rsidR="00541A14" w:rsidRDefault="00A450E1">
      <w:pPr>
        <w:pStyle w:val="CM21"/>
        <w:ind w:left="302"/>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7F2836EF" w14:textId="77777777" w:rsidR="00541A14" w:rsidRDefault="009E3F25">
      <w:pPr>
        <w:pStyle w:val="CM172"/>
        <w:spacing w:after="202" w:line="358" w:lineRule="atLeast"/>
        <w:ind w:left="260"/>
        <w:rPr>
          <w:rFonts w:ascii="Palatino" w:hAnsi="Palatino" w:cs="Palatino"/>
          <w:color w:val="000000"/>
          <w:sz w:val="20"/>
          <w:szCs w:val="20"/>
        </w:rPr>
      </w:pPr>
      <w:hyperlink r:id="rId180" w:history="1">
        <w:r w:rsidR="00A450E1">
          <w:rPr>
            <w:rFonts w:ascii="Palatino" w:hAnsi="Palatino" w:cs="Palatino"/>
            <w:i/>
            <w:iCs/>
            <w:color w:val="000000"/>
            <w:sz w:val="20"/>
            <w:szCs w:val="20"/>
          </w:rPr>
          <w:t xml:space="preserve">IALA Recommendation E-107 on Moorings for Floating Aids to Navigation.. </w:t>
        </w:r>
      </w:hyperlink>
      <w:hyperlink r:id="rId181" w:history="1">
        <w:r w:rsidR="00A450E1">
          <w:rPr>
            <w:rFonts w:ascii="Palatino" w:hAnsi="Palatino" w:cs="Palatino"/>
            <w:i/>
            <w:iCs/>
            <w:color w:val="000000"/>
            <w:sz w:val="20"/>
            <w:szCs w:val="20"/>
          </w:rPr>
          <w:t xml:space="preserve">IALA Guideline 1066 on the Design of Floating Aid to Navigation Moorings. </w:t>
        </w:r>
      </w:hyperlink>
    </w:p>
    <w:p w14:paraId="44D06237" w14:textId="77777777" w:rsidR="00541A14" w:rsidRDefault="00A450E1">
      <w:pPr>
        <w:pStyle w:val="CM45"/>
        <w:rPr>
          <w:rFonts w:ascii="Palatino" w:hAnsi="Palatino" w:cs="Palatino"/>
          <w:color w:val="000000"/>
          <w:sz w:val="20"/>
          <w:szCs w:val="20"/>
        </w:rPr>
      </w:pPr>
      <w:r>
        <w:rPr>
          <w:rFonts w:ascii="Palatino" w:hAnsi="Palatino" w:cs="Palatino"/>
          <w:b/>
          <w:bCs/>
          <w:color w:val="000000"/>
          <w:sz w:val="20"/>
          <w:szCs w:val="20"/>
        </w:rPr>
        <w:t xml:space="preserve">Positioning of Floating Aids </w:t>
      </w:r>
    </w:p>
    <w:p w14:paraId="0954A755" w14:textId="77777777" w:rsidR="00541A14" w:rsidRDefault="00A450E1">
      <w:pPr>
        <w:pStyle w:val="CM45"/>
        <w:rPr>
          <w:rFonts w:ascii="Palatino" w:hAnsi="Palatino" w:cs="Palatino"/>
          <w:color w:val="000000"/>
          <w:sz w:val="20"/>
          <w:szCs w:val="20"/>
        </w:rPr>
      </w:pPr>
      <w:r>
        <w:rPr>
          <w:rFonts w:ascii="Palatino" w:hAnsi="Palatino" w:cs="Palatino"/>
          <w:color w:val="000000"/>
          <w:sz w:val="20"/>
          <w:szCs w:val="20"/>
        </w:rPr>
        <w:t xml:space="preserve">The charted position of a floating aid defines the nominal (or true) position for the anchor. </w:t>
      </w:r>
    </w:p>
    <w:p w14:paraId="0FA42912" w14:textId="77777777" w:rsidR="00541A14" w:rsidRDefault="00A450E1">
      <w:pPr>
        <w:pStyle w:val="CM169"/>
        <w:spacing w:after="65" w:line="346" w:lineRule="atLeast"/>
        <w:rPr>
          <w:rFonts w:ascii="Palatino" w:hAnsi="Palatino" w:cs="Palatino"/>
          <w:color w:val="000000"/>
          <w:sz w:val="20"/>
          <w:szCs w:val="20"/>
        </w:rPr>
      </w:pPr>
      <w:r>
        <w:rPr>
          <w:rFonts w:ascii="Palatino" w:hAnsi="Palatino" w:cs="Palatino"/>
          <w:color w:val="000000"/>
          <w:sz w:val="20"/>
          <w:szCs w:val="20"/>
        </w:rPr>
        <w:t xml:space="preserve">With most floating aids there is potential for the mooring anchor/sinker to be moved off-station </w:t>
      </w:r>
    </w:p>
    <w:p w14:paraId="27C84C11" w14:textId="77777777" w:rsidR="00541A14" w:rsidRDefault="00A450E1">
      <w:pPr>
        <w:pStyle w:val="CM45"/>
        <w:rPr>
          <w:rFonts w:ascii="Palatino" w:hAnsi="Palatino" w:cs="Palatino"/>
          <w:color w:val="000000"/>
          <w:sz w:val="20"/>
          <w:szCs w:val="20"/>
        </w:rPr>
      </w:pPr>
      <w:r>
        <w:rPr>
          <w:rFonts w:ascii="Palatino" w:hAnsi="Palatino" w:cs="Palatino"/>
          <w:color w:val="000000"/>
          <w:sz w:val="20"/>
          <w:szCs w:val="20"/>
        </w:rPr>
        <w:t xml:space="preserve">during storms or for positional errors to occur while laying the anchors/sinkers. </w:t>
      </w:r>
    </w:p>
    <w:p w14:paraId="4A1AE850" w14:textId="77777777" w:rsidR="00541A14" w:rsidRDefault="00A450E1">
      <w:pPr>
        <w:pStyle w:val="CM169"/>
        <w:spacing w:after="65" w:line="346" w:lineRule="atLeast"/>
        <w:rPr>
          <w:rFonts w:ascii="Palatino" w:hAnsi="Palatino" w:cs="Palatino"/>
          <w:color w:val="000000"/>
          <w:sz w:val="20"/>
          <w:szCs w:val="20"/>
        </w:rPr>
      </w:pPr>
      <w:r>
        <w:rPr>
          <w:rFonts w:ascii="Palatino" w:hAnsi="Palatino" w:cs="Palatino"/>
          <w:color w:val="000000"/>
          <w:sz w:val="20"/>
          <w:szCs w:val="20"/>
        </w:rPr>
        <w:t xml:space="preserve">Anchors/sinkers have traditionally been laid while taking cross bearings and/or horizontal </w:t>
      </w:r>
    </w:p>
    <w:p w14:paraId="054F317D" w14:textId="77777777" w:rsidR="00541A14" w:rsidRDefault="00A450E1">
      <w:pPr>
        <w:pStyle w:val="CM169"/>
        <w:spacing w:after="65" w:line="346" w:lineRule="atLeast"/>
        <w:rPr>
          <w:rFonts w:ascii="Palatino" w:hAnsi="Palatino" w:cs="Palatino"/>
          <w:color w:val="000000"/>
          <w:sz w:val="20"/>
          <w:szCs w:val="20"/>
        </w:rPr>
      </w:pPr>
      <w:r>
        <w:rPr>
          <w:rFonts w:ascii="Palatino" w:hAnsi="Palatino" w:cs="Palatino"/>
          <w:color w:val="000000"/>
          <w:sz w:val="20"/>
          <w:szCs w:val="20"/>
        </w:rPr>
        <w:t xml:space="preserve">sextant angles from fixed visual marks.  When out of sight of land the process may have relied on </w:t>
      </w:r>
    </w:p>
    <w:p w14:paraId="4A2A3584" w14:textId="77777777" w:rsidR="00541A14" w:rsidRDefault="00A450E1">
      <w:pPr>
        <w:pStyle w:val="CM45"/>
        <w:rPr>
          <w:rFonts w:ascii="Palatino" w:hAnsi="Palatino" w:cs="Palatino"/>
          <w:color w:val="000000"/>
          <w:sz w:val="20"/>
          <w:szCs w:val="20"/>
        </w:rPr>
      </w:pPr>
      <w:r>
        <w:rPr>
          <w:rFonts w:ascii="Palatino" w:hAnsi="Palatino" w:cs="Palatino"/>
          <w:color w:val="000000"/>
          <w:sz w:val="20"/>
          <w:szCs w:val="20"/>
        </w:rPr>
        <w:t xml:space="preserve">radionavigation or radio-positioning aids. While some authorities may still use these procedures, </w:t>
      </w:r>
    </w:p>
    <w:p w14:paraId="5053F021"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the use of DGPS position fixing is increasingly seen as the preferred method.  The benefits of DGPS position fixing are: convenience, accuracy and repeatability.  A buoy tender using DGPS can generally </w:t>
      </w:r>
    </w:p>
    <w:p w14:paraId="3F30006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be brought to within 10 metres of the nominal buoy position at the time of releasing the anchor/sinker. </w:t>
      </w:r>
    </w:p>
    <w:p w14:paraId="2F8C1DC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If the anchor/sinker is allowed to free-fall, its final resting position will depend on the prevailing </w:t>
      </w:r>
    </w:p>
    <w:p w14:paraId="2D6005A9" w14:textId="77777777" w:rsidR="00541A14" w:rsidRDefault="00A450E1">
      <w:pPr>
        <w:pStyle w:val="CM170"/>
        <w:spacing w:after="887" w:line="286" w:lineRule="atLeast"/>
        <w:ind w:right="702"/>
        <w:rPr>
          <w:rFonts w:ascii="Palatino" w:hAnsi="Palatino" w:cs="Palatino"/>
          <w:color w:val="000000"/>
          <w:sz w:val="20"/>
          <w:szCs w:val="20"/>
        </w:rPr>
      </w:pPr>
      <w:r>
        <w:rPr>
          <w:rFonts w:ascii="Palatino" w:hAnsi="Palatino" w:cs="Palatino"/>
          <w:color w:val="000000"/>
          <w:sz w:val="20"/>
          <w:szCs w:val="20"/>
        </w:rPr>
        <w:t xml:space="preserve">current, water depth, shape of the anchor/sinker and the nature of the seabed.  Controlling the descent of the anchor/sinker may serve to improve the positional accuracy of the buoy. </w:t>
      </w:r>
    </w:p>
    <w:p w14:paraId="57C5E31C"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5CD45ED9" wp14:editId="5A4785A5">
            <wp:extent cx="7542530" cy="420370"/>
            <wp:effectExtent l="0" t="0" r="1270" b="1143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5DA68448" w14:textId="77777777" w:rsidR="00541A14" w:rsidRDefault="00DD420F">
      <w:pPr>
        <w:pStyle w:val="Default"/>
        <w:pageBreakBefore/>
        <w:framePr w:w="24763" w:wrap="auto" w:vAnchor="page" w:hAnchor="page" w:x="101" w:y="1"/>
        <w:spacing w:after="700"/>
        <w:rPr>
          <w:rFonts w:ascii="Palatino" w:hAnsi="Palatino" w:cs="Palatino"/>
          <w:sz w:val="20"/>
          <w:szCs w:val="20"/>
        </w:rPr>
      </w:pPr>
      <w:r>
        <w:rPr>
          <w:rFonts w:ascii="Palatino" w:hAnsi="Palatino" w:cs="Palatino"/>
          <w:noProof/>
          <w:sz w:val="20"/>
          <w:szCs w:val="20"/>
        </w:rPr>
        <w:drawing>
          <wp:inline distT="0" distB="0" distL="0" distR="0" wp14:anchorId="04DEF5F1" wp14:editId="788DE0B6">
            <wp:extent cx="7553960" cy="115316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582DB990" w14:textId="77777777" w:rsidR="00541A14" w:rsidRDefault="00A450E1">
      <w:pPr>
        <w:pStyle w:val="CM172"/>
        <w:spacing w:after="202"/>
        <w:rPr>
          <w:rFonts w:ascii="Futura Book" w:hAnsi="Futura Book" w:cs="Futura Book"/>
          <w:color w:val="2C5062"/>
          <w:sz w:val="20"/>
          <w:szCs w:val="20"/>
        </w:rPr>
      </w:pPr>
      <w:r>
        <w:rPr>
          <w:rFonts w:ascii="Futura Book" w:hAnsi="Futura Book" w:cs="Futura Book"/>
          <w:b/>
          <w:bCs/>
          <w:color w:val="2C5062"/>
          <w:sz w:val="20"/>
          <w:szCs w:val="20"/>
        </w:rPr>
        <w:t xml:space="preserve">Markings and Topmarks </w:t>
      </w:r>
    </w:p>
    <w:p w14:paraId="6D34A95E" w14:textId="77777777" w:rsidR="00541A14" w:rsidRDefault="00A450E1">
      <w:pPr>
        <w:pStyle w:val="CM165"/>
        <w:spacing w:after="85"/>
        <w:rPr>
          <w:rFonts w:ascii="Palatino" w:hAnsi="Palatino" w:cs="Palatino"/>
          <w:color w:val="000000"/>
          <w:sz w:val="20"/>
          <w:szCs w:val="20"/>
        </w:rPr>
      </w:pPr>
      <w:r>
        <w:rPr>
          <w:rFonts w:ascii="Palatino" w:hAnsi="Palatino" w:cs="Palatino"/>
          <w:b/>
          <w:bCs/>
          <w:color w:val="000000"/>
          <w:sz w:val="20"/>
          <w:szCs w:val="20"/>
        </w:rPr>
        <w:t xml:space="preserve">markings </w:t>
      </w:r>
    </w:p>
    <w:p w14:paraId="1852761C" w14:textId="77777777" w:rsidR="00541A14" w:rsidRDefault="00A450E1">
      <w:pPr>
        <w:pStyle w:val="Default"/>
        <w:rPr>
          <w:rFonts w:ascii="Palatino" w:hAnsi="Palatino" w:cs="Palatino"/>
          <w:sz w:val="20"/>
          <w:szCs w:val="20"/>
        </w:rPr>
      </w:pPr>
      <w:r>
        <w:rPr>
          <w:rFonts w:ascii="Palatino" w:hAnsi="Palatino" w:cs="Palatino"/>
          <w:sz w:val="20"/>
          <w:szCs w:val="20"/>
        </w:rPr>
        <w:t xml:space="preserve">Floating aids to navigation are often identified by names, abbreviations of names, letters and/or </w:t>
      </w:r>
    </w:p>
    <w:p w14:paraId="2E89C67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numbers. Authorities should ensure that the actual marking is identical to the List of Lights reference and the charted marking. </w:t>
      </w:r>
    </w:p>
    <w:p w14:paraId="7690C40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topmarks </w:t>
      </w:r>
    </w:p>
    <w:p w14:paraId="2ABE700E"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The type, colour and arrangement of topmarks on a buoy are shown in the IALA Maritime Buoyage System. </w:t>
      </w:r>
    </w:p>
    <w:p w14:paraId="66DDA59F"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Topmarks can be conical, cylindrical, spherical or a cross which can be either diagonal or vertical/ perpendicular. </w:t>
      </w:r>
    </w:p>
    <w:p w14:paraId="6027AB1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Conical topmarks (for lateral and cardinal marks): </w:t>
      </w:r>
    </w:p>
    <w:p w14:paraId="6CDC5604" w14:textId="77777777" w:rsidR="00541A14" w:rsidRDefault="00A450E1">
      <w:pPr>
        <w:pStyle w:val="Default"/>
        <w:numPr>
          <w:ilvl w:val="0"/>
          <w:numId w:val="86"/>
        </w:numPr>
        <w:rPr>
          <w:rFonts w:ascii="Palatino" w:hAnsi="Palatino" w:cs="Palatino"/>
          <w:sz w:val="20"/>
          <w:szCs w:val="20"/>
        </w:rPr>
      </w:pPr>
      <w:r>
        <w:rPr>
          <w:rFonts w:ascii="Palatino" w:hAnsi="Palatino" w:cs="Palatino"/>
          <w:sz w:val="20"/>
          <w:szCs w:val="20"/>
        </w:rPr>
        <w:t xml:space="preserve">The vertical height of a cone from base to apex should be about 90% of the base diameter. </w:t>
      </w:r>
    </w:p>
    <w:p w14:paraId="5BDCD987" w14:textId="77777777" w:rsidR="00541A14" w:rsidRDefault="00A450E1">
      <w:pPr>
        <w:pStyle w:val="Default"/>
        <w:numPr>
          <w:ilvl w:val="0"/>
          <w:numId w:val="86"/>
        </w:numPr>
        <w:rPr>
          <w:rFonts w:ascii="Palatino" w:hAnsi="Palatino" w:cs="Palatino"/>
          <w:sz w:val="20"/>
          <w:szCs w:val="20"/>
        </w:rPr>
      </w:pPr>
      <w:r>
        <w:rPr>
          <w:rFonts w:ascii="Palatino" w:hAnsi="Palatino" w:cs="Palatino"/>
          <w:sz w:val="20"/>
          <w:szCs w:val="20"/>
        </w:rPr>
        <w:t xml:space="preserve">For cardinal marks, the separation distance between cones should be about 50% of the base </w:t>
      </w:r>
    </w:p>
    <w:p w14:paraId="4291F678" w14:textId="77777777" w:rsidR="00541A14" w:rsidRDefault="00541A14">
      <w:pPr>
        <w:pStyle w:val="Default"/>
        <w:rPr>
          <w:rFonts w:ascii="Palatino" w:hAnsi="Palatino" w:cs="Palatino"/>
          <w:sz w:val="20"/>
          <w:szCs w:val="20"/>
        </w:rPr>
      </w:pPr>
    </w:p>
    <w:p w14:paraId="74A93F0B"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diameter of the cone. </w:t>
      </w:r>
    </w:p>
    <w:p w14:paraId="1BE486F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The vertical clear space between the lowest point of the topmark and all other parts of the mark </w:t>
      </w:r>
    </w:p>
    <w:p w14:paraId="2919FF28"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should be at least 35% of the base diameter of the cone. </w:t>
      </w:r>
    </w:p>
    <w:p w14:paraId="655E641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In the case of a buoy, the base diameter should be 25%-30% of the diameter of the buoy at the </w:t>
      </w:r>
    </w:p>
    <w:p w14:paraId="7131C567"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waterline. </w:t>
      </w:r>
    </w:p>
    <w:p w14:paraId="1D6EE97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Cylindrical (can) topmarks (for lateral marks): </w:t>
      </w:r>
    </w:p>
    <w:p w14:paraId="42FF6D8C" w14:textId="77777777" w:rsidR="00541A14" w:rsidRDefault="00A450E1">
      <w:pPr>
        <w:pStyle w:val="Default"/>
        <w:numPr>
          <w:ilvl w:val="0"/>
          <w:numId w:val="87"/>
        </w:numPr>
        <w:rPr>
          <w:rFonts w:ascii="Palatino" w:hAnsi="Palatino" w:cs="Palatino"/>
          <w:sz w:val="20"/>
          <w:szCs w:val="20"/>
        </w:rPr>
      </w:pPr>
      <w:r>
        <w:rPr>
          <w:rFonts w:ascii="Palatino" w:hAnsi="Palatino" w:cs="Palatino"/>
          <w:sz w:val="20"/>
          <w:szCs w:val="20"/>
        </w:rPr>
        <w:t xml:space="preserve">The vertical height of a cylinder should be 1 to 1.5 times the base diameter. </w:t>
      </w:r>
    </w:p>
    <w:p w14:paraId="5C1A5C3D" w14:textId="77777777" w:rsidR="00541A14" w:rsidRDefault="00A450E1">
      <w:pPr>
        <w:pStyle w:val="Default"/>
        <w:numPr>
          <w:ilvl w:val="0"/>
          <w:numId w:val="87"/>
        </w:numPr>
        <w:rPr>
          <w:rFonts w:ascii="Palatino" w:hAnsi="Palatino" w:cs="Palatino"/>
          <w:sz w:val="20"/>
          <w:szCs w:val="20"/>
        </w:rPr>
      </w:pPr>
      <w:r>
        <w:rPr>
          <w:rFonts w:ascii="Palatino" w:hAnsi="Palatino" w:cs="Palatino"/>
          <w:sz w:val="20"/>
          <w:szCs w:val="20"/>
        </w:rPr>
        <w:t xml:space="preserve">The vertical clear space between the lowest part of the cylinder and all other parts of the mark </w:t>
      </w:r>
    </w:p>
    <w:p w14:paraId="7A517BD4" w14:textId="77777777" w:rsidR="00541A14" w:rsidRDefault="00541A14">
      <w:pPr>
        <w:pStyle w:val="Default"/>
        <w:rPr>
          <w:rFonts w:ascii="Palatino" w:hAnsi="Palatino" w:cs="Palatino"/>
          <w:sz w:val="20"/>
          <w:szCs w:val="20"/>
        </w:rPr>
      </w:pPr>
    </w:p>
    <w:p w14:paraId="230874E5"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should be at least 35% of the diameter of the cylinder. </w:t>
      </w:r>
    </w:p>
    <w:p w14:paraId="167938D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In the case of a buoy, the base diameter of the cylinder should be 25%-30% of the diameter of the </w:t>
      </w:r>
    </w:p>
    <w:p w14:paraId="4386DDDC"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buoy at the waterline. </w:t>
      </w:r>
    </w:p>
    <w:p w14:paraId="27FA128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Spherical topmarks (for isolated danger and safe water marks): </w:t>
      </w:r>
    </w:p>
    <w:p w14:paraId="3FA54AB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In the case of a buoy, the diameter of the sphere(s) should be at least 20% of the diameter of the </w:t>
      </w:r>
    </w:p>
    <w:p w14:paraId="43310702"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buoy at the waterline. </w:t>
      </w:r>
    </w:p>
    <w:p w14:paraId="4AE6A31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For isolated danger marks the separation distance between spheres should be about 50% of their </w:t>
      </w:r>
    </w:p>
    <w:p w14:paraId="0D0C1250"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diameter. </w:t>
      </w:r>
    </w:p>
    <w:p w14:paraId="23272FD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The vertical space between the lowest part of the sphere(s) and all other parts of the mark should </w:t>
      </w:r>
    </w:p>
    <w:p w14:paraId="3162844D"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be at least 35% of the diameter of the sphere(s). </w:t>
      </w:r>
    </w:p>
    <w:p w14:paraId="2B7A3ED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‘X’ (Diagonal Cross) topmarks (for special marks): </w:t>
      </w:r>
    </w:p>
    <w:p w14:paraId="0BCA634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In the case of a buoy, the arms of the ‘X’ should be diagonally contained within a square with </w:t>
      </w:r>
    </w:p>
    <w:p w14:paraId="6E505198"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length of side of about 33% of the buoy diameter at the waterline. The width of the arms of the ‘X’ should be about 15% of the length of side of the square. </w:t>
      </w:r>
    </w:p>
    <w:p w14:paraId="1A571F25" w14:textId="77777777" w:rsidR="00541A14" w:rsidRDefault="00A450E1">
      <w:pPr>
        <w:pStyle w:val="CM180"/>
        <w:spacing w:after="732" w:line="293" w:lineRule="atLeast"/>
        <w:ind w:left="300" w:right="205" w:hanging="300"/>
        <w:rPr>
          <w:rFonts w:ascii="Palatino" w:hAnsi="Palatino" w:cs="Palatino"/>
          <w:color w:val="000000"/>
          <w:sz w:val="20"/>
          <w:szCs w:val="20"/>
        </w:rPr>
      </w:pPr>
      <w:r>
        <w:rPr>
          <w:rFonts w:ascii="Palatino" w:hAnsi="Palatino" w:cs="Palatino"/>
          <w:b/>
          <w:bCs/>
          <w:color w:val="000000"/>
          <w:sz w:val="20"/>
          <w:szCs w:val="20"/>
        </w:rPr>
        <w:t>‘</w:t>
      </w:r>
      <w:r>
        <w:rPr>
          <w:rFonts w:ascii="Palatino" w:hAnsi="Palatino" w:cs="Palatino"/>
          <w:b/>
          <w:bCs/>
          <w:color w:val="000000"/>
          <w:sz w:val="32"/>
          <w:szCs w:val="32"/>
        </w:rPr>
        <w:t>+</w:t>
      </w:r>
      <w:r>
        <w:rPr>
          <w:rFonts w:ascii="Palatino" w:hAnsi="Palatino" w:cs="Palatino"/>
          <w:b/>
          <w:bCs/>
          <w:color w:val="000000"/>
          <w:sz w:val="20"/>
          <w:szCs w:val="20"/>
        </w:rPr>
        <w:t>’ (Vertical/Perpendicular Cross) topmark (for Emergency Wreck Marking Buoy</w:t>
      </w:r>
      <w:r>
        <w:rPr>
          <w:rFonts w:ascii="Palatino" w:hAnsi="Palatino" w:cs="Palatino"/>
          <w:color w:val="000000"/>
          <w:sz w:val="20"/>
          <w:szCs w:val="20"/>
        </w:rPr>
        <w:t xml:space="preserve">): For a pillar-shaped buoy, the arms of the ‘+’ should be contained within a square with length of side of about 33% of the buoy diameter at the waterline. The width of the arms of the ‘+’ should be about 15% of the length of side of the square. For a Spar buoy, the arms of the ‘+’ should be contained within a square with length of side 1 to 1.5 times the diameter of the spar. </w:t>
      </w:r>
    </w:p>
    <w:p w14:paraId="1B5289B6" w14:textId="77777777" w:rsidR="00541A14" w:rsidRDefault="00DD420F">
      <w:pPr>
        <w:pStyle w:val="Default"/>
        <w:framePr w:w="10730" w:wrap="auto" w:vAnchor="page" w:hAnchor="page" w:x="608" w:y="16277"/>
        <w:rPr>
          <w:rFonts w:ascii="Palatino" w:hAnsi="Palatino" w:cs="Palatino"/>
          <w:sz w:val="20"/>
          <w:szCs w:val="20"/>
        </w:rPr>
      </w:pPr>
      <w:r>
        <w:rPr>
          <w:rFonts w:ascii="Palatino" w:hAnsi="Palatino" w:cs="Palatino"/>
          <w:noProof/>
          <w:sz w:val="20"/>
          <w:szCs w:val="20"/>
        </w:rPr>
        <w:drawing>
          <wp:inline distT="0" distB="0" distL="0" distR="0" wp14:anchorId="75F28EDD" wp14:editId="755FB216">
            <wp:extent cx="7553960" cy="420370"/>
            <wp:effectExtent l="0" t="0" r="0" b="1143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4879D898" w14:textId="77777777" w:rsidR="00541A14" w:rsidRDefault="00DD420F">
      <w:pPr>
        <w:pStyle w:val="Default"/>
        <w:pageBreakBefore/>
        <w:framePr w:w="12857" w:wrap="auto" w:vAnchor="page" w:hAnchor="page" w:x="101" w:y="1"/>
        <w:spacing w:after="720"/>
        <w:rPr>
          <w:rFonts w:ascii="Palatino" w:hAnsi="Palatino" w:cs="Palatino"/>
          <w:sz w:val="20"/>
          <w:szCs w:val="20"/>
        </w:rPr>
      </w:pPr>
      <w:r>
        <w:rPr>
          <w:rFonts w:ascii="Palatino" w:hAnsi="Palatino" w:cs="Palatino"/>
          <w:noProof/>
          <w:sz w:val="20"/>
          <w:szCs w:val="20"/>
        </w:rPr>
        <w:drawing>
          <wp:inline distT="0" distB="0" distL="0" distR="0" wp14:anchorId="733FF54B" wp14:editId="77B22F76">
            <wp:extent cx="7553960" cy="115316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05771205"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3.2.7 Sector Lights and Leading (Range) Lines </w:t>
      </w:r>
    </w:p>
    <w:p w14:paraId="43FAF247" w14:textId="77777777" w:rsidR="00541A14" w:rsidRDefault="00A450E1">
      <w:pPr>
        <w:pStyle w:val="CM165"/>
        <w:spacing w:after="85" w:line="291" w:lineRule="atLeast"/>
        <w:ind w:right="897"/>
        <w:rPr>
          <w:rFonts w:ascii="Palatino" w:hAnsi="Palatino" w:cs="Palatino"/>
          <w:color w:val="000000"/>
          <w:sz w:val="20"/>
          <w:szCs w:val="20"/>
        </w:rPr>
      </w:pPr>
      <w:r>
        <w:rPr>
          <w:rFonts w:ascii="Palatino" w:hAnsi="Palatino" w:cs="Palatino"/>
          <w:color w:val="000000"/>
          <w:sz w:val="20"/>
          <w:szCs w:val="20"/>
        </w:rPr>
        <w:t xml:space="preserve">A sector light is an aid to navigation that displays different colours and/or rhythms over designated arcs. </w:t>
      </w:r>
    </w:p>
    <w:p w14:paraId="0D2D6AE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 common means of creating a sector is to fit a coloured filter in front of the main light.  However, </w:t>
      </w:r>
    </w:p>
    <w:p w14:paraId="226BFDD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sector lights with LED light sources are being introduced to the market thereby reducing the need </w:t>
      </w:r>
    </w:p>
    <w:p w14:paraId="23F5B84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for filters as they produce the coloured light. A sector can also be produced by filtering or by using </w:t>
      </w:r>
    </w:p>
    <w:p w14:paraId="24AA9AB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 secondary light (or several lights) on the same structure.  The secondary light can take any of the following forms: </w:t>
      </w:r>
    </w:p>
    <w:p w14:paraId="3FFD1C31" w14:textId="77777777" w:rsidR="00541A14" w:rsidRDefault="00A450E1">
      <w:pPr>
        <w:pStyle w:val="Default"/>
        <w:numPr>
          <w:ilvl w:val="0"/>
          <w:numId w:val="88"/>
        </w:numPr>
        <w:rPr>
          <w:rFonts w:ascii="Palatino" w:hAnsi="Palatino" w:cs="Palatino"/>
          <w:sz w:val="20"/>
          <w:szCs w:val="20"/>
        </w:rPr>
      </w:pPr>
      <w:r>
        <w:rPr>
          <w:rFonts w:ascii="Palatino" w:hAnsi="Palatino" w:cs="Palatino"/>
          <w:sz w:val="20"/>
          <w:szCs w:val="20"/>
        </w:rPr>
        <w:t xml:space="preserve">Range (directional) light. </w:t>
      </w:r>
    </w:p>
    <w:p w14:paraId="6C2F5DDD" w14:textId="77777777" w:rsidR="00541A14" w:rsidRDefault="00A450E1">
      <w:pPr>
        <w:pStyle w:val="Default"/>
        <w:numPr>
          <w:ilvl w:val="0"/>
          <w:numId w:val="88"/>
        </w:numPr>
        <w:rPr>
          <w:rFonts w:ascii="Palatino" w:hAnsi="Palatino" w:cs="Palatino"/>
          <w:sz w:val="20"/>
          <w:szCs w:val="20"/>
        </w:rPr>
      </w:pPr>
      <w:r>
        <w:rPr>
          <w:rFonts w:ascii="Palatino" w:hAnsi="Palatino" w:cs="Palatino"/>
          <w:sz w:val="20"/>
          <w:szCs w:val="20"/>
        </w:rPr>
        <w:t xml:space="preserve">Beacon with a coloured lens, masked to achieve the sector angle. </w:t>
      </w:r>
    </w:p>
    <w:p w14:paraId="7030CDDC" w14:textId="77777777" w:rsidR="00541A14" w:rsidRDefault="00A450E1">
      <w:pPr>
        <w:pStyle w:val="Default"/>
        <w:numPr>
          <w:ilvl w:val="0"/>
          <w:numId w:val="88"/>
        </w:numPr>
        <w:rPr>
          <w:rFonts w:ascii="Palatino" w:hAnsi="Palatino" w:cs="Palatino"/>
          <w:sz w:val="20"/>
          <w:szCs w:val="20"/>
        </w:rPr>
      </w:pPr>
      <w:r>
        <w:rPr>
          <w:rFonts w:ascii="Palatino" w:hAnsi="Palatino" w:cs="Palatino"/>
          <w:sz w:val="20"/>
          <w:szCs w:val="20"/>
        </w:rPr>
        <w:t xml:space="preserve">Beacon fitted with internal or external filter panels. </w:t>
      </w:r>
    </w:p>
    <w:p w14:paraId="1B566464" w14:textId="77777777" w:rsidR="00541A14" w:rsidRDefault="00A450E1">
      <w:pPr>
        <w:pStyle w:val="Default"/>
        <w:numPr>
          <w:ilvl w:val="0"/>
          <w:numId w:val="88"/>
        </w:numPr>
        <w:rPr>
          <w:rFonts w:ascii="Palatino" w:hAnsi="Palatino" w:cs="Palatino"/>
          <w:sz w:val="20"/>
          <w:szCs w:val="20"/>
        </w:rPr>
      </w:pPr>
      <w:r>
        <w:rPr>
          <w:rFonts w:ascii="Palatino" w:hAnsi="Palatino" w:cs="Palatino"/>
          <w:sz w:val="20"/>
          <w:szCs w:val="20"/>
        </w:rPr>
        <w:t xml:space="preserve">Beacon or beacons with different coloured light sources, masked to achieve the sector angle. </w:t>
      </w:r>
    </w:p>
    <w:p w14:paraId="5C56005B" w14:textId="77777777" w:rsidR="00541A14" w:rsidRDefault="00A450E1">
      <w:pPr>
        <w:pStyle w:val="Default"/>
        <w:numPr>
          <w:ilvl w:val="0"/>
          <w:numId w:val="88"/>
        </w:numPr>
        <w:rPr>
          <w:rFonts w:ascii="Palatino" w:hAnsi="Palatino" w:cs="Palatino"/>
          <w:sz w:val="20"/>
          <w:szCs w:val="20"/>
        </w:rPr>
      </w:pPr>
      <w:r>
        <w:rPr>
          <w:rFonts w:ascii="Palatino" w:hAnsi="Palatino" w:cs="Palatino"/>
          <w:sz w:val="20"/>
          <w:szCs w:val="20"/>
        </w:rPr>
        <w:t xml:space="preserve">Precision Direction Light. </w:t>
      </w:r>
    </w:p>
    <w:p w14:paraId="6A588D74" w14:textId="77777777" w:rsidR="00541A14" w:rsidRDefault="00541A14">
      <w:pPr>
        <w:pStyle w:val="Default"/>
        <w:rPr>
          <w:rFonts w:ascii="Palatino" w:hAnsi="Palatino" w:cs="Palatino"/>
          <w:sz w:val="20"/>
          <w:szCs w:val="20"/>
        </w:rPr>
      </w:pPr>
    </w:p>
    <w:p w14:paraId="623798A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limits or boundaries of a sector are not always precisely cut off due to the characteristics of the light source, fading of colours or changing rhythms between adjacent sectors.  </w:t>
      </w:r>
    </w:p>
    <w:p w14:paraId="09E7D54D"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For a beacon fitted with coloured filter panels, the reason for the lack of a precise transition at the sector boundary is readily apparent from Figure 14 which shows the light source, lens and filter geometry.  The transition zone is defined by an “angle of uncertainty”. A similar geometry exists </w:t>
      </w:r>
    </w:p>
    <w:p w14:paraId="1DEE98E8"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with multiple coloured beacons and masking. </w:t>
      </w:r>
    </w:p>
    <w:p w14:paraId="656CBD04" w14:textId="77777777" w:rsidR="00541A14" w:rsidRDefault="00A450E1">
      <w:pPr>
        <w:pStyle w:val="CM57"/>
        <w:jc w:val="both"/>
        <w:rPr>
          <w:rFonts w:ascii="Palatino" w:hAnsi="Palatino" w:cs="Palatino"/>
          <w:color w:val="000000"/>
          <w:sz w:val="20"/>
          <w:szCs w:val="20"/>
        </w:rPr>
      </w:pPr>
      <w:r>
        <w:rPr>
          <w:rFonts w:ascii="Palatino" w:hAnsi="Palatino" w:cs="Palatino"/>
          <w:b/>
          <w:bCs/>
          <w:color w:val="000000"/>
          <w:sz w:val="20"/>
          <w:szCs w:val="20"/>
        </w:rPr>
        <w:t>Note</w:t>
      </w:r>
      <w:r>
        <w:rPr>
          <w:rFonts w:ascii="Palatino" w:hAnsi="Palatino" w:cs="Palatino"/>
          <w:color w:val="000000"/>
          <w:sz w:val="20"/>
          <w:szCs w:val="20"/>
        </w:rPr>
        <w:t xml:space="preserve"> – Bearings, directions of leading (range) lines and limits of sectors should always be </w:t>
      </w:r>
    </w:p>
    <w:p w14:paraId="179C4043" w14:textId="77777777" w:rsidR="00541A14" w:rsidRDefault="00A450E1">
      <w:pPr>
        <w:pStyle w:val="CM174"/>
        <w:spacing w:after="437" w:line="251" w:lineRule="atLeast"/>
        <w:jc w:val="both"/>
        <w:rPr>
          <w:rFonts w:ascii="Palatino" w:hAnsi="Palatino" w:cs="Palatino"/>
          <w:color w:val="000000"/>
          <w:sz w:val="20"/>
          <w:szCs w:val="20"/>
        </w:rPr>
      </w:pPr>
      <w:r>
        <w:rPr>
          <w:rFonts w:ascii="Palatino" w:hAnsi="Palatino" w:cs="Palatino"/>
          <w:color w:val="000000"/>
          <w:sz w:val="20"/>
          <w:szCs w:val="20"/>
        </w:rPr>
        <w:t xml:space="preserve">stated in terms of the bearings that would be seen by the mariner.  Bearings may carry a suffix‘TBS” or True Bearing from Seaward as confirmation. </w:t>
      </w:r>
    </w:p>
    <w:p w14:paraId="6059FCD7" w14:textId="77777777" w:rsidR="00541A14" w:rsidRDefault="00DD420F">
      <w:pPr>
        <w:pStyle w:val="Default"/>
        <w:framePr w:w="8062" w:wrap="auto" w:vAnchor="page" w:hAnchor="page" w:x="2278" w:y="10152"/>
        <w:rPr>
          <w:rFonts w:ascii="Palatino" w:hAnsi="Palatino" w:cs="Palatino"/>
          <w:sz w:val="20"/>
          <w:szCs w:val="20"/>
        </w:rPr>
      </w:pPr>
      <w:r>
        <w:rPr>
          <w:rFonts w:ascii="Palatino" w:hAnsi="Palatino" w:cs="Palatino"/>
          <w:noProof/>
          <w:sz w:val="20"/>
          <w:szCs w:val="20"/>
        </w:rPr>
        <w:drawing>
          <wp:inline distT="0" distB="0" distL="0" distR="0" wp14:anchorId="09D3AD65" wp14:editId="18AFA1FC">
            <wp:extent cx="4612005" cy="3084195"/>
            <wp:effectExtent l="0" t="0" r="1079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612005" cy="3084195"/>
                    </a:xfrm>
                    <a:prstGeom prst="rect">
                      <a:avLst/>
                    </a:prstGeom>
                    <a:noFill/>
                    <a:ln>
                      <a:noFill/>
                    </a:ln>
                  </pic:spPr>
                </pic:pic>
              </a:graphicData>
            </a:graphic>
          </wp:inline>
        </w:drawing>
      </w:r>
    </w:p>
    <w:p w14:paraId="7745AE47" w14:textId="77777777" w:rsidR="00541A14" w:rsidRDefault="00A450E1">
      <w:pPr>
        <w:pStyle w:val="CM199"/>
        <w:spacing w:after="955"/>
        <w:jc w:val="center"/>
        <w:rPr>
          <w:rFonts w:ascii="Palatino" w:hAnsi="Palatino" w:cs="Palatino"/>
          <w:color w:val="000000"/>
          <w:sz w:val="20"/>
          <w:szCs w:val="20"/>
        </w:rPr>
      </w:pPr>
      <w:r>
        <w:rPr>
          <w:rFonts w:ascii="Palatino" w:hAnsi="Palatino" w:cs="Palatino"/>
          <w:i/>
          <w:iCs/>
          <w:color w:val="000000"/>
          <w:sz w:val="20"/>
          <w:szCs w:val="20"/>
        </w:rPr>
        <w:t xml:space="preserve">Figure 14 – Angle of Uncertainty </w:t>
      </w:r>
    </w:p>
    <w:p w14:paraId="473BC265" w14:textId="77777777" w:rsidR="00541A14" w:rsidRDefault="00DD420F">
      <w:pPr>
        <w:pStyle w:val="Default"/>
        <w:framePr w:w="10739" w:wrap="auto" w:vAnchor="page" w:hAnchor="page" w:x="1434" w:y="16277"/>
        <w:rPr>
          <w:rFonts w:ascii="Palatino" w:hAnsi="Palatino" w:cs="Palatino"/>
          <w:sz w:val="20"/>
          <w:szCs w:val="20"/>
        </w:rPr>
      </w:pPr>
      <w:r>
        <w:rPr>
          <w:rFonts w:ascii="Palatino" w:hAnsi="Palatino" w:cs="Palatino"/>
          <w:noProof/>
          <w:sz w:val="20"/>
          <w:szCs w:val="20"/>
        </w:rPr>
        <w:drawing>
          <wp:inline distT="0" distB="0" distL="0" distR="0" wp14:anchorId="24E5ED0E" wp14:editId="23C407E2">
            <wp:extent cx="7542530" cy="420370"/>
            <wp:effectExtent l="0" t="0" r="1270" b="1143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5A9D660B" w14:textId="77777777" w:rsidR="00541A14" w:rsidRDefault="00DD420F">
      <w:pPr>
        <w:pStyle w:val="Default"/>
        <w:pageBreakBefore/>
        <w:framePr w:w="5839" w:wrap="auto" w:vAnchor="page" w:hAnchor="page" w:x="5802" w:y="7004"/>
        <w:spacing w:after="1080"/>
        <w:rPr>
          <w:rFonts w:ascii="Palatino" w:hAnsi="Palatino" w:cs="Palatino"/>
          <w:sz w:val="20"/>
          <w:szCs w:val="20"/>
        </w:rPr>
      </w:pPr>
      <w:r>
        <w:rPr>
          <w:rFonts w:ascii="Palatino" w:hAnsi="Palatino" w:cs="Palatino"/>
          <w:noProof/>
          <w:sz w:val="20"/>
          <w:szCs w:val="20"/>
        </w:rPr>
        <w:drawing>
          <wp:inline distT="0" distB="0" distL="0" distR="0" wp14:anchorId="326F1BC1" wp14:editId="6B888CDC">
            <wp:extent cx="3202940" cy="1766570"/>
            <wp:effectExtent l="0" t="0" r="0" b="1143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202940" cy="1766570"/>
                    </a:xfrm>
                    <a:prstGeom prst="rect">
                      <a:avLst/>
                    </a:prstGeom>
                    <a:noFill/>
                    <a:ln>
                      <a:noFill/>
                    </a:ln>
                  </pic:spPr>
                </pic:pic>
              </a:graphicData>
            </a:graphic>
          </wp:inline>
        </w:drawing>
      </w:r>
    </w:p>
    <w:p w14:paraId="6360AD87" w14:textId="77777777" w:rsidR="00541A14" w:rsidRDefault="00DD420F">
      <w:pPr>
        <w:pStyle w:val="Default"/>
        <w:framePr w:w="24763" w:wrap="auto" w:vAnchor="page" w:hAnchor="page" w:x="101" w:y="1"/>
        <w:spacing w:after="680"/>
        <w:rPr>
          <w:rFonts w:ascii="Palatino" w:hAnsi="Palatino" w:cs="Palatino"/>
          <w:sz w:val="20"/>
          <w:szCs w:val="20"/>
        </w:rPr>
      </w:pPr>
      <w:r>
        <w:rPr>
          <w:rFonts w:ascii="Palatino" w:hAnsi="Palatino" w:cs="Palatino"/>
          <w:noProof/>
          <w:sz w:val="20"/>
          <w:szCs w:val="20"/>
        </w:rPr>
        <w:drawing>
          <wp:inline distT="0" distB="0" distL="0" distR="0" wp14:anchorId="7090B447" wp14:editId="7A60F868">
            <wp:extent cx="7553960" cy="115316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0EEE05B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It can also be noted that: </w:t>
      </w:r>
    </w:p>
    <w:p w14:paraId="5C5DDFA5" w14:textId="77777777" w:rsidR="00541A14" w:rsidRDefault="00A450E1">
      <w:pPr>
        <w:pStyle w:val="Default"/>
        <w:numPr>
          <w:ilvl w:val="0"/>
          <w:numId w:val="89"/>
        </w:numPr>
        <w:spacing w:after="32"/>
        <w:rPr>
          <w:rFonts w:ascii="Palatino" w:hAnsi="Palatino" w:cs="Palatino"/>
          <w:sz w:val="20"/>
          <w:szCs w:val="20"/>
        </w:rPr>
      </w:pPr>
      <w:r>
        <w:rPr>
          <w:rFonts w:ascii="Palatino" w:hAnsi="Palatino" w:cs="Palatino"/>
          <w:sz w:val="20"/>
          <w:szCs w:val="20"/>
        </w:rPr>
        <w:t xml:space="preserve">The observed </w:t>
      </w:r>
      <w:r>
        <w:rPr>
          <w:rFonts w:ascii="Palatino" w:hAnsi="Palatino" w:cs="Palatino"/>
          <w:i/>
          <w:iCs/>
          <w:sz w:val="20"/>
          <w:szCs w:val="20"/>
        </w:rPr>
        <w:t>angle of uncertainty</w:t>
      </w:r>
      <w:r>
        <w:rPr>
          <w:rFonts w:ascii="Palatino" w:hAnsi="Palatino" w:cs="Palatino"/>
          <w:sz w:val="20"/>
          <w:szCs w:val="20"/>
        </w:rPr>
        <w:t xml:space="preserve"> is generally less than the geometric angle due to the relative intensities of sector colours (ie. colour mixing) as the observer passes through the transition zone. </w:t>
      </w:r>
    </w:p>
    <w:p w14:paraId="1859B68E" w14:textId="77777777" w:rsidR="00541A14" w:rsidRDefault="00A450E1">
      <w:pPr>
        <w:pStyle w:val="Default"/>
        <w:numPr>
          <w:ilvl w:val="0"/>
          <w:numId w:val="89"/>
        </w:numPr>
        <w:rPr>
          <w:rFonts w:ascii="Palatino" w:hAnsi="Palatino" w:cs="Palatino"/>
          <w:sz w:val="20"/>
          <w:szCs w:val="20"/>
        </w:rPr>
      </w:pPr>
      <w:r>
        <w:rPr>
          <w:rFonts w:ascii="Palatino" w:hAnsi="Palatino" w:cs="Palatino"/>
          <w:sz w:val="20"/>
          <w:szCs w:val="20"/>
        </w:rPr>
        <w:t xml:space="preserve">If space on the aid to navigation structure is not a limiting factor, it is usually possible to </w:t>
      </w:r>
    </w:p>
    <w:p w14:paraId="44BD117E" w14:textId="77777777" w:rsidR="00541A14" w:rsidRDefault="00541A14">
      <w:pPr>
        <w:pStyle w:val="Default"/>
        <w:rPr>
          <w:rFonts w:ascii="Palatino" w:hAnsi="Palatino" w:cs="Palatino"/>
          <w:sz w:val="20"/>
          <w:szCs w:val="20"/>
        </w:rPr>
      </w:pPr>
    </w:p>
    <w:p w14:paraId="2454F98C" w14:textId="77777777" w:rsidR="00541A14" w:rsidRDefault="00A450E1">
      <w:pPr>
        <w:pStyle w:val="CM165"/>
        <w:spacing w:after="85"/>
        <w:ind w:firstLine="300"/>
        <w:rPr>
          <w:rFonts w:ascii="Palatino" w:hAnsi="Palatino" w:cs="Palatino"/>
          <w:color w:val="000000"/>
          <w:sz w:val="20"/>
          <w:szCs w:val="20"/>
        </w:rPr>
      </w:pPr>
      <w:r>
        <w:rPr>
          <w:rFonts w:ascii="Palatino" w:hAnsi="Palatino" w:cs="Palatino"/>
          <w:color w:val="000000"/>
          <w:sz w:val="20"/>
          <w:szCs w:val="20"/>
        </w:rPr>
        <w:t xml:space="preserve">achieve an </w:t>
      </w:r>
      <w:r>
        <w:rPr>
          <w:rFonts w:ascii="Palatino" w:hAnsi="Palatino" w:cs="Palatino"/>
          <w:i/>
          <w:iCs/>
          <w:color w:val="000000"/>
          <w:sz w:val="20"/>
          <w:szCs w:val="20"/>
        </w:rPr>
        <w:t>angle of uncertainty</w:t>
      </w:r>
      <w:r>
        <w:rPr>
          <w:rFonts w:ascii="Palatino" w:hAnsi="Palatino" w:cs="Palatino"/>
          <w:color w:val="000000"/>
          <w:sz w:val="20"/>
          <w:szCs w:val="20"/>
        </w:rPr>
        <w:t xml:space="preserve"> of around 0.25</w:t>
      </w:r>
      <w:r>
        <w:rPr>
          <w:rFonts w:ascii="Palatino" w:hAnsi="Palatino" w:cs="Palatino"/>
          <w:color w:val="000000"/>
          <w:position w:val="7"/>
          <w:sz w:val="11"/>
          <w:szCs w:val="11"/>
          <w:vertAlign w:val="superscript"/>
        </w:rPr>
        <w:t>0</w:t>
      </w:r>
      <w:r>
        <w:rPr>
          <w:rFonts w:ascii="Palatino" w:hAnsi="Palatino" w:cs="Palatino"/>
          <w:color w:val="000000"/>
          <w:sz w:val="20"/>
          <w:szCs w:val="20"/>
        </w:rPr>
        <w:t xml:space="preserve"> with this type of sector arrangement. </w:t>
      </w:r>
    </w:p>
    <w:p w14:paraId="6AF6437A" w14:textId="77777777" w:rsidR="00541A14" w:rsidRDefault="00A450E1">
      <w:pPr>
        <w:pStyle w:val="Default"/>
        <w:numPr>
          <w:ilvl w:val="0"/>
          <w:numId w:val="90"/>
        </w:numPr>
        <w:spacing w:after="32"/>
        <w:rPr>
          <w:rFonts w:ascii="Palatino" w:hAnsi="Palatino" w:cs="Palatino"/>
          <w:sz w:val="20"/>
          <w:szCs w:val="20"/>
        </w:rPr>
      </w:pPr>
      <w:r>
        <w:rPr>
          <w:rFonts w:ascii="Palatino" w:hAnsi="Palatino" w:cs="Palatino"/>
          <w:sz w:val="20"/>
          <w:szCs w:val="20"/>
        </w:rPr>
        <w:t xml:space="preserve">The </w:t>
      </w:r>
      <w:r>
        <w:rPr>
          <w:rFonts w:ascii="Palatino" w:hAnsi="Palatino" w:cs="Palatino"/>
          <w:i/>
          <w:iCs/>
          <w:sz w:val="20"/>
          <w:szCs w:val="20"/>
        </w:rPr>
        <w:t>angle of uncertainty</w:t>
      </w:r>
      <w:r>
        <w:rPr>
          <w:rFonts w:ascii="Palatino" w:hAnsi="Palatino" w:cs="Palatino"/>
          <w:sz w:val="20"/>
          <w:szCs w:val="20"/>
        </w:rPr>
        <w:t xml:space="preserve"> can be reduced by decreasing the physical width of the light source or by increasing the radial distance to the coloured filter. </w:t>
      </w:r>
    </w:p>
    <w:p w14:paraId="04879470" w14:textId="77777777" w:rsidR="00541A14" w:rsidRDefault="00A450E1">
      <w:pPr>
        <w:pStyle w:val="Default"/>
        <w:numPr>
          <w:ilvl w:val="0"/>
          <w:numId w:val="90"/>
        </w:numPr>
        <w:rPr>
          <w:rFonts w:ascii="Palatino" w:hAnsi="Palatino" w:cs="Palatino"/>
          <w:sz w:val="20"/>
          <w:szCs w:val="20"/>
        </w:rPr>
      </w:pPr>
      <w:r>
        <w:rPr>
          <w:rFonts w:ascii="Palatino" w:hAnsi="Palatino" w:cs="Palatino"/>
          <w:sz w:val="20"/>
          <w:szCs w:val="20"/>
        </w:rPr>
        <w:t xml:space="preserve">In situations where the main light has a large projected area, such as a rotating lens or reflector </w:t>
      </w:r>
    </w:p>
    <w:p w14:paraId="60563C91" w14:textId="77777777" w:rsidR="00541A14" w:rsidRDefault="00541A14">
      <w:pPr>
        <w:pStyle w:val="Default"/>
        <w:rPr>
          <w:rFonts w:ascii="Palatino" w:hAnsi="Palatino" w:cs="Palatino"/>
          <w:sz w:val="20"/>
          <w:szCs w:val="20"/>
        </w:rPr>
      </w:pPr>
    </w:p>
    <w:p w14:paraId="675E6323"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array, it is generally preferable to use a separate sector light rather than installing a coloured </w:t>
      </w:r>
    </w:p>
    <w:p w14:paraId="2B0E151A" w14:textId="77777777" w:rsidR="00541A14" w:rsidRDefault="00A450E1">
      <w:pPr>
        <w:pStyle w:val="CM165"/>
        <w:spacing w:after="85" w:line="278" w:lineRule="atLeast"/>
        <w:ind w:firstLine="300"/>
        <w:rPr>
          <w:rFonts w:ascii="Palatino" w:hAnsi="Palatino" w:cs="Palatino"/>
          <w:color w:val="000000"/>
          <w:sz w:val="20"/>
          <w:szCs w:val="20"/>
        </w:rPr>
      </w:pPr>
      <w:r>
        <w:rPr>
          <w:rFonts w:ascii="Palatino" w:hAnsi="Palatino" w:cs="Palatino"/>
          <w:color w:val="000000"/>
          <w:sz w:val="20"/>
          <w:szCs w:val="20"/>
        </w:rPr>
        <w:t xml:space="preserve">filter in front of the main light. </w:t>
      </w:r>
    </w:p>
    <w:p w14:paraId="564C42B0" w14:textId="77777777" w:rsidR="00541A14" w:rsidRDefault="00A450E1">
      <w:pPr>
        <w:pStyle w:val="CM185"/>
        <w:spacing w:after="140" w:line="296" w:lineRule="atLeast"/>
        <w:ind w:right="402"/>
        <w:rPr>
          <w:rFonts w:ascii="Palatino" w:hAnsi="Palatino" w:cs="Palatino"/>
          <w:color w:val="000000"/>
          <w:sz w:val="20"/>
          <w:szCs w:val="20"/>
        </w:rPr>
      </w:pPr>
      <w:r>
        <w:rPr>
          <w:rFonts w:ascii="Palatino" w:hAnsi="Palatino" w:cs="Palatino"/>
          <w:color w:val="000000"/>
          <w:sz w:val="20"/>
          <w:szCs w:val="20"/>
        </w:rPr>
        <w:t xml:space="preserve">From time to time specialised sector lights have been developed to exhibit different rhythms over different sector bearings. This capability is found in some </w:t>
      </w:r>
      <w:r>
        <w:rPr>
          <w:rFonts w:ascii="Palatino" w:hAnsi="Palatino" w:cs="Palatino"/>
          <w:b/>
          <w:bCs/>
          <w:color w:val="000000"/>
          <w:sz w:val="20"/>
          <w:szCs w:val="20"/>
        </w:rPr>
        <w:t>Precision Direction lights</w:t>
      </w:r>
      <w:r>
        <w:rPr>
          <w:rFonts w:ascii="Palatino" w:hAnsi="Palatino" w:cs="Palatino"/>
          <w:color w:val="000000"/>
          <w:sz w:val="20"/>
          <w:szCs w:val="20"/>
        </w:rPr>
        <w:t xml:space="preserve"> (PDL)</w:t>
      </w:r>
      <w:r>
        <w:rPr>
          <w:rFonts w:ascii="Palatino" w:hAnsi="Palatino" w:cs="Palatino"/>
          <w:color w:val="000000"/>
          <w:position w:val="7"/>
          <w:sz w:val="11"/>
          <w:szCs w:val="11"/>
          <w:vertAlign w:val="superscript"/>
        </w:rPr>
        <w:t>23</w:t>
      </w:r>
      <w:r>
        <w:rPr>
          <w:rFonts w:ascii="Palatino" w:hAnsi="Palatino" w:cs="Palatino"/>
          <w:color w:val="000000"/>
          <w:sz w:val="20"/>
          <w:szCs w:val="20"/>
        </w:rPr>
        <w:t xml:space="preserve">. </w:t>
      </w:r>
    </w:p>
    <w:p w14:paraId="46A7354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 PDL is a specialised form of sector light that </w:t>
      </w:r>
    </w:p>
    <w:p w14:paraId="17B3A86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can generate sharply defined sector boundaries. </w:t>
      </w:r>
    </w:p>
    <w:p w14:paraId="624F64EE" w14:textId="77777777" w:rsidR="00541A14" w:rsidRDefault="00A450E1">
      <w:pPr>
        <w:pStyle w:val="CM95"/>
        <w:ind w:right="5042"/>
        <w:rPr>
          <w:rFonts w:ascii="Palatino" w:hAnsi="Palatino" w:cs="Palatino"/>
          <w:color w:val="000000"/>
          <w:sz w:val="20"/>
          <w:szCs w:val="20"/>
        </w:rPr>
      </w:pPr>
      <w:r>
        <w:rPr>
          <w:rFonts w:ascii="Palatino" w:hAnsi="Palatino" w:cs="Palatino"/>
          <w:color w:val="000000"/>
          <w:sz w:val="20"/>
          <w:szCs w:val="20"/>
        </w:rPr>
        <w:t xml:space="preserve">This feature is particularly useful for applications that require one or several narrow sectors or high precision boundaries. The PDL may use a </w:t>
      </w:r>
    </w:p>
    <w:p w14:paraId="1ADFFA8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white light source with coloured filter, but newer </w:t>
      </w:r>
    </w:p>
    <w:p w14:paraId="1D9B788C" w14:textId="77777777" w:rsidR="00541A14" w:rsidRDefault="00A450E1">
      <w:pPr>
        <w:pStyle w:val="CM165"/>
        <w:spacing w:after="85" w:line="300" w:lineRule="atLeast"/>
        <w:ind w:right="5170"/>
        <w:rPr>
          <w:rFonts w:ascii="Palatino" w:hAnsi="Palatino" w:cs="Palatino"/>
          <w:color w:val="000000"/>
          <w:sz w:val="20"/>
          <w:szCs w:val="20"/>
        </w:rPr>
      </w:pPr>
      <w:r>
        <w:rPr>
          <w:rFonts w:ascii="Palatino" w:hAnsi="Palatino" w:cs="Palatino"/>
          <w:color w:val="000000"/>
          <w:sz w:val="20"/>
          <w:szCs w:val="20"/>
        </w:rPr>
        <w:t xml:space="preserve">designs are utilising LED and possibly laser as a light source. </w:t>
      </w:r>
    </w:p>
    <w:p w14:paraId="706C425C"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PDL sector lights are very precise, allowing a complete colour change at a sector boundary to occur over an angle of less than 1 minute of arc in most models. </w:t>
      </w:r>
    </w:p>
    <w:p w14:paraId="043AC9C6"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Applications </w:t>
      </w:r>
    </w:p>
    <w:p w14:paraId="5E5B5844"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design of sector lights can be a complex task. The process should be carried out with reference to an accurate chart of the area. In some cases good local knowledge is also required. </w:t>
      </w:r>
    </w:p>
    <w:p w14:paraId="7156106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 sector light may indicate one or more of the following: </w:t>
      </w:r>
    </w:p>
    <w:p w14:paraId="0DC0283F" w14:textId="77777777" w:rsidR="00541A14" w:rsidRDefault="00A450E1">
      <w:pPr>
        <w:pStyle w:val="Default"/>
        <w:numPr>
          <w:ilvl w:val="0"/>
          <w:numId w:val="91"/>
        </w:numPr>
        <w:spacing w:after="32"/>
        <w:rPr>
          <w:rFonts w:ascii="Palatino" w:hAnsi="Palatino" w:cs="Palatino"/>
          <w:sz w:val="20"/>
          <w:szCs w:val="20"/>
        </w:rPr>
      </w:pPr>
      <w:r>
        <w:rPr>
          <w:rFonts w:ascii="Palatino" w:hAnsi="Palatino" w:cs="Palatino"/>
          <w:sz w:val="20"/>
          <w:szCs w:val="20"/>
        </w:rPr>
        <w:t xml:space="preserve">boundaries of a navigable waterway; </w:t>
      </w:r>
    </w:p>
    <w:p w14:paraId="1FD4B0DC" w14:textId="77777777" w:rsidR="00541A14" w:rsidRDefault="00A450E1">
      <w:pPr>
        <w:pStyle w:val="Default"/>
        <w:numPr>
          <w:ilvl w:val="0"/>
          <w:numId w:val="91"/>
        </w:numPr>
        <w:spacing w:after="32"/>
        <w:rPr>
          <w:rFonts w:ascii="Palatino" w:hAnsi="Palatino" w:cs="Palatino"/>
          <w:sz w:val="20"/>
          <w:szCs w:val="20"/>
        </w:rPr>
      </w:pPr>
      <w:r>
        <w:rPr>
          <w:rFonts w:ascii="Palatino" w:hAnsi="Palatino" w:cs="Palatino"/>
          <w:sz w:val="20"/>
          <w:szCs w:val="20"/>
        </w:rPr>
        <w:t xml:space="preserve">change of course position; </w:t>
      </w:r>
    </w:p>
    <w:p w14:paraId="3D91B5B3" w14:textId="77777777" w:rsidR="00541A14" w:rsidRDefault="00A450E1">
      <w:pPr>
        <w:pStyle w:val="Default"/>
        <w:numPr>
          <w:ilvl w:val="0"/>
          <w:numId w:val="91"/>
        </w:numPr>
        <w:spacing w:after="32"/>
        <w:rPr>
          <w:rFonts w:ascii="Palatino" w:hAnsi="Palatino" w:cs="Palatino"/>
          <w:sz w:val="20"/>
          <w:szCs w:val="20"/>
        </w:rPr>
      </w:pPr>
      <w:r>
        <w:rPr>
          <w:rFonts w:ascii="Palatino" w:hAnsi="Palatino" w:cs="Palatino"/>
          <w:sz w:val="20"/>
          <w:szCs w:val="20"/>
        </w:rPr>
        <w:t xml:space="preserve">shoals, banks, etc.; </w:t>
      </w:r>
    </w:p>
    <w:p w14:paraId="19F45C56" w14:textId="77777777" w:rsidR="00541A14" w:rsidRDefault="00A450E1">
      <w:pPr>
        <w:pStyle w:val="Default"/>
        <w:numPr>
          <w:ilvl w:val="0"/>
          <w:numId w:val="91"/>
        </w:numPr>
        <w:spacing w:after="32"/>
        <w:rPr>
          <w:rFonts w:ascii="Palatino" w:hAnsi="Palatino" w:cs="Palatino"/>
          <w:sz w:val="20"/>
          <w:szCs w:val="20"/>
        </w:rPr>
      </w:pPr>
      <w:r>
        <w:rPr>
          <w:rFonts w:ascii="Palatino" w:hAnsi="Palatino" w:cs="Palatino"/>
          <w:sz w:val="20"/>
          <w:szCs w:val="20"/>
        </w:rPr>
        <w:t xml:space="preserve">an area or position (eg. an anchorage); </w:t>
      </w:r>
    </w:p>
    <w:p w14:paraId="4E870D95" w14:textId="77777777" w:rsidR="00541A14" w:rsidRDefault="00A450E1">
      <w:pPr>
        <w:pStyle w:val="Default"/>
        <w:numPr>
          <w:ilvl w:val="0"/>
          <w:numId w:val="91"/>
        </w:numPr>
        <w:spacing w:after="32"/>
        <w:rPr>
          <w:rFonts w:ascii="Palatino" w:hAnsi="Palatino" w:cs="Palatino"/>
          <w:sz w:val="20"/>
          <w:szCs w:val="20"/>
        </w:rPr>
      </w:pPr>
      <w:r>
        <w:rPr>
          <w:rFonts w:ascii="Palatino" w:hAnsi="Palatino" w:cs="Palatino"/>
          <w:sz w:val="20"/>
          <w:szCs w:val="20"/>
        </w:rPr>
        <w:t xml:space="preserve">the deepest part of a waterway; </w:t>
      </w:r>
    </w:p>
    <w:p w14:paraId="2E20EBC4" w14:textId="77777777" w:rsidR="00541A14" w:rsidRDefault="00A450E1">
      <w:pPr>
        <w:pStyle w:val="Default"/>
        <w:numPr>
          <w:ilvl w:val="0"/>
          <w:numId w:val="91"/>
        </w:numPr>
        <w:rPr>
          <w:rFonts w:ascii="Palatino" w:hAnsi="Palatino" w:cs="Palatino"/>
          <w:sz w:val="20"/>
          <w:szCs w:val="20"/>
        </w:rPr>
      </w:pPr>
      <w:r>
        <w:rPr>
          <w:rFonts w:ascii="Palatino" w:hAnsi="Palatino" w:cs="Palatino"/>
          <w:sz w:val="20"/>
          <w:szCs w:val="20"/>
        </w:rPr>
        <w:t xml:space="preserve">position checks for floating aids. </w:t>
      </w:r>
    </w:p>
    <w:p w14:paraId="4001817D" w14:textId="77777777" w:rsidR="00541A14" w:rsidRDefault="00541A14">
      <w:pPr>
        <w:pStyle w:val="Default"/>
        <w:rPr>
          <w:rFonts w:ascii="Palatino" w:hAnsi="Palatino" w:cs="Palatino"/>
          <w:sz w:val="20"/>
          <w:szCs w:val="20"/>
        </w:rPr>
      </w:pPr>
    </w:p>
    <w:p w14:paraId="14D17699" w14:textId="77777777" w:rsidR="00541A14" w:rsidRDefault="00A450E1">
      <w:pPr>
        <w:pStyle w:val="Default"/>
        <w:spacing w:line="240" w:lineRule="atLeast"/>
        <w:ind w:left="5592" w:right="762"/>
        <w:rPr>
          <w:rFonts w:ascii="Palatino" w:hAnsi="Palatino" w:cs="Palatino"/>
          <w:sz w:val="20"/>
          <w:szCs w:val="20"/>
        </w:rPr>
      </w:pPr>
      <w:r>
        <w:rPr>
          <w:rFonts w:ascii="Palatino" w:hAnsi="Palatino" w:cs="Palatino"/>
          <w:i/>
          <w:iCs/>
          <w:sz w:val="20"/>
          <w:szCs w:val="20"/>
        </w:rPr>
        <w:t xml:space="preserve">VLS-46 LED Sector lightPhoto courtesy of Vega Industries </w:t>
      </w:r>
    </w:p>
    <w:p w14:paraId="42BF8B6C" w14:textId="77777777" w:rsidR="00541A14" w:rsidRDefault="00A450E1">
      <w:pPr>
        <w:pStyle w:val="Default"/>
        <w:rPr>
          <w:rFonts w:ascii="Palatino" w:hAnsi="Palatino" w:cs="Palatino"/>
          <w:sz w:val="20"/>
          <w:szCs w:val="20"/>
        </w:rPr>
      </w:pPr>
      <w:r>
        <w:rPr>
          <w:rFonts w:ascii="Palatino" w:hAnsi="Palatino" w:cs="Palatino"/>
          <w:position w:val="6"/>
          <w:sz w:val="20"/>
          <w:szCs w:val="20"/>
          <w:vertAlign w:val="superscript"/>
        </w:rPr>
        <w:t>23</w:t>
      </w:r>
      <w:r>
        <w:rPr>
          <w:rFonts w:ascii="Palatino" w:hAnsi="Palatino" w:cs="Palatino"/>
          <w:sz w:val="20"/>
          <w:szCs w:val="20"/>
        </w:rPr>
        <w:t xml:space="preserve">Also known by the trade name of PEL Light. </w:t>
      </w:r>
    </w:p>
    <w:p w14:paraId="49547EC8" w14:textId="77777777" w:rsidR="00541A14" w:rsidRDefault="00A450E1">
      <w:pPr>
        <w:pStyle w:val="Default"/>
        <w:spacing w:after="1482" w:line="240" w:lineRule="atLeast"/>
        <w:jc w:val="center"/>
        <w:rPr>
          <w:sz w:val="20"/>
          <w:szCs w:val="20"/>
        </w:rPr>
      </w:pPr>
      <w:r>
        <w:rPr>
          <w:sz w:val="20"/>
          <w:szCs w:val="20"/>
        </w:rPr>
        <w:t>PDL light -Photo courtesy of Vega Industries</w:t>
      </w:r>
    </w:p>
    <w:p w14:paraId="4990A29C" w14:textId="77777777" w:rsidR="00541A14" w:rsidRDefault="00DD420F">
      <w:pPr>
        <w:pStyle w:val="Default"/>
        <w:framePr w:w="4798" w:wrap="auto" w:vAnchor="page" w:hAnchor="page" w:x="6482" w:y="9723"/>
        <w:spacing w:after="1080"/>
        <w:rPr>
          <w:sz w:val="20"/>
          <w:szCs w:val="20"/>
        </w:rPr>
      </w:pPr>
      <w:r>
        <w:rPr>
          <w:noProof/>
          <w:sz w:val="20"/>
          <w:szCs w:val="20"/>
        </w:rPr>
        <w:drawing>
          <wp:inline distT="0" distB="0" distL="0" distR="0" wp14:anchorId="7526AE48" wp14:editId="67F8EDC6">
            <wp:extent cx="2538730" cy="3379470"/>
            <wp:effectExtent l="0" t="0" r="127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538730" cy="3379470"/>
                    </a:xfrm>
                    <a:prstGeom prst="rect">
                      <a:avLst/>
                    </a:prstGeom>
                    <a:noFill/>
                    <a:ln>
                      <a:noFill/>
                    </a:ln>
                  </pic:spPr>
                </pic:pic>
              </a:graphicData>
            </a:graphic>
          </wp:inline>
        </w:drawing>
      </w:r>
    </w:p>
    <w:p w14:paraId="4CBB2059" w14:textId="77777777" w:rsidR="00541A14" w:rsidRDefault="00DD420F">
      <w:pPr>
        <w:pStyle w:val="Default"/>
        <w:framePr w:w="10730" w:wrap="auto" w:vAnchor="page" w:hAnchor="page" w:x="608" w:y="16278"/>
        <w:rPr>
          <w:sz w:val="20"/>
          <w:szCs w:val="20"/>
        </w:rPr>
      </w:pPr>
      <w:r>
        <w:rPr>
          <w:noProof/>
          <w:sz w:val="20"/>
          <w:szCs w:val="20"/>
        </w:rPr>
        <w:drawing>
          <wp:inline distT="0" distB="0" distL="0" distR="0" wp14:anchorId="53C6BB3E" wp14:editId="0A0A0C19">
            <wp:extent cx="7553960" cy="420370"/>
            <wp:effectExtent l="0" t="0" r="0" b="1143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41D4E2D4" w14:textId="77777777" w:rsidR="00541A14" w:rsidRDefault="00DD420F">
      <w:pPr>
        <w:pStyle w:val="Default"/>
        <w:pageBreakBefore/>
        <w:framePr w:w="12857" w:wrap="auto" w:vAnchor="page" w:hAnchor="page" w:x="101" w:y="1"/>
        <w:spacing w:after="700"/>
        <w:rPr>
          <w:sz w:val="20"/>
          <w:szCs w:val="20"/>
        </w:rPr>
      </w:pPr>
      <w:r>
        <w:rPr>
          <w:noProof/>
          <w:sz w:val="20"/>
          <w:szCs w:val="20"/>
        </w:rPr>
        <w:drawing>
          <wp:inline distT="0" distB="0" distL="0" distR="0" wp14:anchorId="3E7ED501" wp14:editId="22BE4A80">
            <wp:extent cx="7553960" cy="115316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1F0EB975" w14:textId="77777777" w:rsidR="00541A14" w:rsidRDefault="00A450E1">
      <w:pPr>
        <w:pStyle w:val="CM185"/>
        <w:spacing w:after="140"/>
        <w:ind w:right="590"/>
        <w:rPr>
          <w:rFonts w:ascii="Palatino" w:hAnsi="Palatino" w:cs="Palatino"/>
          <w:color w:val="000000"/>
          <w:sz w:val="20"/>
          <w:szCs w:val="20"/>
        </w:rPr>
      </w:pPr>
      <w:r>
        <w:rPr>
          <w:rFonts w:ascii="Palatino" w:hAnsi="Palatino" w:cs="Palatino"/>
          <w:b/>
          <w:bCs/>
          <w:color w:val="000000"/>
          <w:sz w:val="20"/>
          <w:szCs w:val="20"/>
        </w:rPr>
        <w:t xml:space="preserve">A Precision Direction light </w:t>
      </w:r>
      <w:r>
        <w:rPr>
          <w:rFonts w:ascii="Palatino" w:hAnsi="Palatino" w:cs="Palatino"/>
          <w:color w:val="000000"/>
          <w:sz w:val="20"/>
          <w:szCs w:val="20"/>
        </w:rPr>
        <w:t xml:space="preserve">(PDL) allows for further applications that include the ability to: </w:t>
      </w:r>
    </w:p>
    <w:p w14:paraId="12ED7A33" w14:textId="77777777" w:rsidR="00541A14" w:rsidRDefault="00A450E1">
      <w:pPr>
        <w:pStyle w:val="Default"/>
        <w:numPr>
          <w:ilvl w:val="0"/>
          <w:numId w:val="92"/>
        </w:numPr>
        <w:spacing w:after="32"/>
        <w:rPr>
          <w:rFonts w:ascii="Palatino" w:hAnsi="Palatino" w:cs="Palatino"/>
          <w:sz w:val="20"/>
          <w:szCs w:val="20"/>
        </w:rPr>
      </w:pPr>
      <w:r>
        <w:rPr>
          <w:rFonts w:ascii="Palatino" w:hAnsi="Palatino" w:cs="Palatino"/>
          <w:sz w:val="20"/>
          <w:szCs w:val="20"/>
        </w:rPr>
        <w:t xml:space="preserve">produce narrow sectors with an angle of uncertainty down to approximately one minute of arc; </w:t>
      </w:r>
    </w:p>
    <w:p w14:paraId="3B75AEF3" w14:textId="77777777" w:rsidR="00541A14" w:rsidRDefault="00A450E1">
      <w:pPr>
        <w:pStyle w:val="Default"/>
        <w:numPr>
          <w:ilvl w:val="0"/>
          <w:numId w:val="92"/>
        </w:numPr>
        <w:spacing w:after="32"/>
        <w:rPr>
          <w:rFonts w:ascii="Palatino" w:hAnsi="Palatino" w:cs="Palatino"/>
          <w:sz w:val="20"/>
          <w:szCs w:val="20"/>
        </w:rPr>
      </w:pPr>
      <w:r>
        <w:rPr>
          <w:rFonts w:ascii="Palatino" w:hAnsi="Palatino" w:cs="Palatino"/>
          <w:sz w:val="20"/>
          <w:szCs w:val="20"/>
        </w:rPr>
        <w:t xml:space="preserve">define the central zone of a channel; </w:t>
      </w:r>
    </w:p>
    <w:p w14:paraId="2CC57180" w14:textId="77777777" w:rsidR="00541A14" w:rsidRDefault="00A450E1">
      <w:pPr>
        <w:pStyle w:val="Default"/>
        <w:numPr>
          <w:ilvl w:val="0"/>
          <w:numId w:val="92"/>
        </w:numPr>
        <w:rPr>
          <w:rFonts w:ascii="Palatino" w:hAnsi="Palatino" w:cs="Palatino"/>
          <w:sz w:val="20"/>
          <w:szCs w:val="20"/>
        </w:rPr>
      </w:pPr>
      <w:r>
        <w:rPr>
          <w:rFonts w:ascii="Palatino" w:hAnsi="Palatino" w:cs="Palatino"/>
          <w:sz w:val="20"/>
          <w:szCs w:val="20"/>
        </w:rPr>
        <w:t xml:space="preserve">accurately mark one side of a straight channel (a pair of PDLs can cover the permutations of </w:t>
      </w:r>
    </w:p>
    <w:p w14:paraId="2DA01172" w14:textId="77777777" w:rsidR="00541A14" w:rsidRDefault="00541A14">
      <w:pPr>
        <w:pStyle w:val="Default"/>
        <w:rPr>
          <w:rFonts w:ascii="Palatino" w:hAnsi="Palatino" w:cs="Palatino"/>
          <w:sz w:val="20"/>
          <w:szCs w:val="20"/>
        </w:rPr>
      </w:pPr>
    </w:p>
    <w:p w14:paraId="70CA0300" w14:textId="77777777" w:rsidR="00541A14" w:rsidRDefault="00A450E1">
      <w:pPr>
        <w:pStyle w:val="CM185"/>
        <w:spacing w:after="140"/>
        <w:ind w:left="310"/>
        <w:jc w:val="both"/>
        <w:rPr>
          <w:rFonts w:ascii="Palatino" w:hAnsi="Palatino" w:cs="Palatino"/>
          <w:color w:val="000000"/>
          <w:sz w:val="20"/>
          <w:szCs w:val="20"/>
        </w:rPr>
      </w:pPr>
      <w:r>
        <w:rPr>
          <w:rFonts w:ascii="Palatino" w:hAnsi="Palatino" w:cs="Palatino"/>
          <w:color w:val="000000"/>
          <w:sz w:val="20"/>
          <w:szCs w:val="20"/>
        </w:rPr>
        <w:t xml:space="preserve">converging, diverging and parallel channels); </w:t>
      </w:r>
    </w:p>
    <w:p w14:paraId="10E206DF"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sz w:val="20"/>
          <w:szCs w:val="20"/>
        </w:rPr>
        <w:t xml:space="preserve">• define different rhythms over adjacent sectors. </w:t>
      </w:r>
    </w:p>
    <w:p w14:paraId="4A2E53D5" w14:textId="77777777" w:rsidR="00541A14" w:rsidRDefault="00A450E1">
      <w:pPr>
        <w:pStyle w:val="CM172"/>
        <w:spacing w:after="202"/>
        <w:jc w:val="both"/>
        <w:rPr>
          <w:rFonts w:ascii="Palatino" w:hAnsi="Palatino" w:cs="Palatino"/>
          <w:color w:val="000000"/>
          <w:sz w:val="20"/>
          <w:szCs w:val="20"/>
        </w:rPr>
      </w:pPr>
      <w:r>
        <w:rPr>
          <w:rFonts w:ascii="Palatino" w:hAnsi="Palatino" w:cs="Palatino"/>
          <w:b/>
          <w:bCs/>
          <w:color w:val="000000"/>
          <w:sz w:val="20"/>
          <w:szCs w:val="20"/>
        </w:rPr>
        <w:t xml:space="preserve">Examples </w:t>
      </w:r>
    </w:p>
    <w:p w14:paraId="6E52DC68" w14:textId="77777777" w:rsidR="00541A14" w:rsidRDefault="00A450E1">
      <w:pPr>
        <w:pStyle w:val="CM205"/>
        <w:spacing w:after="502"/>
        <w:jc w:val="both"/>
        <w:rPr>
          <w:rFonts w:ascii="Palatino" w:hAnsi="Palatino" w:cs="Palatino"/>
          <w:color w:val="000000"/>
          <w:sz w:val="20"/>
          <w:szCs w:val="20"/>
        </w:rPr>
      </w:pPr>
      <w:r>
        <w:rPr>
          <w:rFonts w:ascii="Palatino" w:hAnsi="Palatino" w:cs="Palatino"/>
          <w:color w:val="000000"/>
          <w:sz w:val="20"/>
          <w:szCs w:val="20"/>
        </w:rPr>
        <w:t xml:space="preserve">Some examples of sector lights applications are illustrated in Figure 15 and Figure 16. </w:t>
      </w:r>
    </w:p>
    <w:p w14:paraId="7BDE6D4D" w14:textId="77777777" w:rsidR="00541A14" w:rsidRDefault="00DD420F">
      <w:pPr>
        <w:pStyle w:val="Default"/>
        <w:framePr w:w="8494" w:wrap="auto" w:vAnchor="page" w:hAnchor="page" w:x="1607" w:y="5790"/>
        <w:spacing w:after="80"/>
        <w:rPr>
          <w:rFonts w:ascii="Palatino" w:hAnsi="Palatino" w:cs="Palatino"/>
          <w:sz w:val="20"/>
          <w:szCs w:val="20"/>
        </w:rPr>
      </w:pPr>
      <w:r>
        <w:rPr>
          <w:rFonts w:ascii="Palatino" w:hAnsi="Palatino" w:cs="Palatino"/>
          <w:noProof/>
          <w:sz w:val="20"/>
          <w:szCs w:val="20"/>
        </w:rPr>
        <w:drawing>
          <wp:inline distT="0" distB="0" distL="0" distR="0" wp14:anchorId="793CE0BF" wp14:editId="2F86EDD5">
            <wp:extent cx="4890135" cy="3748405"/>
            <wp:effectExtent l="0" t="0" r="12065" b="1079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890135" cy="3748405"/>
                    </a:xfrm>
                    <a:prstGeom prst="rect">
                      <a:avLst/>
                    </a:prstGeom>
                    <a:noFill/>
                    <a:ln>
                      <a:noFill/>
                    </a:ln>
                  </pic:spPr>
                </pic:pic>
              </a:graphicData>
            </a:graphic>
          </wp:inline>
        </w:drawing>
      </w:r>
    </w:p>
    <w:p w14:paraId="1F1415FD" w14:textId="77777777" w:rsidR="00541A14" w:rsidRDefault="00A450E1">
      <w:pPr>
        <w:pStyle w:val="CM197"/>
        <w:spacing w:after="390" w:line="296" w:lineRule="atLeast"/>
        <w:jc w:val="center"/>
        <w:rPr>
          <w:rFonts w:ascii="Palatino" w:hAnsi="Palatino" w:cs="Palatino"/>
          <w:color w:val="000000"/>
          <w:sz w:val="20"/>
          <w:szCs w:val="20"/>
        </w:rPr>
      </w:pPr>
      <w:r>
        <w:rPr>
          <w:rFonts w:ascii="Palatino" w:hAnsi="Palatino" w:cs="Palatino"/>
          <w:i/>
          <w:iCs/>
          <w:color w:val="000000"/>
          <w:sz w:val="20"/>
          <w:szCs w:val="20"/>
        </w:rPr>
        <w:t xml:space="preserve">Figure 15 – Sector Light Application </w:t>
      </w:r>
    </w:p>
    <w:p w14:paraId="609C5DDB" w14:textId="77777777" w:rsidR="00541A14" w:rsidRDefault="00A450E1">
      <w:pPr>
        <w:pStyle w:val="CM179"/>
        <w:spacing w:after="2595" w:line="291" w:lineRule="atLeast"/>
        <w:rPr>
          <w:rFonts w:ascii="Palatino" w:hAnsi="Palatino" w:cs="Palatino"/>
          <w:color w:val="000000"/>
          <w:sz w:val="20"/>
          <w:szCs w:val="20"/>
        </w:rPr>
      </w:pPr>
      <w:r>
        <w:rPr>
          <w:rFonts w:ascii="Palatino" w:hAnsi="Palatino" w:cs="Palatino"/>
          <w:color w:val="000000"/>
          <w:sz w:val="20"/>
          <w:szCs w:val="20"/>
        </w:rPr>
        <w:t xml:space="preserve">This illustration follows the IALA Maritime Buoyage System colour convention for Region A (‘red to port when approaching the aid from seaward’).  The white sector should, if possible, be wide enough to provide a margin of safety for a vessel that inadvertently leaves the white sector. Curves C and D indicate depth contours or limiting dangers that dictate the boundaries of sectors. </w:t>
      </w:r>
    </w:p>
    <w:p w14:paraId="69C97751"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665ED453" wp14:editId="5F046D16">
            <wp:extent cx="7542530" cy="420370"/>
            <wp:effectExtent l="0" t="0" r="1270" b="1143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70F359AE" w14:textId="77777777" w:rsidR="00541A14" w:rsidRDefault="00DD420F">
      <w:pPr>
        <w:pStyle w:val="Default"/>
        <w:pageBreakBefore/>
        <w:framePr w:w="24763" w:wrap="auto" w:vAnchor="page" w:hAnchor="page" w:x="101" w:y="10018"/>
        <w:spacing w:after="220"/>
        <w:rPr>
          <w:rFonts w:ascii="Palatino" w:hAnsi="Palatino" w:cs="Palatino"/>
          <w:sz w:val="20"/>
          <w:szCs w:val="20"/>
        </w:rPr>
      </w:pPr>
      <w:r>
        <w:rPr>
          <w:rFonts w:ascii="Palatino" w:hAnsi="Palatino" w:cs="Palatino"/>
          <w:noProof/>
          <w:sz w:val="20"/>
          <w:szCs w:val="20"/>
        </w:rPr>
        <w:drawing>
          <wp:inline distT="0" distB="0" distL="0" distR="0" wp14:anchorId="47D9C546" wp14:editId="0871F7EF">
            <wp:extent cx="7633335" cy="7570470"/>
            <wp:effectExtent l="0" t="0" r="1206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7633335" cy="7570470"/>
                    </a:xfrm>
                    <a:prstGeom prst="rect">
                      <a:avLst/>
                    </a:prstGeom>
                    <a:noFill/>
                    <a:ln>
                      <a:noFill/>
                    </a:ln>
                  </pic:spPr>
                </pic:pic>
              </a:graphicData>
            </a:graphic>
          </wp:inline>
        </w:drawing>
      </w:r>
    </w:p>
    <w:p w14:paraId="42C460B2"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The function of each light is described below: </w:t>
      </w:r>
    </w:p>
    <w:p w14:paraId="02BE6981" w14:textId="77777777" w:rsidR="00541A14" w:rsidRDefault="00A450E1">
      <w:pPr>
        <w:pStyle w:val="CM165"/>
        <w:spacing w:after="85"/>
        <w:ind w:left="300" w:hanging="300"/>
        <w:rPr>
          <w:rFonts w:ascii="Palatino" w:hAnsi="Palatino" w:cs="Palatino"/>
          <w:color w:val="000000"/>
          <w:sz w:val="20"/>
          <w:szCs w:val="20"/>
        </w:rPr>
      </w:pPr>
      <w:r>
        <w:rPr>
          <w:rFonts w:ascii="Palatino" w:hAnsi="Palatino" w:cs="Palatino"/>
          <w:color w:val="000000"/>
          <w:sz w:val="20"/>
          <w:szCs w:val="20"/>
        </w:rPr>
        <w:t xml:space="preserve">• Light I is a coastal white light with a red sector indicating a danger. </w:t>
      </w:r>
    </w:p>
    <w:p w14:paraId="5DE22F5C" w14:textId="77777777" w:rsidR="00541A14" w:rsidRDefault="00A450E1">
      <w:pPr>
        <w:pStyle w:val="CM165"/>
        <w:spacing w:after="85" w:line="296" w:lineRule="atLeast"/>
        <w:ind w:left="300" w:hanging="300"/>
        <w:rPr>
          <w:rFonts w:ascii="Palatino" w:hAnsi="Palatino" w:cs="Palatino"/>
          <w:color w:val="000000"/>
          <w:sz w:val="20"/>
          <w:szCs w:val="20"/>
        </w:rPr>
      </w:pPr>
      <w:r>
        <w:rPr>
          <w:rFonts w:ascii="Palatino" w:hAnsi="Palatino" w:cs="Palatino"/>
          <w:color w:val="000000"/>
          <w:sz w:val="20"/>
          <w:szCs w:val="20"/>
        </w:rPr>
        <w:t xml:space="preserve">• Light II is a sector light obscured over the shore, with two white sectors indicating a safe channel. When sailing towards the sector light it shows red to port and green to starboard following the IALA Maritime Buoyage System colour convention for Region A and vice versa for Region B. The boundary between the red and the green sector also indicates the position of a buoy. </w:t>
      </w:r>
    </w:p>
    <w:p w14:paraId="493FD0CA"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Light III is a sector light with a red light and 4 white sectors indicating four anchorage positions. </w:t>
      </w:r>
    </w:p>
    <w:p w14:paraId="3039A33C"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It is obscured over the shore. </w:t>
      </w:r>
    </w:p>
    <w:p w14:paraId="2E380413" w14:textId="77777777" w:rsidR="00541A14" w:rsidRDefault="00A450E1">
      <w:pPr>
        <w:pStyle w:val="CM180"/>
        <w:spacing w:after="732" w:line="296" w:lineRule="atLeast"/>
        <w:ind w:left="300" w:hanging="300"/>
        <w:rPr>
          <w:rFonts w:ascii="Palatino" w:hAnsi="Palatino" w:cs="Palatino"/>
          <w:color w:val="000000"/>
          <w:sz w:val="20"/>
          <w:szCs w:val="20"/>
        </w:rPr>
      </w:pPr>
      <w:r>
        <w:rPr>
          <w:rFonts w:ascii="Palatino" w:hAnsi="Palatino" w:cs="Palatino"/>
          <w:color w:val="000000"/>
          <w:sz w:val="20"/>
          <w:szCs w:val="20"/>
        </w:rPr>
        <w:t xml:space="preserve">• Light IV is a sector light with a white sector indicating a safe channel. </w:t>
      </w:r>
    </w:p>
    <w:p w14:paraId="3601071F"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174135B6" wp14:editId="3BB64F33">
            <wp:extent cx="7553960" cy="420370"/>
            <wp:effectExtent l="0" t="0" r="0" b="1143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607B0F45" w14:textId="77777777" w:rsidR="00541A14" w:rsidRDefault="00DD420F">
      <w:pPr>
        <w:pStyle w:val="Default"/>
        <w:pageBreakBefore/>
        <w:framePr w:w="12857" w:wrap="auto" w:vAnchor="page" w:hAnchor="page" w:x="101" w:y="1"/>
        <w:spacing w:after="700"/>
        <w:rPr>
          <w:rFonts w:ascii="Palatino" w:hAnsi="Palatino" w:cs="Palatino"/>
          <w:sz w:val="20"/>
          <w:szCs w:val="20"/>
        </w:rPr>
      </w:pPr>
      <w:r>
        <w:rPr>
          <w:rFonts w:ascii="Palatino" w:hAnsi="Palatino" w:cs="Palatino"/>
          <w:noProof/>
          <w:sz w:val="20"/>
          <w:szCs w:val="20"/>
        </w:rPr>
        <w:drawing>
          <wp:inline distT="0" distB="0" distL="0" distR="0" wp14:anchorId="5C092753" wp14:editId="66368626">
            <wp:extent cx="7553960" cy="115316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6C05B031"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Design Considerations for Sector Lights </w:t>
      </w:r>
    </w:p>
    <w:p w14:paraId="314537BF"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Where a single sector light defines a navigable channel the following points should be considered: </w:t>
      </w:r>
    </w:p>
    <w:p w14:paraId="47785C40" w14:textId="77777777" w:rsidR="00541A14" w:rsidRDefault="00A450E1">
      <w:pPr>
        <w:pStyle w:val="CM44"/>
        <w:ind w:left="300" w:right="205" w:hanging="300"/>
        <w:rPr>
          <w:rFonts w:ascii="Palatino" w:hAnsi="Palatino" w:cs="Palatino"/>
          <w:color w:val="000000"/>
          <w:sz w:val="20"/>
          <w:szCs w:val="20"/>
        </w:rPr>
      </w:pPr>
      <w:r>
        <w:rPr>
          <w:rFonts w:ascii="Palatino" w:hAnsi="Palatino" w:cs="Palatino"/>
          <w:b/>
          <w:bCs/>
          <w:color w:val="000000"/>
          <w:sz w:val="20"/>
          <w:szCs w:val="20"/>
        </w:rPr>
        <w:t>• Lateral position</w:t>
      </w:r>
      <w:r>
        <w:rPr>
          <w:rFonts w:ascii="Palatino" w:hAnsi="Palatino" w:cs="Palatino"/>
          <w:color w:val="000000"/>
          <w:sz w:val="20"/>
          <w:szCs w:val="20"/>
        </w:rPr>
        <w:t xml:space="preserve">: There is no reference of the vessel’s lateral position within the channel until a sector boundary is reached.  This may cause a problem in channels subject to a strong cross </w:t>
      </w:r>
    </w:p>
    <w:p w14:paraId="6F77D020" w14:textId="77777777" w:rsidR="00541A14" w:rsidRDefault="00A450E1">
      <w:pPr>
        <w:pStyle w:val="CM48"/>
        <w:ind w:firstLine="300"/>
        <w:rPr>
          <w:rFonts w:ascii="Palatino" w:hAnsi="Palatino" w:cs="Palatino"/>
          <w:color w:val="000000"/>
          <w:sz w:val="20"/>
          <w:szCs w:val="20"/>
        </w:rPr>
      </w:pPr>
      <w:r>
        <w:rPr>
          <w:rFonts w:ascii="Palatino" w:hAnsi="Palatino" w:cs="Palatino"/>
          <w:color w:val="000000"/>
          <w:sz w:val="20"/>
          <w:szCs w:val="20"/>
        </w:rPr>
        <w:t xml:space="preserve">current.  For vessels with local knowledge, the zones defined by the angle of uncertainty can </w:t>
      </w:r>
    </w:p>
    <w:p w14:paraId="62784366" w14:textId="77777777" w:rsidR="00541A14" w:rsidRDefault="00A450E1">
      <w:pPr>
        <w:pStyle w:val="CM165"/>
        <w:spacing w:after="85" w:line="303" w:lineRule="atLeast"/>
        <w:ind w:firstLine="300"/>
        <w:rPr>
          <w:rFonts w:ascii="Palatino" w:hAnsi="Palatino" w:cs="Palatino"/>
          <w:color w:val="000000"/>
          <w:sz w:val="20"/>
          <w:szCs w:val="20"/>
        </w:rPr>
      </w:pPr>
      <w:r>
        <w:rPr>
          <w:rFonts w:ascii="Palatino" w:hAnsi="Palatino" w:cs="Palatino"/>
          <w:color w:val="000000"/>
          <w:sz w:val="20"/>
          <w:szCs w:val="20"/>
        </w:rPr>
        <w:t xml:space="preserve">sometimes provide a useful guide to the vessel’s proximity to a sector boundary;  </w:t>
      </w:r>
    </w:p>
    <w:p w14:paraId="3ABE8FEC" w14:textId="77777777" w:rsidR="00541A14" w:rsidRDefault="00A450E1">
      <w:pPr>
        <w:pStyle w:val="Default"/>
        <w:numPr>
          <w:ilvl w:val="0"/>
          <w:numId w:val="93"/>
        </w:numPr>
        <w:spacing w:after="47"/>
        <w:rPr>
          <w:rFonts w:ascii="Palatino" w:hAnsi="Palatino" w:cs="Palatino"/>
          <w:sz w:val="20"/>
          <w:szCs w:val="20"/>
        </w:rPr>
      </w:pPr>
      <w:r>
        <w:rPr>
          <w:rFonts w:ascii="Palatino" w:hAnsi="Palatino" w:cs="Palatino"/>
          <w:b/>
          <w:bCs/>
          <w:sz w:val="20"/>
          <w:szCs w:val="20"/>
        </w:rPr>
        <w:t>Safety margin</w:t>
      </w:r>
      <w:r>
        <w:rPr>
          <w:rFonts w:ascii="Palatino" w:hAnsi="Palatino" w:cs="Palatino"/>
          <w:sz w:val="20"/>
          <w:szCs w:val="20"/>
        </w:rPr>
        <w:t xml:space="preserve">: Where practicable, there should be a margin of safety between the sector boundary and adjacent hazards.  If an appropriate safety margin cannot be achieved within the sector boundary, the hazards could be marked separately. </w:t>
      </w:r>
    </w:p>
    <w:p w14:paraId="3BA431D8" w14:textId="77777777" w:rsidR="00541A14" w:rsidRDefault="00A450E1">
      <w:pPr>
        <w:pStyle w:val="Default"/>
        <w:numPr>
          <w:ilvl w:val="0"/>
          <w:numId w:val="93"/>
        </w:numPr>
        <w:rPr>
          <w:rFonts w:ascii="Palatino" w:hAnsi="Palatino" w:cs="Palatino"/>
          <w:sz w:val="20"/>
          <w:szCs w:val="20"/>
        </w:rPr>
      </w:pPr>
      <w:r>
        <w:rPr>
          <w:rFonts w:ascii="Palatino" w:hAnsi="Palatino" w:cs="Palatino"/>
          <w:b/>
          <w:bCs/>
          <w:sz w:val="20"/>
          <w:szCs w:val="20"/>
        </w:rPr>
        <w:t>Angle of uncertainty</w:t>
      </w:r>
      <w:r>
        <w:rPr>
          <w:rFonts w:ascii="Palatino" w:hAnsi="Palatino" w:cs="Palatino"/>
          <w:sz w:val="20"/>
          <w:szCs w:val="20"/>
        </w:rPr>
        <w:t xml:space="preserve">: Zones defined by the angle of uncertainty should be considered an </w:t>
      </w:r>
    </w:p>
    <w:p w14:paraId="2518EE88" w14:textId="77777777" w:rsidR="00541A14" w:rsidRDefault="00541A14">
      <w:pPr>
        <w:pStyle w:val="Default"/>
        <w:rPr>
          <w:rFonts w:ascii="Palatino" w:hAnsi="Palatino" w:cs="Palatino"/>
          <w:sz w:val="20"/>
          <w:szCs w:val="20"/>
        </w:rPr>
      </w:pPr>
    </w:p>
    <w:p w14:paraId="4883A0B0" w14:textId="77777777" w:rsidR="00541A14" w:rsidRDefault="00A450E1">
      <w:pPr>
        <w:pStyle w:val="CM165"/>
        <w:spacing w:after="85" w:line="303" w:lineRule="atLeast"/>
        <w:ind w:firstLine="300"/>
        <w:rPr>
          <w:rFonts w:ascii="Palatino" w:hAnsi="Palatino" w:cs="Palatino"/>
          <w:color w:val="000000"/>
          <w:sz w:val="20"/>
          <w:szCs w:val="20"/>
        </w:rPr>
      </w:pPr>
      <w:r>
        <w:rPr>
          <w:rFonts w:ascii="Palatino" w:hAnsi="Palatino" w:cs="Palatino"/>
          <w:color w:val="000000"/>
          <w:sz w:val="20"/>
          <w:szCs w:val="20"/>
        </w:rPr>
        <w:t xml:space="preserve">additional margin of safety over the actual sector boundary; </w:t>
      </w:r>
    </w:p>
    <w:p w14:paraId="7CB84C23" w14:textId="77777777" w:rsidR="00541A14" w:rsidRDefault="00A450E1">
      <w:pPr>
        <w:pStyle w:val="Default"/>
        <w:numPr>
          <w:ilvl w:val="0"/>
          <w:numId w:val="94"/>
        </w:numPr>
        <w:spacing w:after="47"/>
        <w:rPr>
          <w:rFonts w:ascii="Palatino" w:hAnsi="Palatino" w:cs="Palatino"/>
          <w:sz w:val="20"/>
          <w:szCs w:val="20"/>
        </w:rPr>
      </w:pPr>
      <w:r>
        <w:rPr>
          <w:rFonts w:ascii="Palatino" w:hAnsi="Palatino" w:cs="Palatino"/>
          <w:b/>
          <w:bCs/>
          <w:sz w:val="20"/>
          <w:szCs w:val="20"/>
        </w:rPr>
        <w:t>Vessel size</w:t>
      </w:r>
      <w:r>
        <w:rPr>
          <w:rFonts w:ascii="Palatino" w:hAnsi="Palatino" w:cs="Palatino"/>
          <w:sz w:val="20"/>
          <w:szCs w:val="20"/>
        </w:rPr>
        <w:t xml:space="preserve">: The design process for a sector light needs to consider the draught and manoeuvrability of the largest vessels likely to utilise the sector, how quickly they can respond once they cross a sector boundary and the situations that may develop when other vessels are in the vicinity; </w:t>
      </w:r>
    </w:p>
    <w:p w14:paraId="454DD081" w14:textId="77777777" w:rsidR="00541A14" w:rsidRDefault="00A450E1">
      <w:pPr>
        <w:pStyle w:val="Default"/>
        <w:numPr>
          <w:ilvl w:val="0"/>
          <w:numId w:val="94"/>
        </w:numPr>
        <w:rPr>
          <w:rFonts w:ascii="Palatino" w:hAnsi="Palatino" w:cs="Palatino"/>
          <w:sz w:val="20"/>
          <w:szCs w:val="20"/>
        </w:rPr>
      </w:pPr>
      <w:r>
        <w:rPr>
          <w:rFonts w:ascii="Palatino" w:hAnsi="Palatino" w:cs="Palatino"/>
          <w:b/>
          <w:bCs/>
          <w:sz w:val="20"/>
          <w:szCs w:val="20"/>
        </w:rPr>
        <w:t>Lights and filters</w:t>
      </w:r>
      <w:r>
        <w:rPr>
          <w:rFonts w:ascii="Palatino" w:hAnsi="Palatino" w:cs="Palatino"/>
          <w:sz w:val="20"/>
          <w:szCs w:val="20"/>
        </w:rPr>
        <w:t xml:space="preserve">: When using an incandescent light source the sector design should take account of the spectral distribution of the light source and the proportion of this light </w:t>
      </w:r>
    </w:p>
    <w:p w14:paraId="5544AD05" w14:textId="77777777" w:rsidR="00541A14" w:rsidRDefault="00541A14">
      <w:pPr>
        <w:pStyle w:val="Default"/>
        <w:rPr>
          <w:rFonts w:ascii="Palatino" w:hAnsi="Palatino" w:cs="Palatino"/>
          <w:sz w:val="20"/>
          <w:szCs w:val="20"/>
        </w:rPr>
      </w:pPr>
    </w:p>
    <w:p w14:paraId="46AE6F95" w14:textId="77777777" w:rsidR="00541A14" w:rsidRDefault="00A450E1">
      <w:pPr>
        <w:pStyle w:val="CM48"/>
        <w:ind w:firstLine="300"/>
        <w:rPr>
          <w:rFonts w:ascii="Palatino" w:hAnsi="Palatino" w:cs="Palatino"/>
          <w:color w:val="000000"/>
          <w:sz w:val="20"/>
          <w:szCs w:val="20"/>
        </w:rPr>
      </w:pPr>
      <w:r>
        <w:rPr>
          <w:rFonts w:ascii="Palatino" w:hAnsi="Palatino" w:cs="Palatino"/>
          <w:color w:val="000000"/>
          <w:sz w:val="20"/>
          <w:szCs w:val="20"/>
        </w:rPr>
        <w:t xml:space="preserve">transmitted through the filter material as this will affect the resultant colour and intensity of the </w:t>
      </w:r>
    </w:p>
    <w:p w14:paraId="2CFB8E02"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light exhibited. The process should also check for potential glare problems; </w:t>
      </w:r>
    </w:p>
    <w:p w14:paraId="4983A543" w14:textId="77777777" w:rsidR="00541A14" w:rsidRDefault="00A450E1">
      <w:pPr>
        <w:pStyle w:val="CM165"/>
        <w:spacing w:after="85" w:line="296" w:lineRule="atLeast"/>
        <w:ind w:left="300" w:hanging="300"/>
        <w:rPr>
          <w:rFonts w:ascii="Palatino" w:hAnsi="Palatino" w:cs="Palatino"/>
          <w:color w:val="000000"/>
          <w:sz w:val="20"/>
          <w:szCs w:val="20"/>
        </w:rPr>
      </w:pPr>
      <w:r>
        <w:rPr>
          <w:rFonts w:ascii="Palatino" w:hAnsi="Palatino" w:cs="Palatino"/>
          <w:b/>
          <w:bCs/>
          <w:color w:val="000000"/>
          <w:sz w:val="20"/>
          <w:szCs w:val="20"/>
        </w:rPr>
        <w:t>• Flash characteristic</w:t>
      </w:r>
      <w:r>
        <w:rPr>
          <w:rFonts w:ascii="Palatino" w:hAnsi="Palatino" w:cs="Palatino"/>
          <w:color w:val="000000"/>
          <w:sz w:val="20"/>
          <w:szCs w:val="20"/>
        </w:rPr>
        <w:t xml:space="preserve">: The period of the light flash should be selected to provide ample time for </w:t>
      </w:r>
    </w:p>
    <w:p w14:paraId="5A67E091"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a mariner to recognise the transitional phases that occur at the sector boundary</w:t>
      </w:r>
      <w:r>
        <w:rPr>
          <w:rFonts w:ascii="Palatino" w:hAnsi="Palatino" w:cs="Palatino"/>
          <w:color w:val="000000"/>
          <w:position w:val="7"/>
          <w:sz w:val="11"/>
          <w:szCs w:val="11"/>
          <w:vertAlign w:val="superscript"/>
        </w:rPr>
        <w:t>24</w:t>
      </w:r>
      <w:r>
        <w:rPr>
          <w:rFonts w:ascii="Palatino" w:hAnsi="Palatino" w:cs="Palatino"/>
          <w:color w:val="000000"/>
          <w:sz w:val="20"/>
          <w:szCs w:val="20"/>
        </w:rPr>
        <w:t xml:space="preserve"> ; </w:t>
      </w:r>
    </w:p>
    <w:p w14:paraId="5E1F03B9" w14:textId="77777777" w:rsidR="00541A14" w:rsidRDefault="00A450E1">
      <w:pPr>
        <w:pStyle w:val="CM17"/>
        <w:ind w:left="300" w:hanging="300"/>
        <w:rPr>
          <w:rFonts w:ascii="Palatino" w:hAnsi="Palatino" w:cs="Palatino"/>
          <w:color w:val="000000"/>
          <w:sz w:val="20"/>
          <w:szCs w:val="20"/>
        </w:rPr>
      </w:pPr>
      <w:r>
        <w:rPr>
          <w:rFonts w:ascii="Palatino" w:hAnsi="Palatino" w:cs="Palatino"/>
          <w:b/>
          <w:bCs/>
          <w:color w:val="000000"/>
          <w:sz w:val="20"/>
          <w:szCs w:val="20"/>
        </w:rPr>
        <w:t>• Sector colours</w:t>
      </w:r>
      <w:r>
        <w:rPr>
          <w:rFonts w:ascii="Palatino" w:hAnsi="Palatino" w:cs="Palatino"/>
          <w:color w:val="000000"/>
          <w:sz w:val="20"/>
          <w:szCs w:val="20"/>
        </w:rPr>
        <w:t xml:space="preserve">: A white light is normally the first preference for a lighthouse or beacon.  If </w:t>
      </w:r>
    </w:p>
    <w:p w14:paraId="66DEC35F" w14:textId="77777777" w:rsidR="00541A14" w:rsidRDefault="00A450E1">
      <w:pPr>
        <w:pStyle w:val="CM165"/>
        <w:spacing w:after="85" w:line="300" w:lineRule="atLeast"/>
        <w:ind w:left="300" w:right="270"/>
        <w:rPr>
          <w:rFonts w:ascii="Palatino" w:hAnsi="Palatino" w:cs="Palatino"/>
          <w:color w:val="000000"/>
          <w:sz w:val="20"/>
          <w:szCs w:val="20"/>
        </w:rPr>
      </w:pPr>
      <w:r>
        <w:rPr>
          <w:rFonts w:ascii="Palatino" w:hAnsi="Palatino" w:cs="Palatino"/>
          <w:color w:val="000000"/>
          <w:sz w:val="20"/>
          <w:szCs w:val="20"/>
        </w:rPr>
        <w:t xml:space="preserve">a single coloured sector is added, red is often used.  If a white sector light is used to mark a navigation channel, coloured sectors may be used either side of the white to indicate the lateral limits. In such cases it is common practice to use red and green sectors that follow the convention of the IALA Maritime Buoyage System; </w:t>
      </w:r>
    </w:p>
    <w:p w14:paraId="0AF9F453" w14:textId="77777777" w:rsidR="00541A14" w:rsidRDefault="00A450E1">
      <w:pPr>
        <w:pStyle w:val="Default"/>
        <w:numPr>
          <w:ilvl w:val="0"/>
          <w:numId w:val="95"/>
        </w:numPr>
        <w:spacing w:after="47"/>
        <w:rPr>
          <w:rFonts w:ascii="Palatino" w:hAnsi="Palatino" w:cs="Palatino"/>
          <w:sz w:val="20"/>
          <w:szCs w:val="20"/>
        </w:rPr>
      </w:pPr>
      <w:r>
        <w:rPr>
          <w:rFonts w:ascii="Palatino" w:hAnsi="Palatino" w:cs="Palatino"/>
          <w:b/>
          <w:bCs/>
          <w:sz w:val="20"/>
          <w:szCs w:val="20"/>
        </w:rPr>
        <w:t>Multiple sectors</w:t>
      </w:r>
      <w:r>
        <w:rPr>
          <w:rFonts w:ascii="Palatino" w:hAnsi="Palatino" w:cs="Palatino"/>
          <w:sz w:val="20"/>
          <w:szCs w:val="20"/>
        </w:rPr>
        <w:t xml:space="preserve">: Multiple sectors can be used to provide a better indication of a vessel’s lateral position within the channel but at the expense of complexity for both the system designer and navigators. </w:t>
      </w:r>
    </w:p>
    <w:p w14:paraId="321EBB57" w14:textId="77777777" w:rsidR="00541A14" w:rsidRDefault="00A450E1">
      <w:pPr>
        <w:pStyle w:val="Default"/>
        <w:numPr>
          <w:ilvl w:val="0"/>
          <w:numId w:val="95"/>
        </w:numPr>
        <w:rPr>
          <w:rFonts w:ascii="Palatino" w:hAnsi="Palatino" w:cs="Palatino"/>
          <w:sz w:val="20"/>
          <w:szCs w:val="20"/>
        </w:rPr>
      </w:pPr>
      <w:r>
        <w:rPr>
          <w:rFonts w:ascii="Palatino" w:hAnsi="Palatino" w:cs="Palatino"/>
          <w:b/>
          <w:bCs/>
          <w:sz w:val="20"/>
          <w:szCs w:val="20"/>
        </w:rPr>
        <w:t>Lamp position and type</w:t>
      </w:r>
      <w:r>
        <w:rPr>
          <w:rFonts w:ascii="Palatino" w:hAnsi="Palatino" w:cs="Palatino"/>
          <w:sz w:val="20"/>
          <w:szCs w:val="20"/>
        </w:rPr>
        <w:t xml:space="preserve">: The position of the light source within the optical system is critical for the correct alignment of the sectors.  When replacing lamps or using lampchangers, it is </w:t>
      </w:r>
    </w:p>
    <w:p w14:paraId="6005D25E" w14:textId="77777777" w:rsidR="00541A14" w:rsidRDefault="00541A14">
      <w:pPr>
        <w:pStyle w:val="Default"/>
        <w:rPr>
          <w:rFonts w:ascii="Palatino" w:hAnsi="Palatino" w:cs="Palatino"/>
          <w:sz w:val="20"/>
          <w:szCs w:val="20"/>
        </w:rPr>
      </w:pPr>
    </w:p>
    <w:p w14:paraId="5A645137"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important to ensure that the light source (e.g. filament) position is identical.  If a lampchanger </w:t>
      </w:r>
    </w:p>
    <w:p w14:paraId="558C887D" w14:textId="77777777" w:rsidR="00541A14" w:rsidRDefault="00A450E1">
      <w:pPr>
        <w:pStyle w:val="CM172"/>
        <w:spacing w:after="202" w:line="293" w:lineRule="atLeast"/>
        <w:ind w:left="300" w:right="342"/>
        <w:rPr>
          <w:rFonts w:ascii="Palatino" w:hAnsi="Palatino" w:cs="Palatino"/>
          <w:color w:val="000000"/>
          <w:sz w:val="20"/>
          <w:szCs w:val="20"/>
        </w:rPr>
      </w:pPr>
      <w:r>
        <w:rPr>
          <w:rFonts w:ascii="Palatino" w:hAnsi="Palatino" w:cs="Palatino"/>
          <w:color w:val="000000"/>
          <w:sz w:val="20"/>
          <w:szCs w:val="20"/>
        </w:rPr>
        <w:t xml:space="preserve">is incorporated, the sector system should be designed for the widest light source used in the lampchanger. </w:t>
      </w:r>
    </w:p>
    <w:p w14:paraId="0B5D17A1"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0D602467" w14:textId="77777777" w:rsidR="00541A14" w:rsidRDefault="009E3F25">
      <w:pPr>
        <w:pStyle w:val="CM170"/>
        <w:spacing w:after="887" w:line="293" w:lineRule="atLeast"/>
        <w:ind w:left="300"/>
        <w:rPr>
          <w:rFonts w:ascii="Palatino" w:hAnsi="Palatino" w:cs="Palatino"/>
          <w:color w:val="000000"/>
          <w:sz w:val="20"/>
          <w:szCs w:val="20"/>
        </w:rPr>
      </w:pPr>
      <w:hyperlink r:id="rId193" w:history="1">
        <w:r w:rsidR="00A450E1">
          <w:rPr>
            <w:rFonts w:ascii="Palatino" w:hAnsi="Palatino" w:cs="Palatino"/>
            <w:i/>
            <w:iCs/>
            <w:color w:val="000000"/>
            <w:sz w:val="20"/>
            <w:szCs w:val="20"/>
          </w:rPr>
          <w:t xml:space="preserve">IALA Guideline 1041 on sector lights. </w:t>
        </w:r>
      </w:hyperlink>
    </w:p>
    <w:p w14:paraId="3C613DA3" w14:textId="77777777" w:rsidR="00541A14" w:rsidRDefault="00A450E1">
      <w:pPr>
        <w:pStyle w:val="CM163"/>
        <w:spacing w:after="642"/>
        <w:jc w:val="center"/>
        <w:rPr>
          <w:rFonts w:ascii="Palatino" w:hAnsi="Palatino" w:cs="Palatino"/>
          <w:color w:val="000000"/>
          <w:sz w:val="20"/>
          <w:szCs w:val="20"/>
        </w:rPr>
      </w:pPr>
      <w:r>
        <w:rPr>
          <w:rFonts w:ascii="Palatino" w:hAnsi="Palatino" w:cs="Palatino"/>
          <w:color w:val="000000"/>
          <w:position w:val="6"/>
          <w:sz w:val="20"/>
          <w:szCs w:val="20"/>
          <w:vertAlign w:val="superscript"/>
        </w:rPr>
        <w:t>24</w:t>
      </w:r>
      <w:hyperlink r:id="rId194" w:history="1">
        <w:r>
          <w:rPr>
            <w:rFonts w:ascii="Palatino" w:hAnsi="Palatino" w:cs="Palatino"/>
            <w:color w:val="000000"/>
            <w:sz w:val="20"/>
            <w:szCs w:val="20"/>
          </w:rPr>
          <w:t xml:space="preserve"> See also IALA Recommendation E 110, The Rhythmic Character of Lights on Aids to Navigation. </w:t>
        </w:r>
      </w:hyperlink>
    </w:p>
    <w:p w14:paraId="79867539"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54C54854" wp14:editId="2F74A744">
            <wp:extent cx="7542530" cy="420370"/>
            <wp:effectExtent l="0" t="0" r="1270" b="1143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364BF1D6" w14:textId="77777777" w:rsidR="00541A14" w:rsidRDefault="00DD420F">
      <w:pPr>
        <w:pStyle w:val="Default"/>
        <w:pageBreakBefore/>
        <w:framePr w:w="24763" w:wrap="auto" w:vAnchor="page" w:hAnchor="page" w:x="101" w:y="1"/>
        <w:spacing w:after="720"/>
        <w:rPr>
          <w:rFonts w:ascii="Palatino" w:hAnsi="Palatino" w:cs="Palatino"/>
          <w:sz w:val="20"/>
          <w:szCs w:val="20"/>
        </w:rPr>
      </w:pPr>
      <w:r>
        <w:rPr>
          <w:rFonts w:ascii="Palatino" w:hAnsi="Palatino" w:cs="Palatino"/>
          <w:noProof/>
          <w:sz w:val="20"/>
          <w:szCs w:val="20"/>
        </w:rPr>
        <w:drawing>
          <wp:inline distT="0" distB="0" distL="0" distR="0" wp14:anchorId="2941B2FF" wp14:editId="587CAB90">
            <wp:extent cx="7553960" cy="115316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1A896866"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Transits / Leading Lines (Range Lines) </w:t>
      </w:r>
    </w:p>
    <w:p w14:paraId="2476D9BD"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A transit is defined as the alignment of two or more marks. A Leading (or Range) light is a specialised </w:t>
      </w:r>
    </w:p>
    <w:p w14:paraId="7E8BE27A" w14:textId="77777777" w:rsidR="00541A14" w:rsidRDefault="00A450E1">
      <w:pPr>
        <w:pStyle w:val="CM185"/>
        <w:spacing w:after="140"/>
        <w:rPr>
          <w:rFonts w:ascii="Palatino" w:hAnsi="Palatino" w:cs="Palatino"/>
          <w:color w:val="000000"/>
          <w:sz w:val="20"/>
          <w:szCs w:val="20"/>
        </w:rPr>
      </w:pPr>
      <w:r>
        <w:rPr>
          <w:rFonts w:ascii="Palatino" w:hAnsi="Palatino" w:cs="Palatino"/>
          <w:color w:val="000000"/>
          <w:sz w:val="20"/>
          <w:szCs w:val="20"/>
        </w:rPr>
        <w:t xml:space="preserve">application of a transit. </w:t>
      </w:r>
    </w:p>
    <w:p w14:paraId="577C52B6"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A simple transit can be used to: </w:t>
      </w:r>
    </w:p>
    <w:p w14:paraId="577DFBA3" w14:textId="77777777" w:rsidR="00541A14" w:rsidRDefault="00A450E1">
      <w:pPr>
        <w:pStyle w:val="Default"/>
        <w:numPr>
          <w:ilvl w:val="0"/>
          <w:numId w:val="96"/>
        </w:numPr>
        <w:rPr>
          <w:rFonts w:ascii="Palatino" w:hAnsi="Palatino" w:cs="Palatino"/>
          <w:sz w:val="20"/>
          <w:szCs w:val="20"/>
        </w:rPr>
      </w:pPr>
      <w:r>
        <w:rPr>
          <w:rFonts w:ascii="Palatino" w:hAnsi="Palatino" w:cs="Palatino"/>
          <w:sz w:val="20"/>
          <w:szCs w:val="20"/>
        </w:rPr>
        <w:t xml:space="preserve">Provide a turning reference. </w:t>
      </w:r>
    </w:p>
    <w:p w14:paraId="172B8F28" w14:textId="77777777" w:rsidR="00541A14" w:rsidRDefault="00A450E1">
      <w:pPr>
        <w:pStyle w:val="Default"/>
        <w:numPr>
          <w:ilvl w:val="0"/>
          <w:numId w:val="96"/>
        </w:numPr>
        <w:rPr>
          <w:rFonts w:ascii="Palatino" w:hAnsi="Palatino" w:cs="Palatino"/>
          <w:sz w:val="20"/>
          <w:szCs w:val="20"/>
        </w:rPr>
      </w:pPr>
      <w:r>
        <w:rPr>
          <w:rFonts w:ascii="Palatino" w:hAnsi="Palatino" w:cs="Palatino"/>
          <w:sz w:val="20"/>
          <w:szCs w:val="20"/>
        </w:rPr>
        <w:t xml:space="preserve">Define a clearing line for the limits of safe navigation. </w:t>
      </w:r>
    </w:p>
    <w:p w14:paraId="7D1FBD6E" w14:textId="77777777" w:rsidR="00541A14" w:rsidRDefault="00A450E1">
      <w:pPr>
        <w:pStyle w:val="Default"/>
        <w:numPr>
          <w:ilvl w:val="0"/>
          <w:numId w:val="96"/>
        </w:numPr>
        <w:rPr>
          <w:rFonts w:ascii="Palatino" w:hAnsi="Palatino" w:cs="Palatino"/>
          <w:sz w:val="20"/>
          <w:szCs w:val="20"/>
        </w:rPr>
      </w:pPr>
      <w:r>
        <w:rPr>
          <w:rFonts w:ascii="Palatino" w:hAnsi="Palatino" w:cs="Palatino"/>
          <w:sz w:val="20"/>
          <w:szCs w:val="20"/>
        </w:rPr>
        <w:t xml:space="preserve">Provide a distance mark along a waterway. </w:t>
      </w:r>
    </w:p>
    <w:p w14:paraId="45B3253D" w14:textId="77777777" w:rsidR="00541A14" w:rsidRDefault="00541A14">
      <w:pPr>
        <w:pStyle w:val="Default"/>
        <w:rPr>
          <w:rFonts w:ascii="Palatino" w:hAnsi="Palatino" w:cs="Palatino"/>
          <w:sz w:val="20"/>
          <w:szCs w:val="20"/>
        </w:rPr>
      </w:pPr>
    </w:p>
    <w:p w14:paraId="04A86DCE"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A leading line is an aid to navigation system that comprises two separated structures with marks or lights that, when viewed from the centreline or deepest route along a straight section of channel, are aligned. </w:t>
      </w:r>
    </w:p>
    <w:p w14:paraId="4C8926BE"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In a two station leading line, the structures lie along an extension of the centreline of the nominated channel. The rear structure must have a greater elevation than the front structure to enable both marks or lights to be viewed simultaneously. </w:t>
      </w:r>
    </w:p>
    <w:p w14:paraId="44A015A0" w14:textId="77777777" w:rsidR="00541A14" w:rsidRDefault="00A450E1">
      <w:pPr>
        <w:pStyle w:val="CM174"/>
        <w:spacing w:after="437" w:line="293" w:lineRule="atLeast"/>
        <w:ind w:right="570"/>
        <w:rPr>
          <w:rFonts w:ascii="Palatino" w:hAnsi="Palatino" w:cs="Palatino"/>
          <w:color w:val="000000"/>
          <w:sz w:val="20"/>
          <w:szCs w:val="20"/>
        </w:rPr>
      </w:pPr>
      <w:r>
        <w:rPr>
          <w:rFonts w:ascii="Palatino" w:hAnsi="Palatino" w:cs="Palatino"/>
          <w:color w:val="000000"/>
          <w:sz w:val="20"/>
          <w:szCs w:val="20"/>
        </w:rPr>
        <w:t xml:space="preserve">A leading line provides a vessel with a heading reference and a visual indication of the size and direction of any cross track error. </w:t>
      </w:r>
    </w:p>
    <w:p w14:paraId="4C6A635B" w14:textId="77777777" w:rsidR="00541A14" w:rsidRDefault="00DD420F">
      <w:pPr>
        <w:pStyle w:val="Default"/>
        <w:framePr w:w="9871" w:wrap="auto" w:vAnchor="page" w:hAnchor="page" w:x="1437" w:y="7676"/>
        <w:spacing w:after="100"/>
        <w:rPr>
          <w:rFonts w:ascii="Palatino" w:hAnsi="Palatino" w:cs="Palatino"/>
          <w:sz w:val="20"/>
          <w:szCs w:val="20"/>
        </w:rPr>
      </w:pPr>
      <w:r>
        <w:rPr>
          <w:rFonts w:ascii="Palatino" w:hAnsi="Palatino" w:cs="Palatino"/>
          <w:noProof/>
          <w:sz w:val="20"/>
          <w:szCs w:val="20"/>
        </w:rPr>
        <w:drawing>
          <wp:inline distT="0" distB="0" distL="0" distR="0" wp14:anchorId="41CEA5BA" wp14:editId="2FB8B86C">
            <wp:extent cx="5753100" cy="2680970"/>
            <wp:effectExtent l="0" t="0" r="12700" b="1143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53100" cy="2680970"/>
                    </a:xfrm>
                    <a:prstGeom prst="rect">
                      <a:avLst/>
                    </a:prstGeom>
                    <a:noFill/>
                    <a:ln>
                      <a:noFill/>
                    </a:ln>
                  </pic:spPr>
                </pic:pic>
              </a:graphicData>
            </a:graphic>
          </wp:inline>
        </w:drawing>
      </w:r>
    </w:p>
    <w:p w14:paraId="287277CC" w14:textId="77777777" w:rsidR="00541A14" w:rsidRDefault="00A450E1">
      <w:pPr>
        <w:pStyle w:val="CM172"/>
        <w:spacing w:after="202"/>
        <w:jc w:val="center"/>
        <w:rPr>
          <w:rFonts w:ascii="Palatino" w:hAnsi="Palatino" w:cs="Palatino"/>
          <w:color w:val="000000"/>
          <w:sz w:val="20"/>
          <w:szCs w:val="20"/>
        </w:rPr>
      </w:pPr>
      <w:r>
        <w:rPr>
          <w:rFonts w:ascii="Palatino" w:hAnsi="Palatino" w:cs="Palatino"/>
          <w:i/>
          <w:iCs/>
          <w:color w:val="000000"/>
          <w:sz w:val="20"/>
          <w:szCs w:val="20"/>
        </w:rPr>
        <w:t xml:space="preserve">Leading (Range) light – Photo courtesy of Vega Industries </w:t>
      </w:r>
    </w:p>
    <w:p w14:paraId="4A6A8980" w14:textId="77777777" w:rsidR="00541A14" w:rsidRDefault="00A450E1">
      <w:pPr>
        <w:pStyle w:val="CM165"/>
        <w:spacing w:after="85"/>
        <w:jc w:val="both"/>
        <w:rPr>
          <w:rFonts w:ascii="Futura Book" w:hAnsi="Futura Book" w:cs="Futura Book"/>
          <w:color w:val="2C5062"/>
          <w:sz w:val="20"/>
          <w:szCs w:val="20"/>
        </w:rPr>
      </w:pPr>
      <w:r>
        <w:rPr>
          <w:rFonts w:ascii="Futura Book" w:hAnsi="Futura Book" w:cs="Futura Book"/>
          <w:b/>
          <w:bCs/>
          <w:color w:val="2C5062"/>
          <w:sz w:val="20"/>
          <w:szCs w:val="20"/>
        </w:rPr>
        <w:t xml:space="preserve">Purposes of Leading Lines </w:t>
      </w:r>
    </w:p>
    <w:p w14:paraId="7429DCC5"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sz w:val="20"/>
          <w:szCs w:val="20"/>
        </w:rPr>
        <w:t xml:space="preserve">A leading line may be used to: </w:t>
      </w:r>
    </w:p>
    <w:p w14:paraId="050779A4" w14:textId="77777777" w:rsidR="00541A14" w:rsidRDefault="00A450E1">
      <w:pPr>
        <w:pStyle w:val="Default"/>
        <w:numPr>
          <w:ilvl w:val="0"/>
          <w:numId w:val="97"/>
        </w:numPr>
        <w:rPr>
          <w:rFonts w:ascii="Palatino" w:hAnsi="Palatino" w:cs="Palatino"/>
          <w:sz w:val="20"/>
          <w:szCs w:val="20"/>
        </w:rPr>
      </w:pPr>
      <w:r>
        <w:rPr>
          <w:rFonts w:ascii="Palatino" w:hAnsi="Palatino" w:cs="Palatino"/>
          <w:sz w:val="20"/>
          <w:szCs w:val="20"/>
        </w:rPr>
        <w:t xml:space="preserve">Indicate the centreline of a straight section of a navigable channel. </w:t>
      </w:r>
    </w:p>
    <w:p w14:paraId="0AD236AA" w14:textId="77777777" w:rsidR="00541A14" w:rsidRDefault="00A450E1">
      <w:pPr>
        <w:pStyle w:val="Default"/>
        <w:numPr>
          <w:ilvl w:val="0"/>
          <w:numId w:val="97"/>
        </w:numPr>
        <w:rPr>
          <w:rFonts w:ascii="Palatino" w:hAnsi="Palatino" w:cs="Palatino"/>
          <w:sz w:val="20"/>
          <w:szCs w:val="20"/>
        </w:rPr>
      </w:pPr>
      <w:r>
        <w:rPr>
          <w:rFonts w:ascii="Palatino" w:hAnsi="Palatino" w:cs="Palatino"/>
          <w:sz w:val="20"/>
          <w:szCs w:val="20"/>
        </w:rPr>
        <w:t xml:space="preserve">Indicate to deep draught vessels the deepest part of the waterway. </w:t>
      </w:r>
    </w:p>
    <w:p w14:paraId="3D87C012" w14:textId="77777777" w:rsidR="00541A14" w:rsidRDefault="00A450E1">
      <w:pPr>
        <w:pStyle w:val="Default"/>
        <w:numPr>
          <w:ilvl w:val="0"/>
          <w:numId w:val="97"/>
        </w:numPr>
        <w:rPr>
          <w:rFonts w:ascii="Palatino" w:hAnsi="Palatino" w:cs="Palatino"/>
          <w:sz w:val="20"/>
          <w:szCs w:val="20"/>
        </w:rPr>
      </w:pPr>
      <w:r>
        <w:rPr>
          <w:rFonts w:ascii="Palatino" w:hAnsi="Palatino" w:cs="Palatino"/>
          <w:sz w:val="20"/>
          <w:szCs w:val="20"/>
        </w:rPr>
        <w:t>Indicate the navigable channel where fixed and floating aids to navigation are not available</w:t>
      </w:r>
      <w:r>
        <w:rPr>
          <w:rFonts w:ascii="Palatino" w:hAnsi="Palatino" w:cs="Palatino"/>
          <w:position w:val="7"/>
          <w:sz w:val="11"/>
          <w:szCs w:val="11"/>
          <w:vertAlign w:val="superscript"/>
        </w:rPr>
        <w:t>25</w:t>
      </w:r>
      <w:r>
        <w:rPr>
          <w:rFonts w:ascii="Palatino" w:hAnsi="Palatino" w:cs="Palatino"/>
          <w:sz w:val="20"/>
          <w:szCs w:val="20"/>
        </w:rPr>
        <w:t xml:space="preserve"> or do not satisfy the accuracy requirements for safe navigation. </w:t>
      </w:r>
    </w:p>
    <w:p w14:paraId="1BE041BE" w14:textId="77777777" w:rsidR="00541A14" w:rsidRDefault="00A450E1">
      <w:pPr>
        <w:pStyle w:val="Default"/>
        <w:numPr>
          <w:ilvl w:val="0"/>
          <w:numId w:val="97"/>
        </w:numPr>
        <w:rPr>
          <w:rFonts w:ascii="Palatino" w:hAnsi="Palatino" w:cs="Palatino"/>
          <w:sz w:val="20"/>
          <w:szCs w:val="20"/>
        </w:rPr>
      </w:pPr>
      <w:r>
        <w:rPr>
          <w:rFonts w:ascii="Palatino" w:hAnsi="Palatino" w:cs="Palatino"/>
          <w:sz w:val="20"/>
          <w:szCs w:val="20"/>
        </w:rPr>
        <w:t xml:space="preserve">Define a safe approach bearing to a harbour or river entrance, particularly where there are cross </w:t>
      </w:r>
    </w:p>
    <w:p w14:paraId="0546C947" w14:textId="77777777" w:rsidR="00541A14" w:rsidRDefault="00541A14">
      <w:pPr>
        <w:pStyle w:val="Default"/>
        <w:rPr>
          <w:rFonts w:ascii="Palatino" w:hAnsi="Palatino" w:cs="Palatino"/>
          <w:sz w:val="20"/>
          <w:szCs w:val="20"/>
        </w:rPr>
      </w:pPr>
    </w:p>
    <w:p w14:paraId="07A46590" w14:textId="77777777" w:rsidR="00541A14" w:rsidRDefault="00A450E1">
      <w:pPr>
        <w:pStyle w:val="CM165"/>
        <w:spacing w:after="85"/>
        <w:ind w:left="310"/>
        <w:jc w:val="both"/>
        <w:rPr>
          <w:rFonts w:ascii="Palatino" w:hAnsi="Palatino" w:cs="Palatino"/>
          <w:color w:val="000000"/>
          <w:sz w:val="20"/>
          <w:szCs w:val="20"/>
        </w:rPr>
      </w:pPr>
      <w:r>
        <w:rPr>
          <w:rFonts w:ascii="Palatino" w:hAnsi="Palatino" w:cs="Palatino"/>
          <w:color w:val="000000"/>
          <w:sz w:val="20"/>
          <w:szCs w:val="20"/>
        </w:rPr>
        <w:t xml:space="preserve">currents. </w:t>
      </w:r>
    </w:p>
    <w:p w14:paraId="48D904B4" w14:textId="77777777" w:rsidR="00541A14" w:rsidRDefault="00A450E1">
      <w:pPr>
        <w:pStyle w:val="CM173"/>
        <w:spacing w:after="340"/>
        <w:ind w:left="300" w:hanging="300"/>
        <w:jc w:val="both"/>
        <w:rPr>
          <w:rFonts w:ascii="Palatino" w:hAnsi="Palatino" w:cs="Palatino"/>
          <w:color w:val="000000"/>
          <w:sz w:val="20"/>
          <w:szCs w:val="20"/>
        </w:rPr>
      </w:pPr>
      <w:r>
        <w:rPr>
          <w:rFonts w:ascii="Palatino" w:hAnsi="Palatino" w:cs="Palatino"/>
          <w:color w:val="000000"/>
          <w:sz w:val="20"/>
          <w:szCs w:val="20"/>
        </w:rPr>
        <w:t xml:space="preserve">• Separate two-way traffic (i.e. when passing a bridge). </w:t>
      </w:r>
    </w:p>
    <w:p w14:paraId="48963A7E" w14:textId="77777777" w:rsidR="00541A14" w:rsidRDefault="00A450E1">
      <w:pPr>
        <w:pStyle w:val="CM162"/>
        <w:spacing w:after="552"/>
        <w:jc w:val="center"/>
        <w:rPr>
          <w:rFonts w:ascii="Palatino" w:hAnsi="Palatino" w:cs="Palatino"/>
          <w:color w:val="000000"/>
          <w:sz w:val="20"/>
          <w:szCs w:val="20"/>
        </w:rPr>
      </w:pPr>
      <w:r>
        <w:rPr>
          <w:rFonts w:ascii="Palatino" w:hAnsi="Palatino" w:cs="Palatino"/>
          <w:color w:val="000000"/>
          <w:position w:val="6"/>
          <w:sz w:val="20"/>
          <w:szCs w:val="20"/>
          <w:vertAlign w:val="superscript"/>
        </w:rPr>
        <w:t>25</w:t>
      </w:r>
      <w:r>
        <w:rPr>
          <w:rFonts w:ascii="Palatino" w:hAnsi="Palatino" w:cs="Palatino"/>
          <w:color w:val="000000"/>
          <w:sz w:val="20"/>
          <w:szCs w:val="20"/>
        </w:rPr>
        <w:t>See also</w:t>
      </w:r>
      <w:hyperlink r:id="rId197" w:history="1">
        <w:r>
          <w:rPr>
            <w:rFonts w:ascii="Palatino" w:hAnsi="Palatino" w:cs="Palatino"/>
            <w:color w:val="000000"/>
            <w:sz w:val="18"/>
            <w:szCs w:val="18"/>
          </w:rPr>
          <w:t xml:space="preserve"> IALA Recommendation E 110, The Rhythmic Character of Lights on Aids to Navigation. </w:t>
        </w:r>
      </w:hyperlink>
    </w:p>
    <w:p w14:paraId="464ECA17" w14:textId="77777777" w:rsidR="00541A14" w:rsidRDefault="00DD420F">
      <w:pPr>
        <w:pStyle w:val="Default"/>
        <w:framePr w:w="12709" w:wrap="auto" w:vAnchor="page" w:hAnchor="page" w:x="101" w:y="15067"/>
        <w:rPr>
          <w:rFonts w:ascii="Palatino" w:hAnsi="Palatino" w:cs="Palatino"/>
          <w:sz w:val="20"/>
          <w:szCs w:val="20"/>
        </w:rPr>
      </w:pPr>
      <w:r>
        <w:rPr>
          <w:rFonts w:ascii="Palatino" w:hAnsi="Palatino" w:cs="Palatino"/>
          <w:noProof/>
          <w:sz w:val="20"/>
          <w:szCs w:val="20"/>
        </w:rPr>
        <w:drawing>
          <wp:inline distT="0" distB="0" distL="0" distR="0" wp14:anchorId="5C87D7A2" wp14:editId="626837DE">
            <wp:extent cx="7553960" cy="420370"/>
            <wp:effectExtent l="0" t="0" r="0" b="1143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57ABB7C9" w14:textId="77777777" w:rsidR="00541A14" w:rsidRDefault="00DD420F">
      <w:pPr>
        <w:pStyle w:val="Default"/>
        <w:pageBreakBefore/>
        <w:framePr w:w="12857" w:wrap="auto" w:vAnchor="page" w:hAnchor="page" w:x="101" w:y="5954"/>
        <w:spacing w:after="120"/>
        <w:rPr>
          <w:rFonts w:ascii="Palatino" w:hAnsi="Palatino" w:cs="Palatino"/>
          <w:sz w:val="20"/>
          <w:szCs w:val="20"/>
        </w:rPr>
      </w:pPr>
      <w:r>
        <w:rPr>
          <w:rFonts w:ascii="Palatino" w:hAnsi="Palatino" w:cs="Palatino"/>
          <w:noProof/>
          <w:sz w:val="20"/>
          <w:szCs w:val="20"/>
        </w:rPr>
        <w:drawing>
          <wp:inline distT="0" distB="0" distL="0" distR="0" wp14:anchorId="53342D91" wp14:editId="13C4FF6D">
            <wp:extent cx="7553960" cy="5043170"/>
            <wp:effectExtent l="0" t="0" r="0" b="1143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7553960" cy="5043170"/>
                    </a:xfrm>
                    <a:prstGeom prst="rect">
                      <a:avLst/>
                    </a:prstGeom>
                    <a:noFill/>
                    <a:ln>
                      <a:noFill/>
                    </a:ln>
                  </pic:spPr>
                </pic:pic>
              </a:graphicData>
            </a:graphic>
          </wp:inline>
        </w:drawing>
      </w:r>
    </w:p>
    <w:p w14:paraId="71B67548" w14:textId="77777777" w:rsidR="00541A14" w:rsidRDefault="00A450E1">
      <w:pPr>
        <w:pStyle w:val="CM197"/>
        <w:spacing w:after="390"/>
        <w:jc w:val="center"/>
        <w:rPr>
          <w:rFonts w:ascii="Palatino" w:hAnsi="Palatino" w:cs="Palatino"/>
          <w:color w:val="000000"/>
          <w:sz w:val="20"/>
          <w:szCs w:val="20"/>
        </w:rPr>
      </w:pPr>
      <w:r>
        <w:rPr>
          <w:rFonts w:ascii="Palatino" w:hAnsi="Palatino" w:cs="Palatino"/>
          <w:i/>
          <w:iCs/>
          <w:color w:val="000000"/>
          <w:sz w:val="20"/>
          <w:szCs w:val="20"/>
        </w:rPr>
        <w:t xml:space="preserve">Leading Line - Photo courtesy of Canadian Coast Guard </w:t>
      </w:r>
    </w:p>
    <w:p w14:paraId="7FBE2E22"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Design Considerations for Leading Lines </w:t>
      </w:r>
    </w:p>
    <w:p w14:paraId="3DFCCC9B" w14:textId="77777777" w:rsidR="00541A14" w:rsidRDefault="00A450E1">
      <w:pPr>
        <w:pStyle w:val="CM185"/>
        <w:spacing w:after="140"/>
        <w:rPr>
          <w:rFonts w:ascii="Palatino" w:hAnsi="Palatino" w:cs="Palatino"/>
          <w:color w:val="000000"/>
          <w:sz w:val="20"/>
          <w:szCs w:val="20"/>
        </w:rPr>
      </w:pPr>
      <w:r>
        <w:rPr>
          <w:rFonts w:ascii="Palatino" w:hAnsi="Palatino" w:cs="Palatino"/>
          <w:color w:val="000000"/>
          <w:sz w:val="20"/>
          <w:szCs w:val="20"/>
        </w:rPr>
        <w:t xml:space="preserve">A well-designed leading line will enable vessels of the type and size that commonly use the channel to: </w:t>
      </w:r>
    </w:p>
    <w:p w14:paraId="264232B2" w14:textId="77777777" w:rsidR="00541A14" w:rsidRDefault="00A450E1">
      <w:pPr>
        <w:pStyle w:val="Default"/>
        <w:rPr>
          <w:rFonts w:ascii="Palatino" w:hAnsi="Palatino" w:cs="Palatino"/>
          <w:sz w:val="20"/>
          <w:szCs w:val="20"/>
        </w:rPr>
      </w:pPr>
      <w:r>
        <w:rPr>
          <w:rFonts w:ascii="Palatino" w:hAnsi="Palatino" w:cs="Palatino"/>
          <w:sz w:val="20"/>
          <w:szCs w:val="20"/>
        </w:rPr>
        <w:t>• identify the marks or lights when the ship is at the inner and outer sections of the channel and</w:t>
      </w:r>
    </w:p>
    <w:p w14:paraId="549FAF14" w14:textId="77777777" w:rsidR="00541A14" w:rsidRDefault="00A450E1">
      <w:pPr>
        <w:pStyle w:val="CM185"/>
        <w:spacing w:after="140"/>
        <w:ind w:left="302"/>
        <w:rPr>
          <w:rFonts w:ascii="Palatino" w:hAnsi="Palatino" w:cs="Palatino"/>
          <w:color w:val="000000"/>
          <w:sz w:val="20"/>
          <w:szCs w:val="20"/>
        </w:rPr>
      </w:pPr>
      <w:r>
        <w:rPr>
          <w:rFonts w:ascii="Palatino" w:hAnsi="Palatino" w:cs="Palatino"/>
          <w:color w:val="000000"/>
          <w:sz w:val="20"/>
          <w:szCs w:val="20"/>
        </w:rPr>
        <w:t xml:space="preserve">readily detect cross track position errors from the centreline of the channel; </w:t>
      </w:r>
    </w:p>
    <w:p w14:paraId="0D0C78FF" w14:textId="77777777" w:rsidR="00541A14" w:rsidRDefault="00A450E1">
      <w:pPr>
        <w:pStyle w:val="Default"/>
        <w:rPr>
          <w:rFonts w:ascii="Palatino" w:hAnsi="Palatino" w:cs="Palatino"/>
          <w:sz w:val="20"/>
          <w:szCs w:val="20"/>
        </w:rPr>
      </w:pPr>
      <w:r>
        <w:rPr>
          <w:rFonts w:ascii="Palatino" w:hAnsi="Palatino" w:cs="Palatino"/>
          <w:sz w:val="20"/>
          <w:szCs w:val="20"/>
        </w:rPr>
        <w:t xml:space="preserve">• detect cross track position errors with sufficient sensitivity that the channel can be utilised without </w:t>
      </w:r>
    </w:p>
    <w:p w14:paraId="328A833D" w14:textId="77777777" w:rsidR="00541A14" w:rsidRDefault="00A450E1">
      <w:pPr>
        <w:pStyle w:val="CM185"/>
        <w:spacing w:after="140"/>
        <w:ind w:left="302"/>
        <w:rPr>
          <w:rFonts w:ascii="Palatino" w:hAnsi="Palatino" w:cs="Palatino"/>
          <w:color w:val="000000"/>
          <w:sz w:val="20"/>
          <w:szCs w:val="20"/>
        </w:rPr>
      </w:pPr>
      <w:r>
        <w:rPr>
          <w:rFonts w:ascii="Palatino" w:hAnsi="Palatino" w:cs="Palatino"/>
          <w:color w:val="000000"/>
          <w:sz w:val="20"/>
          <w:szCs w:val="20"/>
        </w:rPr>
        <w:t xml:space="preserve">abrupt changes to the vessel’s heading and speed; </w:t>
      </w:r>
    </w:p>
    <w:p w14:paraId="06D98245" w14:textId="77777777" w:rsidR="00541A14" w:rsidRDefault="00A450E1">
      <w:pPr>
        <w:pStyle w:val="Default"/>
        <w:rPr>
          <w:rFonts w:ascii="Palatino" w:hAnsi="Palatino" w:cs="Palatino"/>
          <w:sz w:val="20"/>
          <w:szCs w:val="20"/>
        </w:rPr>
      </w:pPr>
      <w:r>
        <w:rPr>
          <w:rFonts w:ascii="Palatino" w:hAnsi="Palatino" w:cs="Palatino"/>
          <w:sz w:val="20"/>
          <w:szCs w:val="20"/>
        </w:rPr>
        <w:t xml:space="preserve">• observe both lights together, by selection of leading light character rhythms that appropriately </w:t>
      </w:r>
    </w:p>
    <w:p w14:paraId="61675300" w14:textId="77777777" w:rsidR="00541A14" w:rsidRDefault="00A450E1">
      <w:pPr>
        <w:pStyle w:val="CM21"/>
        <w:ind w:left="302"/>
        <w:rPr>
          <w:rFonts w:ascii="Palatino" w:hAnsi="Palatino" w:cs="Palatino"/>
          <w:color w:val="000000"/>
          <w:sz w:val="20"/>
          <w:szCs w:val="20"/>
        </w:rPr>
      </w:pPr>
      <w:r>
        <w:rPr>
          <w:rFonts w:ascii="Palatino" w:hAnsi="Palatino" w:cs="Palatino"/>
          <w:color w:val="000000"/>
          <w:sz w:val="20"/>
          <w:szCs w:val="20"/>
        </w:rPr>
        <w:t xml:space="preserve">overlap in their free running condition. In some situations it may be preferable to provide </w:t>
      </w:r>
    </w:p>
    <w:p w14:paraId="53E82135" w14:textId="77777777" w:rsidR="00541A14" w:rsidRDefault="00A450E1">
      <w:pPr>
        <w:pStyle w:val="CM185"/>
        <w:spacing w:after="140"/>
        <w:ind w:left="302"/>
        <w:rPr>
          <w:rFonts w:ascii="Palatino" w:hAnsi="Palatino" w:cs="Palatino"/>
          <w:color w:val="000000"/>
          <w:sz w:val="20"/>
          <w:szCs w:val="20"/>
        </w:rPr>
      </w:pPr>
      <w:r>
        <w:rPr>
          <w:rFonts w:ascii="Palatino" w:hAnsi="Palatino" w:cs="Palatino"/>
          <w:color w:val="000000"/>
          <w:sz w:val="20"/>
          <w:szCs w:val="20"/>
        </w:rPr>
        <w:t xml:space="preserve">additional equipment to synchronise the light characters; and </w:t>
      </w:r>
    </w:p>
    <w:p w14:paraId="0B4ED1E9"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observe the lights in all ambient conditions for which they are designed to be used without glare. </w:t>
      </w:r>
    </w:p>
    <w:p w14:paraId="69D7A172" w14:textId="77777777" w:rsidR="00541A14" w:rsidRDefault="00A450E1">
      <w:pPr>
        <w:pStyle w:val="CM165"/>
        <w:spacing w:after="85"/>
        <w:jc w:val="center"/>
        <w:rPr>
          <w:rFonts w:ascii="Palatino" w:hAnsi="Palatino" w:cs="Palatino"/>
          <w:color w:val="000000"/>
          <w:sz w:val="20"/>
          <w:szCs w:val="20"/>
        </w:rPr>
      </w:pPr>
      <w:r>
        <w:rPr>
          <w:rFonts w:ascii="Palatino" w:hAnsi="Palatino" w:cs="Palatino"/>
          <w:color w:val="000000"/>
          <w:sz w:val="20"/>
          <w:szCs w:val="20"/>
        </w:rPr>
        <w:t xml:space="preserve">If lights are to be used for both day and night operations light intensities will need to be varied. </w:t>
      </w:r>
    </w:p>
    <w:p w14:paraId="10598F66"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The characters of rhythmic leading lights should be selected so that the front and rear lights, in their free running states, can generally be observed together.  In some situations it may be preferable to provide additional equipment to synchronise the light characters. </w:t>
      </w:r>
    </w:p>
    <w:p w14:paraId="56DEEEA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If lights are to be used both day and night, the light intensities should be adapted for each situation to avoid glare at night. </w:t>
      </w:r>
    </w:p>
    <w:p w14:paraId="417587A1"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Radar transponders (RACONs) may be used as leading line markers. </w:t>
      </w:r>
    </w:p>
    <w:p w14:paraId="54E10FF7" w14:textId="77777777" w:rsidR="00541A14" w:rsidRDefault="00A450E1">
      <w:pPr>
        <w:pStyle w:val="CM165"/>
        <w:spacing w:after="85" w:line="298" w:lineRule="atLeast"/>
        <w:ind w:left="367"/>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592E66D2" w14:textId="77777777" w:rsidR="00541A14" w:rsidRDefault="009E3F25">
      <w:pPr>
        <w:pStyle w:val="CM165"/>
        <w:spacing w:after="85" w:line="298" w:lineRule="atLeast"/>
        <w:ind w:left="367"/>
        <w:rPr>
          <w:rFonts w:ascii="Palatino" w:hAnsi="Palatino" w:cs="Palatino"/>
          <w:color w:val="000000"/>
          <w:sz w:val="20"/>
          <w:szCs w:val="20"/>
        </w:rPr>
      </w:pPr>
      <w:hyperlink r:id="rId200" w:history="1">
        <w:r w:rsidR="00A450E1">
          <w:rPr>
            <w:rFonts w:ascii="Palatino" w:hAnsi="Palatino" w:cs="Palatino"/>
            <w:i/>
            <w:iCs/>
            <w:color w:val="000000"/>
            <w:sz w:val="20"/>
            <w:szCs w:val="20"/>
          </w:rPr>
          <w:t xml:space="preserve">IALA Recommendation E-112 for leading lights (including excel program). </w:t>
        </w:r>
      </w:hyperlink>
    </w:p>
    <w:p w14:paraId="642B7C4D" w14:textId="77777777" w:rsidR="00541A14" w:rsidRDefault="009E3F25">
      <w:pPr>
        <w:pStyle w:val="CM180"/>
        <w:spacing w:after="732" w:line="298" w:lineRule="atLeast"/>
        <w:ind w:left="367"/>
        <w:rPr>
          <w:rFonts w:ascii="Palatino" w:hAnsi="Palatino" w:cs="Palatino"/>
          <w:color w:val="000000"/>
          <w:sz w:val="20"/>
          <w:szCs w:val="20"/>
        </w:rPr>
      </w:pPr>
      <w:hyperlink r:id="rId201" w:history="1">
        <w:r w:rsidR="00A450E1">
          <w:rPr>
            <w:rFonts w:ascii="Palatino" w:hAnsi="Palatino" w:cs="Palatino"/>
            <w:i/>
            <w:iCs/>
            <w:color w:val="000000"/>
            <w:sz w:val="20"/>
            <w:szCs w:val="20"/>
          </w:rPr>
          <w:t xml:space="preserve">IALA Guideline 1023 for the design of leading lines. </w:t>
        </w:r>
      </w:hyperlink>
    </w:p>
    <w:p w14:paraId="734C7308"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0787B3B8" wp14:editId="7C065961">
            <wp:extent cx="7542530" cy="420370"/>
            <wp:effectExtent l="0" t="0" r="1270" b="1143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56E5EAAC" w14:textId="77777777" w:rsidR="00541A14" w:rsidRDefault="00DD420F">
      <w:pPr>
        <w:pStyle w:val="Default"/>
        <w:pageBreakBefore/>
        <w:framePr w:w="12720" w:wrap="auto" w:vAnchor="page" w:hAnchor="page" w:x="101" w:y="1"/>
        <w:spacing w:after="700"/>
        <w:rPr>
          <w:rFonts w:ascii="Palatino" w:hAnsi="Palatino" w:cs="Palatino"/>
          <w:sz w:val="20"/>
          <w:szCs w:val="20"/>
        </w:rPr>
      </w:pPr>
      <w:r>
        <w:rPr>
          <w:rFonts w:ascii="Palatino" w:hAnsi="Palatino" w:cs="Palatino"/>
          <w:noProof/>
          <w:sz w:val="20"/>
          <w:szCs w:val="20"/>
        </w:rPr>
        <w:drawing>
          <wp:inline distT="0" distB="0" distL="0" distR="0" wp14:anchorId="1A9FDFA4" wp14:editId="025364BC">
            <wp:extent cx="7553960" cy="116967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7553960" cy="1169670"/>
                    </a:xfrm>
                    <a:prstGeom prst="rect">
                      <a:avLst/>
                    </a:prstGeom>
                    <a:noFill/>
                    <a:ln>
                      <a:noFill/>
                    </a:ln>
                  </pic:spPr>
                </pic:pic>
              </a:graphicData>
            </a:graphic>
          </wp:inline>
        </w:drawing>
      </w:r>
    </w:p>
    <w:p w14:paraId="4D68B08F"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3.2.8 Integrated Power Supply Lanterns </w:t>
      </w:r>
    </w:p>
    <w:p w14:paraId="444A4341"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Integrated Power Supply Lanterns (IPSL) have application advantages for certain situations. By incorporating modern technologies, they can be small, durable, reliable, cost effective and fully self contained. Technological advances in light emitting diodes (LEDs), photovoltaics (Solar Panels) and batteries complement each other and facilitate a compact lantern. In order to operate </w:t>
      </w:r>
    </w:p>
    <w:p w14:paraId="7002DE44" w14:textId="77777777" w:rsidR="00541A14" w:rsidRDefault="00A450E1">
      <w:pPr>
        <w:pStyle w:val="CM16"/>
        <w:ind w:right="327"/>
        <w:rPr>
          <w:rFonts w:ascii="Palatino" w:hAnsi="Palatino" w:cs="Palatino"/>
          <w:color w:val="000000"/>
          <w:sz w:val="20"/>
          <w:szCs w:val="20"/>
        </w:rPr>
      </w:pPr>
      <w:r>
        <w:rPr>
          <w:rFonts w:ascii="Palatino" w:hAnsi="Palatino" w:cs="Palatino"/>
          <w:color w:val="000000"/>
          <w:sz w:val="20"/>
          <w:szCs w:val="20"/>
        </w:rPr>
        <w:t xml:space="preserve">efficiently, these lanterns must be designed for a wide range of solar conditions (i.e. sunlight available to charge the lantern) while maintaining a specified optical output over the expected </w:t>
      </w:r>
    </w:p>
    <w:p w14:paraId="3915C5B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operating lifetime. </w:t>
      </w:r>
    </w:p>
    <w:p w14:paraId="135011B9"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The application criteria for IPSL include nominal light ranges up to 5nm, areas with good solar insolation, areas that suffer from vandalism or theft and small buoys with limited weight carrying ability. They are not suitable where high duty cycle rhythmic characters are required or in areas suffering from icing. An IPSL device houses power source, power storage, LED light source, rhythmic character coding and switching together in a single unit. IPSL can accept external programming commands and include options for GPS and communication modules. </w:t>
      </w:r>
    </w:p>
    <w:p w14:paraId="01C497D0" w14:textId="77777777" w:rsidR="00541A14" w:rsidRDefault="00A450E1">
      <w:pPr>
        <w:pStyle w:val="CM165"/>
        <w:spacing w:after="85" w:line="298" w:lineRule="atLeast"/>
        <w:ind w:left="367"/>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6E00C37A" w14:textId="77777777" w:rsidR="00541A14" w:rsidRDefault="009E3F25">
      <w:pPr>
        <w:pStyle w:val="CM39"/>
        <w:spacing w:after="8555"/>
        <w:ind w:left="367"/>
        <w:rPr>
          <w:rFonts w:ascii="Palatino" w:hAnsi="Palatino" w:cs="Palatino"/>
          <w:color w:val="000000"/>
          <w:sz w:val="20"/>
          <w:szCs w:val="20"/>
        </w:rPr>
      </w:pPr>
      <w:hyperlink r:id="rId204" w:history="1">
        <w:r w:rsidR="00A450E1">
          <w:rPr>
            <w:rFonts w:ascii="Palatino" w:hAnsi="Palatino" w:cs="Palatino"/>
            <w:i/>
            <w:iCs/>
            <w:color w:val="000000"/>
            <w:sz w:val="20"/>
            <w:szCs w:val="20"/>
          </w:rPr>
          <w:t xml:space="preserve">IALA Guideline 1064 on Integrated Power Systems Lantern. </w:t>
        </w:r>
      </w:hyperlink>
    </w:p>
    <w:p w14:paraId="2E581303"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544C1EB8" wp14:editId="074348F3">
            <wp:extent cx="7553960" cy="420370"/>
            <wp:effectExtent l="0" t="0" r="0" b="1143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03DE3608" w14:textId="77777777" w:rsidR="00541A14" w:rsidRDefault="00DD420F">
      <w:pPr>
        <w:pStyle w:val="Default"/>
        <w:pageBreakBefore/>
        <w:framePr w:w="12724" w:wrap="auto" w:vAnchor="page" w:hAnchor="page" w:x="101" w:y="15039"/>
        <w:rPr>
          <w:rFonts w:ascii="Palatino" w:hAnsi="Palatino" w:cs="Palatino"/>
          <w:sz w:val="20"/>
          <w:szCs w:val="20"/>
        </w:rPr>
      </w:pPr>
      <w:r>
        <w:rPr>
          <w:rFonts w:ascii="Palatino" w:hAnsi="Palatino" w:cs="Palatino"/>
          <w:noProof/>
          <w:sz w:val="20"/>
          <w:szCs w:val="20"/>
        </w:rPr>
        <w:drawing>
          <wp:inline distT="0" distB="0" distL="0" distR="0" wp14:anchorId="3B523D10" wp14:editId="5CFD5DC9">
            <wp:extent cx="7553960" cy="1069467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7553960" cy="10694670"/>
                    </a:xfrm>
                    <a:prstGeom prst="rect">
                      <a:avLst/>
                    </a:prstGeom>
                    <a:noFill/>
                    <a:ln>
                      <a:noFill/>
                    </a:ln>
                  </pic:spPr>
                </pic:pic>
              </a:graphicData>
            </a:graphic>
          </wp:inline>
        </w:drawing>
      </w:r>
    </w:p>
    <w:p w14:paraId="7ECB7F82" w14:textId="77777777" w:rsidR="00541A14" w:rsidRDefault="00A450E1">
      <w:pPr>
        <w:pStyle w:val="CM178"/>
        <w:pageBreakBefore/>
        <w:spacing w:after="1397"/>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5FE79DAE"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4.2 Definition of e-Navigation </w:t>
      </w:r>
    </w:p>
    <w:p w14:paraId="5398F50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definition of e-Navigation adopted by IMO is: </w:t>
      </w:r>
    </w:p>
    <w:p w14:paraId="2DFBE435" w14:textId="77777777" w:rsidR="00541A14" w:rsidRDefault="00A450E1">
      <w:pPr>
        <w:pStyle w:val="CM173"/>
        <w:spacing w:after="340" w:line="293" w:lineRule="atLeast"/>
        <w:ind w:right="245"/>
        <w:rPr>
          <w:rFonts w:ascii="Palatino" w:hAnsi="Palatino" w:cs="Palatino"/>
          <w:color w:val="000000"/>
          <w:sz w:val="20"/>
          <w:szCs w:val="20"/>
        </w:rPr>
      </w:pPr>
      <w:r>
        <w:rPr>
          <w:rFonts w:ascii="Palatino" w:hAnsi="Palatino" w:cs="Palatino"/>
          <w:b/>
          <w:bCs/>
          <w:color w:val="000000"/>
          <w:sz w:val="20"/>
          <w:szCs w:val="20"/>
        </w:rPr>
        <w:t>“</w:t>
      </w:r>
      <w:r>
        <w:rPr>
          <w:rFonts w:ascii="Palatino" w:hAnsi="Palatino" w:cs="Palatino"/>
          <w:b/>
          <w:bCs/>
          <w:i/>
          <w:iCs/>
          <w:color w:val="000000"/>
          <w:sz w:val="20"/>
          <w:szCs w:val="20"/>
        </w:rPr>
        <w:t>e-Navigation is the harmonised collection, integration, exchange, presentation and analysis of maritime information onboard and ashore by electronic means to enhance berth to berth navigation and related services, for safety and security at sea and protection of the marine environment</w:t>
      </w:r>
      <w:r>
        <w:rPr>
          <w:rFonts w:ascii="Palatino" w:hAnsi="Palatino" w:cs="Palatino"/>
          <w:color w:val="000000"/>
          <w:sz w:val="20"/>
          <w:szCs w:val="20"/>
        </w:rPr>
        <w:t xml:space="preserve">”. </w:t>
      </w:r>
    </w:p>
    <w:p w14:paraId="336E8B9D" w14:textId="77777777" w:rsidR="00541A14" w:rsidRDefault="00A450E1">
      <w:pPr>
        <w:pStyle w:val="CM87"/>
        <w:ind w:left="222"/>
        <w:rPr>
          <w:rFonts w:ascii="Futura Book" w:hAnsi="Futura Book" w:cs="Futura Book"/>
          <w:color w:val="000000"/>
          <w:sz w:val="20"/>
          <w:szCs w:val="20"/>
        </w:rPr>
      </w:pPr>
      <w:r>
        <w:rPr>
          <w:rFonts w:ascii="Futura Book" w:hAnsi="Futura Book" w:cs="Futura Book"/>
          <w:b/>
          <w:bCs/>
          <w:color w:val="000000"/>
          <w:sz w:val="20"/>
          <w:szCs w:val="20"/>
        </w:rPr>
        <w:t xml:space="preserve">What does the “e” in e-Navigation stand for? </w:t>
      </w:r>
    </w:p>
    <w:p w14:paraId="32EECF04" w14:textId="77777777" w:rsidR="00541A14" w:rsidRDefault="00A450E1">
      <w:pPr>
        <w:pStyle w:val="CM87"/>
        <w:ind w:left="222"/>
        <w:rPr>
          <w:rFonts w:ascii="Palatino" w:hAnsi="Palatino" w:cs="Palatino"/>
          <w:color w:val="000000"/>
          <w:sz w:val="20"/>
          <w:szCs w:val="20"/>
        </w:rPr>
      </w:pPr>
      <w:r>
        <w:rPr>
          <w:rFonts w:ascii="Palatino" w:hAnsi="Palatino" w:cs="Palatino"/>
          <w:color w:val="000000"/>
          <w:sz w:val="20"/>
          <w:szCs w:val="20"/>
        </w:rPr>
        <w:t>It is generally accepted that the IMO concept of “e-Navigation” can be thought of as a brand,</w:t>
      </w:r>
    </w:p>
    <w:p w14:paraId="0E88A326" w14:textId="77777777" w:rsidR="00541A14" w:rsidRDefault="00A450E1">
      <w:pPr>
        <w:pStyle w:val="CM165"/>
        <w:spacing w:after="85" w:line="296" w:lineRule="atLeast"/>
        <w:ind w:left="222"/>
        <w:rPr>
          <w:rFonts w:ascii="Palatino" w:hAnsi="Palatino" w:cs="Palatino"/>
          <w:color w:val="000000"/>
          <w:sz w:val="20"/>
          <w:szCs w:val="20"/>
        </w:rPr>
      </w:pPr>
      <w:r>
        <w:rPr>
          <w:rFonts w:ascii="Palatino" w:hAnsi="Palatino" w:cs="Palatino"/>
          <w:color w:val="000000"/>
          <w:sz w:val="20"/>
          <w:szCs w:val="20"/>
        </w:rPr>
        <w:t xml:space="preserve">without the need for “e” to be specifically defined. </w:t>
      </w:r>
    </w:p>
    <w:p w14:paraId="2AE7A25A" w14:textId="77777777" w:rsidR="00541A14" w:rsidRDefault="00A450E1">
      <w:pPr>
        <w:pStyle w:val="Default"/>
        <w:spacing w:line="260" w:lineRule="atLeast"/>
        <w:ind w:left="240"/>
        <w:rPr>
          <w:rFonts w:ascii="Palatino" w:hAnsi="Palatino" w:cs="Palatino"/>
          <w:sz w:val="20"/>
          <w:szCs w:val="20"/>
        </w:rPr>
      </w:pPr>
      <w:r>
        <w:rPr>
          <w:rFonts w:ascii="Palatino" w:hAnsi="Palatino" w:cs="Palatino"/>
          <w:sz w:val="20"/>
          <w:szCs w:val="20"/>
        </w:rPr>
        <w:t xml:space="preserve">The concept of e-Navigation was proposed by IMO Member States in 2006 as a process for the harmonisation, collection, integration, exchange and presentation of maritime information. As such, the “e” could have stood for “enhanced” or “electronic”, but this would unnecessarily limit what can be done within e-Navigation. It must be noted thatgeneric electronic marine navigation already exists in many forms and should not be </w:t>
      </w:r>
    </w:p>
    <w:p w14:paraId="134C1D5B" w14:textId="77777777" w:rsidR="00541A14" w:rsidRDefault="00A450E1">
      <w:pPr>
        <w:pStyle w:val="CM174"/>
        <w:spacing w:after="437" w:line="260" w:lineRule="atLeast"/>
        <w:ind w:left="240"/>
        <w:rPr>
          <w:rFonts w:ascii="Palatino" w:hAnsi="Palatino" w:cs="Palatino"/>
          <w:color w:val="000000"/>
          <w:sz w:val="20"/>
          <w:szCs w:val="20"/>
        </w:rPr>
      </w:pPr>
      <w:r>
        <w:rPr>
          <w:rFonts w:ascii="Palatino" w:hAnsi="Palatino" w:cs="Palatino"/>
          <w:color w:val="000000"/>
          <w:sz w:val="20"/>
          <w:szCs w:val="20"/>
        </w:rPr>
        <w:t xml:space="preserve">confused with this specific IMO initiative. </w:t>
      </w:r>
    </w:p>
    <w:p w14:paraId="6A0EEA8C"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4.3 A vision for e-Navigation </w:t>
      </w:r>
    </w:p>
    <w:p w14:paraId="5948E96E" w14:textId="77777777" w:rsidR="00541A14" w:rsidRDefault="00A450E1">
      <w:pPr>
        <w:pStyle w:val="CM175"/>
        <w:spacing w:after="267" w:line="296" w:lineRule="atLeast"/>
        <w:ind w:right="402"/>
        <w:rPr>
          <w:rFonts w:ascii="Palatino" w:hAnsi="Palatino" w:cs="Palatino"/>
          <w:color w:val="000000"/>
          <w:sz w:val="20"/>
          <w:szCs w:val="20"/>
        </w:rPr>
      </w:pPr>
      <w:r>
        <w:rPr>
          <w:rFonts w:ascii="Palatino" w:hAnsi="Palatino" w:cs="Palatino"/>
          <w:color w:val="000000"/>
          <w:sz w:val="20"/>
          <w:szCs w:val="20"/>
        </w:rPr>
        <w:t xml:space="preserve">A vision of e-Navigation is embedded in the following general expectations for the onboard, ashore and communications elements: </w:t>
      </w:r>
    </w:p>
    <w:p w14:paraId="5D30025E"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On board </w:t>
      </w:r>
    </w:p>
    <w:p w14:paraId="15D7AF1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Navigation systems that benefit from the integration of own ship sensors, supporting </w:t>
      </w:r>
    </w:p>
    <w:p w14:paraId="0E6497CB"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information, a standard user interface, and a comprehensive system for managing guard zones and alerts. Core elements of such a system will include, actively engaging the mariner in the </w:t>
      </w:r>
    </w:p>
    <w:p w14:paraId="441FEE1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process of navigation to carry out his/her duties in a most efficient manner, while preventing </w:t>
      </w:r>
    </w:p>
    <w:p w14:paraId="17FD8355"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distraction and overburdening. </w:t>
      </w:r>
    </w:p>
    <w:p w14:paraId="73A41656"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Ashore </w:t>
      </w:r>
    </w:p>
    <w:p w14:paraId="78F9E5D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management of vessel traffic and related services from ashore enhanced through better </w:t>
      </w:r>
    </w:p>
    <w:p w14:paraId="25F43C9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provision, coordination, and exchange of comprehensive data in formats that will be more easily </w:t>
      </w:r>
    </w:p>
    <w:p w14:paraId="25C5E0C0" w14:textId="77777777" w:rsidR="00541A14" w:rsidRDefault="00A450E1">
      <w:pPr>
        <w:pStyle w:val="CM175"/>
        <w:spacing w:after="267" w:line="291" w:lineRule="atLeast"/>
        <w:rPr>
          <w:rFonts w:ascii="Palatino" w:hAnsi="Palatino" w:cs="Palatino"/>
          <w:color w:val="000000"/>
          <w:sz w:val="20"/>
          <w:szCs w:val="20"/>
        </w:rPr>
      </w:pPr>
      <w:r>
        <w:rPr>
          <w:rFonts w:ascii="Palatino" w:hAnsi="Palatino" w:cs="Palatino"/>
          <w:color w:val="000000"/>
          <w:sz w:val="20"/>
          <w:szCs w:val="20"/>
        </w:rPr>
        <w:t xml:space="preserve">understood and utilized by shore-based operators in support of vessel safety and efficiency. </w:t>
      </w:r>
    </w:p>
    <w:p w14:paraId="334BE271"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Communications </w:t>
      </w:r>
    </w:p>
    <w:p w14:paraId="013AE7D7" w14:textId="77777777" w:rsidR="00541A14" w:rsidRDefault="00A450E1">
      <w:pPr>
        <w:pStyle w:val="CM16"/>
        <w:ind w:right="327"/>
        <w:rPr>
          <w:rFonts w:ascii="Palatino" w:hAnsi="Palatino" w:cs="Palatino"/>
          <w:color w:val="000000"/>
          <w:sz w:val="20"/>
          <w:szCs w:val="20"/>
        </w:rPr>
      </w:pPr>
      <w:r>
        <w:rPr>
          <w:rFonts w:ascii="Palatino" w:hAnsi="Palatino" w:cs="Palatino"/>
          <w:color w:val="000000"/>
          <w:sz w:val="20"/>
          <w:szCs w:val="20"/>
        </w:rPr>
        <w:t xml:space="preserve">An infrastructure providing authorised seamless information transfer onboard ship, between ships, between ship and shore and between shore authorities and other parties with many </w:t>
      </w:r>
    </w:p>
    <w:p w14:paraId="4BDCCDF7" w14:textId="77777777" w:rsidR="00541A14" w:rsidRDefault="00A450E1">
      <w:pPr>
        <w:pStyle w:val="CM196"/>
        <w:spacing w:after="2165" w:line="291" w:lineRule="atLeast"/>
        <w:rPr>
          <w:rFonts w:ascii="Palatino" w:hAnsi="Palatino" w:cs="Palatino"/>
          <w:color w:val="000000"/>
          <w:sz w:val="20"/>
          <w:szCs w:val="20"/>
        </w:rPr>
      </w:pPr>
      <w:r>
        <w:rPr>
          <w:rFonts w:ascii="Palatino" w:hAnsi="Palatino" w:cs="Palatino"/>
          <w:color w:val="000000"/>
          <w:sz w:val="20"/>
          <w:szCs w:val="20"/>
        </w:rPr>
        <w:t xml:space="preserve">related benefits. </w:t>
      </w:r>
    </w:p>
    <w:p w14:paraId="70D652AC" w14:textId="77777777" w:rsidR="00541A14" w:rsidRDefault="00541A14">
      <w:pPr>
        <w:pStyle w:val="CM100"/>
        <w:ind w:left="8357"/>
        <w:rPr>
          <w:rFonts w:ascii="Palatino" w:hAnsi="Palatino" w:cs="Palatino"/>
          <w:color w:val="000000"/>
          <w:sz w:val="20"/>
          <w:szCs w:val="20"/>
        </w:rPr>
      </w:pPr>
    </w:p>
    <w:p w14:paraId="692E82E6"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7F03D317" wp14:editId="50C608D9">
            <wp:extent cx="227330" cy="113665"/>
            <wp:effectExtent l="0" t="0" r="127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3860997B"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584E5176" wp14:editId="4F97F388">
            <wp:extent cx="823595" cy="11366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6CECDB0C" w14:textId="77777777" w:rsidR="00541A14" w:rsidRDefault="00DD420F">
      <w:pPr>
        <w:pStyle w:val="Default"/>
        <w:pageBreakBefore/>
        <w:framePr w:w="12865" w:wrap="auto" w:vAnchor="page" w:hAnchor="page" w:x="101" w:y="1"/>
        <w:spacing w:after="800"/>
        <w:rPr>
          <w:rFonts w:ascii="Palatino" w:hAnsi="Palatino" w:cs="Palatino"/>
          <w:sz w:val="20"/>
          <w:szCs w:val="20"/>
        </w:rPr>
      </w:pPr>
      <w:r>
        <w:rPr>
          <w:rFonts w:ascii="Palatino" w:hAnsi="Palatino" w:cs="Palatino"/>
          <w:noProof/>
          <w:sz w:val="20"/>
          <w:szCs w:val="20"/>
        </w:rPr>
        <w:drawing>
          <wp:inline distT="0" distB="0" distL="0" distR="0" wp14:anchorId="1366962E" wp14:editId="619C1A28">
            <wp:extent cx="7553960" cy="1056640"/>
            <wp:effectExtent l="0" t="0" r="0" b="1016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559C539E" w14:textId="77777777" w:rsidR="00541A14" w:rsidRDefault="00A450E1">
      <w:pPr>
        <w:pStyle w:val="CM172"/>
        <w:spacing w:after="202"/>
        <w:rPr>
          <w:rFonts w:ascii="Futura Book" w:hAnsi="Futura Book" w:cs="Futura Book"/>
          <w:color w:val="2C5062"/>
          <w:sz w:val="28"/>
          <w:szCs w:val="28"/>
        </w:rPr>
      </w:pPr>
      <w:r>
        <w:rPr>
          <w:rFonts w:ascii="Futura Book" w:hAnsi="Futura Book" w:cs="Futura Book"/>
          <w:b/>
          <w:bCs/>
          <w:color w:val="2C5062"/>
          <w:sz w:val="28"/>
          <w:szCs w:val="28"/>
        </w:rPr>
        <w:t xml:space="preserve">4.4 Strategy and Implementation </w:t>
      </w:r>
    </w:p>
    <w:p w14:paraId="6940C2C4"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In 2008, IMO approved the development of an e-Navigation Strategy Implementation Plan.  This </w:t>
      </w:r>
    </w:p>
    <w:p w14:paraId="747CC865" w14:textId="77777777" w:rsidR="00541A14" w:rsidRDefault="00A450E1">
      <w:pPr>
        <w:pStyle w:val="Default"/>
        <w:rPr>
          <w:rFonts w:ascii="Palatino" w:hAnsi="Palatino" w:cs="Palatino"/>
          <w:sz w:val="20"/>
          <w:szCs w:val="20"/>
        </w:rPr>
      </w:pPr>
      <w:r>
        <w:rPr>
          <w:rFonts w:ascii="Palatino" w:hAnsi="Palatino" w:cs="Palatino"/>
          <w:sz w:val="20"/>
          <w:szCs w:val="20"/>
        </w:rPr>
        <w:t xml:space="preserve">includes the development of a technical architecture, gap analysis, cost benefit analysis and the </w:t>
      </w:r>
    </w:p>
    <w:p w14:paraId="7220B9CF"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creation of a detailed implementation plan.  A structured and phased approach is required to capture evolving user needs, making use of the existing agreed methodology.  </w:t>
      </w:r>
    </w:p>
    <w:p w14:paraId="6C85226C"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The Strategy Implementation Plan includes priorities for deliverables, a schedule for implementation and provision for the continual assessment of user needs.  Implementation will be a phased, iterative process.  The architecture for e-Navigation will encompass hardware, data, information, communications technology and software.  It will be based on a modular and scalable concept and will cater for continued development and enhancements. The initial architecture is to be completed by 2010.  </w:t>
      </w:r>
    </w:p>
    <w:p w14:paraId="4A867C8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deployment of new technologies is to be based on a systematic assessment of how the </w:t>
      </w:r>
    </w:p>
    <w:p w14:paraId="2464F5A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technology can best meet defined and evolving user needs within the e-Navigation concept. </w:t>
      </w:r>
    </w:p>
    <w:p w14:paraId="5031E07D"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The initial gap analyses are to be focused on technical, regulatory, operational and training aspects and are to be completed by 2010.  </w:t>
      </w:r>
    </w:p>
    <w:p w14:paraId="247DF1CE"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Cost-benefit and risk analyses will be used to support strategic decisions, as to when certain functions need to be enabled. The analyses will address financial and economic aspects, as well </w:t>
      </w:r>
    </w:p>
    <w:p w14:paraId="0EB22FE0"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as assess the impact on safety, security and the environment. The aim is to complete this by the year 2011.  </w:t>
      </w:r>
    </w:p>
    <w:p w14:paraId="64E3552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Implementation of the e-Navigation plan is due to begin in 2012 and will include: identification </w:t>
      </w:r>
    </w:p>
    <w:p w14:paraId="00469C87" w14:textId="77777777" w:rsidR="00541A14" w:rsidRDefault="00A450E1">
      <w:pPr>
        <w:pStyle w:val="CM173"/>
        <w:spacing w:after="340" w:line="293" w:lineRule="atLeast"/>
        <w:ind w:right="245"/>
        <w:rPr>
          <w:rFonts w:ascii="Palatino" w:hAnsi="Palatino" w:cs="Palatino"/>
          <w:color w:val="000000"/>
          <w:sz w:val="20"/>
          <w:szCs w:val="20"/>
        </w:rPr>
      </w:pPr>
      <w:r>
        <w:rPr>
          <w:rFonts w:ascii="Palatino" w:hAnsi="Palatino" w:cs="Palatino"/>
          <w:color w:val="000000"/>
          <w:sz w:val="20"/>
          <w:szCs w:val="20"/>
        </w:rPr>
        <w:t xml:space="preserve">of responsibilities of the appropriate organizations/parties; transition planning; and a phased implementation schedule, along with possible roadmaps to clarify common understanding necessary for implementation. </w:t>
      </w:r>
    </w:p>
    <w:p w14:paraId="2FEF94FA"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High Level User Needs </w:t>
      </w:r>
    </w:p>
    <w:p w14:paraId="1532FB9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IALA methodology was used to capture evolving user needs. It was based on the elements </w:t>
      </w:r>
    </w:p>
    <w:p w14:paraId="5FE982C6" w14:textId="77777777" w:rsidR="00541A14" w:rsidRDefault="00A450E1">
      <w:pPr>
        <w:pStyle w:val="CM3"/>
        <w:ind w:right="402"/>
        <w:rPr>
          <w:rFonts w:ascii="Palatino" w:hAnsi="Palatino" w:cs="Palatino"/>
          <w:color w:val="000000"/>
          <w:sz w:val="20"/>
          <w:szCs w:val="20"/>
        </w:rPr>
      </w:pPr>
      <w:r>
        <w:rPr>
          <w:rFonts w:ascii="Palatino" w:hAnsi="Palatino" w:cs="Palatino"/>
          <w:color w:val="000000"/>
          <w:sz w:val="20"/>
          <w:szCs w:val="20"/>
        </w:rPr>
        <w:t xml:space="preserve">contained within the accepted definition of e-Navigation and applied templates to define specific user needs based on the harmonized collection, integration, exchange, presentation, </w:t>
      </w:r>
    </w:p>
    <w:p w14:paraId="1C4AE05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analysis and human element aspects for all users. Following extensive feedback from Member States, other maritime organizations, and interested parties, an analysis was conducted resulting </w:t>
      </w:r>
    </w:p>
    <w:p w14:paraId="7F8E21F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in the identification of high-level generic user needs for both ship and shore users. Thus the </w:t>
      </w:r>
    </w:p>
    <w:p w14:paraId="0ABA7DF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needs of a typical SOLAS ship and a generic shore authority have been used as the basis for the </w:t>
      </w:r>
    </w:p>
    <w:p w14:paraId="2F802AA7" w14:textId="77777777" w:rsidR="00541A14" w:rsidRDefault="00A450E1">
      <w:pPr>
        <w:pStyle w:val="CM187"/>
        <w:spacing w:after="2867" w:line="300" w:lineRule="atLeast"/>
        <w:ind w:right="465"/>
        <w:rPr>
          <w:rFonts w:ascii="Palatino" w:hAnsi="Palatino" w:cs="Palatino"/>
          <w:color w:val="000000"/>
          <w:sz w:val="20"/>
          <w:szCs w:val="20"/>
        </w:rPr>
      </w:pPr>
      <w:r>
        <w:rPr>
          <w:rFonts w:ascii="Palatino" w:hAnsi="Palatino" w:cs="Palatino"/>
          <w:color w:val="000000"/>
          <w:sz w:val="20"/>
          <w:szCs w:val="20"/>
        </w:rPr>
        <w:t xml:space="preserve">identification of the high-level user needs described below. A more detailed user needs may have to be identified as a part of the implementation plan. </w:t>
      </w:r>
    </w:p>
    <w:p w14:paraId="62F1170B"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560DDAAF" w14:textId="77777777" w:rsidR="00541A14" w:rsidRDefault="00A450E1">
      <w:pPr>
        <w:pStyle w:val="CM101"/>
        <w:ind w:left="9640"/>
        <w:rPr>
          <w:rFonts w:ascii="Palatino" w:hAnsi="Palatino" w:cs="Palatino"/>
          <w:color w:val="000000"/>
          <w:sz w:val="23"/>
          <w:szCs w:val="23"/>
        </w:rPr>
      </w:pPr>
      <w:r>
        <w:rPr>
          <w:rFonts w:ascii="Palatino" w:hAnsi="Palatino" w:cs="Palatino"/>
          <w:b/>
          <w:bCs/>
          <w:i/>
          <w:iCs/>
          <w:color w:val="000000"/>
          <w:sz w:val="23"/>
          <w:szCs w:val="23"/>
        </w:rPr>
        <w:t xml:space="preserve">83 </w:t>
      </w:r>
    </w:p>
    <w:p w14:paraId="6C8B55AC" w14:textId="77777777" w:rsidR="00541A14" w:rsidRDefault="00A450E1">
      <w:pPr>
        <w:pStyle w:val="CM176"/>
        <w:pageBreakBefore/>
        <w:spacing w:after="1320"/>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3862891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1) Common Maritime Information / Data Structure </w:t>
      </w:r>
    </w:p>
    <w:p w14:paraId="37331173"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Mariners require information pertaining to the planning and execution of voyages, the assessment of navigation risk and compliance with regulation. This information should be accessible from a single integrated system. Shore users require information pertaining to their maritime domain, including static and dynamic information on vessels and their voyages. This information should be provided in an internationally agreed common data structure. Such a data structure is essential for the sharing of information amongst shore authorities on a regional and international basis. </w:t>
      </w:r>
    </w:p>
    <w:p w14:paraId="3D31428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2) Automated and standardized Reporting Functions </w:t>
      </w:r>
    </w:p>
    <w:p w14:paraId="25D29934"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e-Navigation should provide automated and standardized reporting functions for optimal communication of ship and voyage information. This includes safety-related information that is transmitted ashore, sent from shore to ship borne users and information pertaining to security and environmental protection to be communicated amongst all users. Reporting requirements should be automated or pre-prepared to the extent possible both in terms of content and </w:t>
      </w:r>
    </w:p>
    <w:p w14:paraId="1B4C170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communications technology. Information exchange should be harmonized and simplified to </w:t>
      </w:r>
    </w:p>
    <w:p w14:paraId="511CA87C" w14:textId="77777777" w:rsidR="00541A14" w:rsidRDefault="00A450E1">
      <w:pPr>
        <w:pStyle w:val="CM172"/>
        <w:spacing w:after="202" w:line="293" w:lineRule="atLeast"/>
        <w:ind w:right="327"/>
        <w:rPr>
          <w:rFonts w:ascii="Palatino" w:hAnsi="Palatino" w:cs="Palatino"/>
          <w:color w:val="000000"/>
          <w:sz w:val="20"/>
          <w:szCs w:val="20"/>
        </w:rPr>
      </w:pPr>
      <w:r>
        <w:rPr>
          <w:rFonts w:ascii="Palatino" w:hAnsi="Palatino" w:cs="Palatino"/>
          <w:color w:val="000000"/>
          <w:sz w:val="20"/>
          <w:szCs w:val="20"/>
        </w:rPr>
        <w:t xml:space="preserve">reduce reporting requirements. It is recognized that security, legal and commercial issues will have to be considered in addressing communications needs. </w:t>
      </w:r>
    </w:p>
    <w:p w14:paraId="53786C5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3) Effective and Robust Communications </w:t>
      </w:r>
    </w:p>
    <w:p w14:paraId="4DE0665F" w14:textId="77777777" w:rsidR="00541A14" w:rsidRDefault="00A450E1">
      <w:pPr>
        <w:pStyle w:val="CM172"/>
        <w:spacing w:after="202" w:line="293" w:lineRule="atLeast"/>
        <w:ind w:right="177"/>
        <w:rPr>
          <w:rFonts w:ascii="Palatino" w:hAnsi="Palatino" w:cs="Palatino"/>
          <w:color w:val="000000"/>
          <w:sz w:val="20"/>
          <w:szCs w:val="20"/>
        </w:rPr>
      </w:pPr>
      <w:r>
        <w:rPr>
          <w:rFonts w:ascii="Palatino" w:hAnsi="Palatino" w:cs="Palatino"/>
          <w:color w:val="000000"/>
          <w:sz w:val="20"/>
          <w:szCs w:val="20"/>
        </w:rPr>
        <w:t xml:space="preserve">A clear need was expressed for there to be an effective and robust means of communications for ship and shore users. Shore-based users require an effective means of communicating with vessels to facilitate safety, security and environmental protection and to provide operational information. To be effective, communication with and between vessels should make best use of audio/visual aids and standard phrases to minimize linguistic challenges and distractions to operators. </w:t>
      </w:r>
    </w:p>
    <w:p w14:paraId="34C4298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4) Human Centred Presentation Needs </w:t>
      </w:r>
    </w:p>
    <w:p w14:paraId="6479B97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Navigation displays should be designed to clearly indicate risk and to optimize support for decision making. There is a need for an integrated “alert management system” as contained in the revised recommendation on performance standards for Integrated Navigation Systems (INS) (resolution MSC.252(83)). </w:t>
      </w:r>
    </w:p>
    <w:p w14:paraId="2CCC13FF"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 xml:space="preserve">Consideration should be given to the use of decision support systems that offer suggested responses to certain alerts, and the integration of navigation alerts on board ships within a whole ship alert management system. Users require uniform and consistent presentations and operation functionality to enhance the effectiveness of internationally standardized training, </w:t>
      </w:r>
    </w:p>
    <w:p w14:paraId="2C27DF5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certification and familiarization. </w:t>
      </w:r>
    </w:p>
    <w:p w14:paraId="10B03EA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concept of S-Mode has been widely supported as an application on board ship during </w:t>
      </w:r>
    </w:p>
    <w:p w14:paraId="545FBCDE" w14:textId="77777777" w:rsidR="00541A14" w:rsidRDefault="00A450E1">
      <w:pPr>
        <w:pStyle w:val="CM184"/>
        <w:spacing w:after="1660" w:line="298" w:lineRule="atLeast"/>
        <w:ind w:right="507"/>
        <w:rPr>
          <w:rFonts w:ascii="Palatino" w:hAnsi="Palatino" w:cs="Palatino"/>
          <w:color w:val="000000"/>
          <w:sz w:val="20"/>
          <w:szCs w:val="20"/>
        </w:rPr>
      </w:pPr>
      <w:r>
        <w:rPr>
          <w:rFonts w:ascii="Palatino" w:hAnsi="Palatino" w:cs="Palatino"/>
          <w:color w:val="000000"/>
          <w:sz w:val="20"/>
          <w:szCs w:val="20"/>
        </w:rPr>
        <w:t xml:space="preserve">the work of the Correspondence Group. Shore users require displays that are fully flexible supporting both a Common Operating Picture (COP) and a User Defined Operating Picture </w:t>
      </w:r>
    </w:p>
    <w:p w14:paraId="77DD7FB0" w14:textId="77777777" w:rsidR="00541A14" w:rsidRDefault="00541A14">
      <w:pPr>
        <w:pStyle w:val="CM100"/>
        <w:ind w:left="8357"/>
        <w:rPr>
          <w:rFonts w:ascii="Palatino" w:hAnsi="Palatino" w:cs="Palatino"/>
          <w:color w:val="000000"/>
          <w:sz w:val="20"/>
          <w:szCs w:val="20"/>
        </w:rPr>
      </w:pPr>
    </w:p>
    <w:p w14:paraId="07788A7D"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3CA45A41" wp14:editId="082754C5">
            <wp:extent cx="227330" cy="113665"/>
            <wp:effectExtent l="0" t="0" r="127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36658127"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67EBC548" wp14:editId="5AFC5271">
            <wp:extent cx="823595" cy="11366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6F18814B" w14:textId="77777777" w:rsidR="00541A14" w:rsidRDefault="00DD420F">
      <w:pPr>
        <w:pStyle w:val="Default"/>
        <w:pageBreakBefore/>
        <w:framePr w:w="12865" w:wrap="auto" w:vAnchor="page" w:hAnchor="page" w:x="101" w:y="1"/>
        <w:spacing w:after="820"/>
        <w:rPr>
          <w:rFonts w:ascii="Palatino" w:hAnsi="Palatino" w:cs="Palatino"/>
          <w:sz w:val="20"/>
          <w:szCs w:val="20"/>
        </w:rPr>
      </w:pPr>
      <w:r>
        <w:rPr>
          <w:rFonts w:ascii="Palatino" w:hAnsi="Palatino" w:cs="Palatino"/>
          <w:noProof/>
          <w:sz w:val="20"/>
          <w:szCs w:val="20"/>
        </w:rPr>
        <w:drawing>
          <wp:inline distT="0" distB="0" distL="0" distR="0" wp14:anchorId="1CF3997C" wp14:editId="4853FB1E">
            <wp:extent cx="7553960" cy="1056640"/>
            <wp:effectExtent l="0" t="0" r="0" b="1016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1A250911" w14:textId="77777777" w:rsidR="00541A14" w:rsidRDefault="00A450E1">
      <w:pPr>
        <w:pStyle w:val="CM172"/>
        <w:spacing w:after="202" w:line="296" w:lineRule="atLeast"/>
        <w:ind w:right="645"/>
        <w:rPr>
          <w:rFonts w:ascii="Palatino" w:hAnsi="Palatino" w:cs="Palatino"/>
          <w:color w:val="000000"/>
          <w:sz w:val="20"/>
          <w:szCs w:val="20"/>
        </w:rPr>
      </w:pPr>
      <w:r>
        <w:rPr>
          <w:rFonts w:ascii="Palatino" w:hAnsi="Palatino" w:cs="Palatino"/>
          <w:color w:val="000000"/>
          <w:sz w:val="20"/>
          <w:szCs w:val="20"/>
        </w:rPr>
        <w:t xml:space="preserve">(UDOP) with layered and/or tabulated displays. All displays should be designed to limit the possibility of confusion and misinterpretation when sharing safety-related information. e-Navigation systems should be designed to engage and motivate the user while managing workload. </w:t>
      </w:r>
    </w:p>
    <w:p w14:paraId="19D99D8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5) Human machine Interface </w:t>
      </w:r>
    </w:p>
    <w:p w14:paraId="4C7D2167"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As electronic systems take on a greater role, facilities need to be developed for the capture and presentation of information from visual observations, as well as user knowledge and experience. The presentation of information for all users should be designed to reduce “single person errors” and enhance team operations. There is a clear need for the application of ergonomic principles, both in the physical layout of equipment and in the use of light, colours, symbology and language. </w:t>
      </w:r>
    </w:p>
    <w:p w14:paraId="777752B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6) Data and system Integrity </w:t>
      </w:r>
    </w:p>
    <w:p w14:paraId="37AC4E2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e-Navigation systems should be resilient and take into account issues of data validity, plausibility and integrity for the systems to be robust, reliable and dependable. Requirements for redundancy, </w:t>
      </w:r>
    </w:p>
    <w:p w14:paraId="68401A8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particularly in relation to position  fixing systems, should be considered. </w:t>
      </w:r>
    </w:p>
    <w:p w14:paraId="7E472C8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7) Analysis </w:t>
      </w:r>
    </w:p>
    <w:p w14:paraId="0B84DFD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e-Navigation systems should support good decision making, improve performance and prevent single person error. To do so, shipboard systems should include analysis functions that support the user in complying with regulations, voyage planning, risk assessment, and avoiding collisions and groundings including the calculation of Under Keel Clearance (UKC) and air draughts. Shore-based systems should support environmental impact analysis, forward planning of vessel movements, hazard/risk assessment, reporting indicators and incident prevention. </w:t>
      </w:r>
    </w:p>
    <w:p w14:paraId="038BDAA8" w14:textId="77777777" w:rsidR="00541A14" w:rsidRDefault="00A450E1">
      <w:pPr>
        <w:pStyle w:val="CM172"/>
        <w:spacing w:after="202" w:line="298" w:lineRule="atLeast"/>
        <w:ind w:right="507"/>
        <w:rPr>
          <w:rFonts w:ascii="Palatino" w:hAnsi="Palatino" w:cs="Palatino"/>
          <w:color w:val="000000"/>
          <w:sz w:val="20"/>
          <w:szCs w:val="20"/>
        </w:rPr>
      </w:pPr>
      <w:r>
        <w:rPr>
          <w:rFonts w:ascii="Palatino" w:hAnsi="Palatino" w:cs="Palatino"/>
          <w:color w:val="000000"/>
          <w:sz w:val="20"/>
          <w:szCs w:val="20"/>
        </w:rPr>
        <w:t xml:space="preserve">Consideration should also be given to the use of analysis for incident response and recovery, risk assessment and response planning, environment protection measures, incident detection and prevention, risk mitigation, preparedness, resource (e.g., asset) management and communication. </w:t>
      </w:r>
    </w:p>
    <w:p w14:paraId="274FFE34"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8) Implementation Issues </w:t>
      </w:r>
    </w:p>
    <w:p w14:paraId="42D7D9F2" w14:textId="77777777" w:rsidR="00541A14" w:rsidRDefault="00A450E1">
      <w:pPr>
        <w:pStyle w:val="CM172"/>
        <w:spacing w:after="202" w:line="296" w:lineRule="atLeast"/>
        <w:ind w:right="645"/>
        <w:rPr>
          <w:rFonts w:ascii="Palatino" w:hAnsi="Palatino" w:cs="Palatino"/>
          <w:color w:val="000000"/>
          <w:sz w:val="20"/>
          <w:szCs w:val="20"/>
        </w:rPr>
      </w:pPr>
      <w:r>
        <w:rPr>
          <w:rFonts w:ascii="Palatino" w:hAnsi="Palatino" w:cs="Palatino"/>
          <w:color w:val="000000"/>
          <w:sz w:val="20"/>
          <w:szCs w:val="20"/>
        </w:rPr>
        <w:t xml:space="preserve">Best practices, training and familiarization relating to aspects of e-Navigation for all users should be effective and established in advance of technical implementation. The use of simulation to establish training needs and assess its effectiveness is endorsed. e-Navigation should as far as practical be compatible forwards and backwards and support integration with equipment and systems made mandatory under international and national carriage requirements and performance standards. The highest level of interoperability between e-Navigation and external systems should be sought where practicable. </w:t>
      </w:r>
    </w:p>
    <w:p w14:paraId="6DD0F692"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04904132" w14:textId="77777777" w:rsidR="00541A14" w:rsidRDefault="009E3F25">
      <w:pPr>
        <w:pStyle w:val="CM192"/>
        <w:spacing w:after="1992" w:line="293" w:lineRule="atLeast"/>
        <w:ind w:left="300"/>
        <w:rPr>
          <w:rFonts w:ascii="Palatino" w:hAnsi="Palatino" w:cs="Palatino"/>
          <w:color w:val="000000"/>
          <w:sz w:val="20"/>
          <w:szCs w:val="20"/>
        </w:rPr>
      </w:pPr>
      <w:hyperlink r:id="rId210" w:history="1">
        <w:r w:rsidR="00A450E1">
          <w:rPr>
            <w:rFonts w:ascii="Palatino" w:hAnsi="Palatino" w:cs="Palatino"/>
            <w:i/>
            <w:iCs/>
            <w:color w:val="000000"/>
            <w:sz w:val="20"/>
            <w:szCs w:val="20"/>
          </w:rPr>
          <w:t xml:space="preserve">IALA Guideline 1072 on Aid to Navigation Information Exchange and Presentation. </w:t>
        </w:r>
      </w:hyperlink>
    </w:p>
    <w:p w14:paraId="2D21BBE9"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02329B96" w14:textId="77777777" w:rsidR="00541A14" w:rsidRDefault="00A450E1">
      <w:pPr>
        <w:pStyle w:val="CM101"/>
        <w:ind w:left="9640"/>
        <w:rPr>
          <w:rFonts w:ascii="Palatino" w:hAnsi="Palatino" w:cs="Palatino"/>
          <w:color w:val="000000"/>
          <w:sz w:val="23"/>
          <w:szCs w:val="23"/>
        </w:rPr>
      </w:pPr>
      <w:r>
        <w:rPr>
          <w:rFonts w:ascii="Palatino" w:hAnsi="Palatino" w:cs="Palatino"/>
          <w:b/>
          <w:bCs/>
          <w:i/>
          <w:iCs/>
          <w:color w:val="000000"/>
          <w:sz w:val="23"/>
          <w:szCs w:val="23"/>
        </w:rPr>
        <w:t xml:space="preserve">85 </w:t>
      </w:r>
    </w:p>
    <w:p w14:paraId="6A8776F9" w14:textId="77777777" w:rsidR="00541A14" w:rsidRDefault="00A450E1">
      <w:pPr>
        <w:pStyle w:val="CM178"/>
        <w:pageBreakBefore/>
        <w:spacing w:after="1397"/>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69EC121D"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4.5 IALA’s Role </w:t>
      </w:r>
    </w:p>
    <w:p w14:paraId="207FC358" w14:textId="77777777" w:rsidR="00541A14" w:rsidRDefault="00A450E1">
      <w:pPr>
        <w:pStyle w:val="CM173"/>
        <w:spacing w:after="340" w:line="293" w:lineRule="atLeast"/>
        <w:ind w:right="327"/>
        <w:rPr>
          <w:rFonts w:ascii="Palatino" w:hAnsi="Palatino" w:cs="Palatino"/>
          <w:color w:val="000000"/>
          <w:sz w:val="20"/>
          <w:szCs w:val="20"/>
        </w:rPr>
      </w:pPr>
      <w:r>
        <w:rPr>
          <w:rFonts w:ascii="Palatino" w:hAnsi="Palatino" w:cs="Palatino"/>
          <w:color w:val="000000"/>
          <w:sz w:val="20"/>
          <w:szCs w:val="20"/>
        </w:rPr>
        <w:t xml:space="preserve">IALA’s e-Navigation Committee has contributed substantially to the formulation of the IMO Strategy for the implementation of e-Navigation and to the Strategy Implementation Plan. The working groups of the e-NAV Committee are developing shore user requirements, information systems and data structures, a World Wide Radio Navigation Plan, a Radio Communications Plan, a future second generation AIS and a shore-side architecture, together with a documentation structure to encompass the whole of e-Navigation. </w:t>
      </w:r>
    </w:p>
    <w:p w14:paraId="6075D485"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4.6 Architecture </w:t>
      </w:r>
    </w:p>
    <w:p w14:paraId="2366CC15"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A representation of the ship to shore portion of the proposed e-Navigation architecture being developed by IALA, under the IMO e-Navigation agenda, is shown in Figure 17. It includes the shipboard entities, the physical link(s) and the shore-based entities. </w:t>
      </w:r>
    </w:p>
    <w:p w14:paraId="39B00C55"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From an e-Navigation perspective, the relevant devices within the ship environment are the transceiver station, the data sources and the data sinks connected to the transceiver station, the Integrated Navigation System (INS) and the Integrated Bridge System (IBS). Only one transceiver station is shown for simplicity, although there may be several. </w:t>
      </w:r>
    </w:p>
    <w:p w14:paraId="31D5F664"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The shipboard transceiver station interfaces with the physical link(s) to the appropriate technical e-Navigation services ashore. </w:t>
      </w:r>
    </w:p>
    <w:p w14:paraId="785A282D"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The shore-based technical e-Navigation services provide the interfaces of the shore-based user applications to the physical link(s). The data transfer network(s) depend on the application, for example, a shore-based radar service would require different data transfer network capabilities to a shore-based AIS service. </w:t>
      </w:r>
    </w:p>
    <w:p w14:paraId="35C43BFC" w14:textId="77777777" w:rsidR="00541A14" w:rsidRDefault="00A450E1">
      <w:pPr>
        <w:pStyle w:val="CM201"/>
        <w:spacing w:after="2517" w:line="291" w:lineRule="atLeast"/>
        <w:rPr>
          <w:rFonts w:ascii="Palatino" w:hAnsi="Palatino" w:cs="Palatino"/>
          <w:color w:val="000000"/>
          <w:sz w:val="20"/>
          <w:szCs w:val="20"/>
        </w:rPr>
      </w:pPr>
      <w:r>
        <w:rPr>
          <w:rFonts w:ascii="Palatino" w:hAnsi="Palatino" w:cs="Palatino"/>
          <w:color w:val="000000"/>
          <w:sz w:val="20"/>
          <w:szCs w:val="20"/>
        </w:rPr>
        <w:t xml:space="preserve">Figure 17 shows the IMO World Wide Radio Navigation System (WWRNS) as a system “external” to the e-Navigation architecture, providing position and time information. The WWRNS includes GNSS, augmentation systems and terrestrial backup radio navigation systems. </w:t>
      </w:r>
    </w:p>
    <w:p w14:paraId="443E1348" w14:textId="77777777" w:rsidR="00541A14" w:rsidRDefault="00A450E1">
      <w:pPr>
        <w:pStyle w:val="CM81"/>
        <w:rPr>
          <w:rFonts w:ascii="Arial" w:hAnsi="Arial" w:cs="Arial"/>
          <w:color w:val="000000"/>
          <w:sz w:val="15"/>
          <w:szCs w:val="15"/>
        </w:rPr>
      </w:pPr>
      <w:r>
        <w:rPr>
          <w:rFonts w:ascii="Arial" w:hAnsi="Arial" w:cs="Arial"/>
          <w:b/>
          <w:bCs/>
          <w:color w:val="000000"/>
          <w:sz w:val="15"/>
          <w:szCs w:val="15"/>
        </w:rPr>
        <w:t xml:space="preserve">mariner Shore-based users </w:t>
      </w:r>
    </w:p>
    <w:p w14:paraId="1C7677BE" w14:textId="77777777" w:rsidR="00541A14" w:rsidRDefault="00A450E1">
      <w:pPr>
        <w:pStyle w:val="CM196"/>
        <w:spacing w:after="2165" w:line="180" w:lineRule="atLeast"/>
        <w:ind w:left="7970" w:right="190"/>
        <w:rPr>
          <w:rFonts w:ascii="Arial" w:hAnsi="Arial" w:cs="Arial"/>
          <w:color w:val="000000"/>
          <w:sz w:val="15"/>
          <w:szCs w:val="15"/>
        </w:rPr>
      </w:pPr>
      <w:r>
        <w:rPr>
          <w:rFonts w:ascii="Arial" w:hAnsi="Arial" w:cs="Arial"/>
          <w:b/>
          <w:bCs/>
          <w:color w:val="000000"/>
          <w:sz w:val="15"/>
          <w:szCs w:val="15"/>
        </w:rPr>
        <w:t xml:space="preserve">(e.g. VTS Operators) </w:t>
      </w:r>
    </w:p>
    <w:p w14:paraId="07DC6B8D" w14:textId="77777777" w:rsidR="00541A14" w:rsidRDefault="00DD420F">
      <w:pPr>
        <w:pStyle w:val="Default"/>
        <w:framePr w:w="8357" w:wrap="auto" w:vAnchor="page" w:hAnchor="page" w:x="2027" w:y="11029"/>
        <w:spacing w:after="2120"/>
        <w:rPr>
          <w:rFonts w:ascii="Arial" w:hAnsi="Arial" w:cs="Arial"/>
          <w:sz w:val="15"/>
          <w:szCs w:val="15"/>
        </w:rPr>
      </w:pPr>
      <w:r>
        <w:rPr>
          <w:rFonts w:ascii="Arial" w:hAnsi="Arial" w:cs="Arial"/>
          <w:noProof/>
          <w:sz w:val="15"/>
          <w:szCs w:val="15"/>
        </w:rPr>
        <w:drawing>
          <wp:inline distT="0" distB="0" distL="0" distR="0" wp14:anchorId="58D59C44" wp14:editId="15D8CBE6">
            <wp:extent cx="4685665" cy="26924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685665" cy="2692400"/>
                    </a:xfrm>
                    <a:prstGeom prst="rect">
                      <a:avLst/>
                    </a:prstGeom>
                    <a:noFill/>
                    <a:ln>
                      <a:noFill/>
                    </a:ln>
                  </pic:spPr>
                </pic:pic>
              </a:graphicData>
            </a:graphic>
          </wp:inline>
        </w:drawing>
      </w:r>
    </w:p>
    <w:p w14:paraId="2E16A431" w14:textId="77777777" w:rsidR="00541A14" w:rsidRDefault="00DD420F">
      <w:pPr>
        <w:pStyle w:val="Default"/>
        <w:framePr w:w="1044" w:wrap="auto" w:vAnchor="page" w:hAnchor="page" w:x="1777" w:y="12657"/>
        <w:spacing w:after="2120"/>
        <w:rPr>
          <w:rFonts w:ascii="Arial" w:hAnsi="Arial" w:cs="Arial"/>
          <w:sz w:val="15"/>
          <w:szCs w:val="15"/>
        </w:rPr>
      </w:pPr>
      <w:r>
        <w:rPr>
          <w:rFonts w:ascii="Arial" w:hAnsi="Arial" w:cs="Arial"/>
          <w:noProof/>
          <w:sz w:val="15"/>
          <w:szCs w:val="15"/>
        </w:rPr>
        <w:drawing>
          <wp:inline distT="0" distB="0" distL="0" distR="0" wp14:anchorId="3912FF50" wp14:editId="28D961DA">
            <wp:extent cx="153035" cy="44323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53035" cy="443230"/>
                    </a:xfrm>
                    <a:prstGeom prst="rect">
                      <a:avLst/>
                    </a:prstGeom>
                    <a:noFill/>
                    <a:ln>
                      <a:noFill/>
                    </a:ln>
                  </pic:spPr>
                </pic:pic>
              </a:graphicData>
            </a:graphic>
          </wp:inline>
        </w:drawing>
      </w:r>
    </w:p>
    <w:p w14:paraId="35A5A678" w14:textId="77777777" w:rsidR="00541A14" w:rsidRDefault="00A450E1">
      <w:pPr>
        <w:pStyle w:val="CM163"/>
        <w:spacing w:after="642"/>
        <w:jc w:val="center"/>
        <w:rPr>
          <w:rFonts w:ascii="Palatino" w:hAnsi="Palatino" w:cs="Palatino"/>
          <w:color w:val="000000"/>
          <w:sz w:val="20"/>
          <w:szCs w:val="20"/>
        </w:rPr>
      </w:pPr>
      <w:r>
        <w:rPr>
          <w:rFonts w:ascii="Palatino" w:hAnsi="Palatino" w:cs="Palatino"/>
          <w:i/>
          <w:iCs/>
          <w:color w:val="000000"/>
          <w:sz w:val="20"/>
          <w:szCs w:val="20"/>
        </w:rPr>
        <w:t xml:space="preserve">Figure 17 - Ship to shore portion of the proposed e-Navigation architecture </w:t>
      </w:r>
    </w:p>
    <w:p w14:paraId="2EF02C0D" w14:textId="77777777" w:rsidR="00541A14" w:rsidRDefault="00541A14">
      <w:pPr>
        <w:pStyle w:val="CM100"/>
        <w:ind w:left="8357"/>
        <w:rPr>
          <w:rFonts w:ascii="Palatino" w:hAnsi="Palatino" w:cs="Palatino"/>
          <w:color w:val="000000"/>
          <w:sz w:val="20"/>
          <w:szCs w:val="20"/>
        </w:rPr>
      </w:pPr>
    </w:p>
    <w:p w14:paraId="4ED6BC1F"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368BAE1B" wp14:editId="27A30758">
            <wp:extent cx="227330" cy="113665"/>
            <wp:effectExtent l="0" t="0" r="127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1EFBE374"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345D8406" wp14:editId="029EB7D8">
            <wp:extent cx="823595" cy="113665"/>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4051AC16" w14:textId="77777777" w:rsidR="00541A14" w:rsidRDefault="00DD420F">
      <w:pPr>
        <w:pStyle w:val="Default"/>
        <w:pageBreakBefore/>
        <w:framePr w:w="12865" w:wrap="auto" w:vAnchor="page" w:hAnchor="page" w:x="101" w:y="1"/>
        <w:spacing w:after="820"/>
        <w:rPr>
          <w:rFonts w:ascii="Palatino" w:hAnsi="Palatino" w:cs="Palatino"/>
          <w:sz w:val="20"/>
          <w:szCs w:val="20"/>
        </w:rPr>
      </w:pPr>
      <w:r>
        <w:rPr>
          <w:rFonts w:ascii="Palatino" w:hAnsi="Palatino" w:cs="Palatino"/>
          <w:noProof/>
          <w:sz w:val="20"/>
          <w:szCs w:val="20"/>
        </w:rPr>
        <w:drawing>
          <wp:inline distT="0" distB="0" distL="0" distR="0" wp14:anchorId="1DFF8EE5" wp14:editId="7019AE39">
            <wp:extent cx="7553960" cy="1056640"/>
            <wp:effectExtent l="0" t="0" r="0" b="1016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1843A4C2"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4.7 Technology for e-Navigation </w:t>
      </w:r>
    </w:p>
    <w:p w14:paraId="76145501" w14:textId="77777777" w:rsidR="00541A14" w:rsidRDefault="00A450E1">
      <w:pPr>
        <w:pStyle w:val="CM172"/>
        <w:spacing w:after="202" w:line="293" w:lineRule="atLeast"/>
        <w:ind w:right="177"/>
        <w:rPr>
          <w:rFonts w:ascii="Palatino" w:hAnsi="Palatino" w:cs="Palatino"/>
          <w:color w:val="000000"/>
          <w:sz w:val="20"/>
          <w:szCs w:val="20"/>
        </w:rPr>
      </w:pPr>
      <w:r>
        <w:rPr>
          <w:rFonts w:ascii="Palatino" w:hAnsi="Palatino" w:cs="Palatino"/>
          <w:color w:val="000000"/>
          <w:sz w:val="20"/>
          <w:szCs w:val="20"/>
        </w:rPr>
        <w:t xml:space="preserve">Many sub-systems or components will have to be developed, enhanced or provided to realise the full integrated concept of e-Navigation. Crucial among these are Positioning, Navigation and Timing (PNT), communications and information systems. It should be noted that not all of the following technologies or systems will be needed within the e-Navigation concept. </w:t>
      </w:r>
    </w:p>
    <w:p w14:paraId="050DFFDA"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4.8 IALA Plan </w:t>
      </w:r>
    </w:p>
    <w:p w14:paraId="051D04A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IALA has developed a World Wide Radio Navigation Plan (WWRNP) aimed at providing the WWRNS to support e-Navigation. One key concept in this plan is the separation of the generation of correction data from the means of transmission, to facilitate broadcasting by a variety of methods. This could lead to the integration of terrestrial systems (DGNSS beacons, e-Loran, AIS) to provide shared data channels and common correction sources, as well as additional ranging signals, contributing to a </w:t>
      </w:r>
    </w:p>
    <w:p w14:paraId="4548EFF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redundant position-fixing solution, complementary to, but independent of GNSS. </w:t>
      </w:r>
    </w:p>
    <w:p w14:paraId="1A2B648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Future standards for position-fixing systems should be considered in the context of position-fixing </w:t>
      </w:r>
    </w:p>
    <w:p w14:paraId="0DBD2C13"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requirements for e-Navigation. This WWRNP could be the basis for a submission to IMO as a contribution to the WWRNS. The plan provides guidance to IALA members regarding potential future developments, which will enable members to identify areas requiring resource allocation and research activity. </w:t>
      </w:r>
    </w:p>
    <w:p w14:paraId="2D5086E2"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05534580" w14:textId="77777777" w:rsidR="00541A14" w:rsidRDefault="009E3F25">
      <w:pPr>
        <w:pStyle w:val="CM18"/>
        <w:ind w:left="300"/>
        <w:rPr>
          <w:rFonts w:ascii="Palatino" w:hAnsi="Palatino" w:cs="Palatino"/>
          <w:color w:val="000000"/>
          <w:sz w:val="20"/>
          <w:szCs w:val="20"/>
        </w:rPr>
      </w:pPr>
      <w:hyperlink r:id="rId213" w:history="1">
        <w:r w:rsidR="00A450E1">
          <w:rPr>
            <w:rFonts w:ascii="Palatino" w:hAnsi="Palatino" w:cs="Palatino"/>
            <w:i/>
            <w:iCs/>
            <w:color w:val="000000"/>
            <w:sz w:val="20"/>
            <w:szCs w:val="20"/>
          </w:rPr>
          <w:t xml:space="preserve">IALA Recommendation e-Nav-140 on e-Navigation Architecture. </w:t>
        </w:r>
      </w:hyperlink>
    </w:p>
    <w:p w14:paraId="669DF838" w14:textId="77777777" w:rsidR="00541A14" w:rsidRDefault="009E3F25">
      <w:pPr>
        <w:pStyle w:val="CM162"/>
        <w:spacing w:after="552" w:line="293" w:lineRule="atLeast"/>
        <w:ind w:left="300"/>
        <w:rPr>
          <w:rFonts w:ascii="Palatino" w:hAnsi="Palatino" w:cs="Palatino"/>
          <w:color w:val="000000"/>
          <w:sz w:val="20"/>
          <w:szCs w:val="20"/>
        </w:rPr>
      </w:pPr>
      <w:hyperlink r:id="rId214" w:history="1">
        <w:r w:rsidR="00A450E1">
          <w:rPr>
            <w:rFonts w:ascii="Palatino" w:hAnsi="Palatino" w:cs="Palatino"/>
            <w:i/>
            <w:iCs/>
            <w:color w:val="000000"/>
            <w:sz w:val="20"/>
            <w:szCs w:val="20"/>
          </w:rPr>
          <w:t xml:space="preserve">IALA Guideline 1072 on Aid to Navigation Information Exchange and Presentation. </w:t>
        </w:r>
      </w:hyperlink>
    </w:p>
    <w:p w14:paraId="55486970" w14:textId="77777777" w:rsidR="00541A14" w:rsidRDefault="00A450E1">
      <w:pPr>
        <w:pStyle w:val="CM173"/>
        <w:spacing w:after="340"/>
        <w:rPr>
          <w:rFonts w:ascii="Futura Book" w:hAnsi="Futura Book" w:cs="Futura Book"/>
          <w:color w:val="2C5062"/>
          <w:sz w:val="28"/>
          <w:szCs w:val="28"/>
        </w:rPr>
      </w:pPr>
      <w:r>
        <w:rPr>
          <w:rFonts w:ascii="Futura Book" w:hAnsi="Futura Book" w:cs="Futura Book"/>
          <w:b/>
          <w:bCs/>
          <w:color w:val="2C5062"/>
          <w:sz w:val="28"/>
          <w:szCs w:val="28"/>
        </w:rPr>
        <w:t xml:space="preserve">ELECTRONIC POSITION FIXING SYSTEMS </w:t>
      </w:r>
    </w:p>
    <w:p w14:paraId="5601D982"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4.9 Global Navigation Satellite Systems (GNSS) </w:t>
      </w:r>
    </w:p>
    <w:p w14:paraId="200238AE"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Global Navigation Satellite System (GNSS) is a generic term for a satellite system that provides a world-wide position determination, time and velocity capability, for multi-modal use.  </w:t>
      </w:r>
    </w:p>
    <w:p w14:paraId="104526A2"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GNSS is based on a constellation of active satellites, which continuously transmit coded signals in one or more frequency bands. These signals can be received by users anywhere on the earth’s surface to determine their position and velocity in real time, based on ranging measurements. </w:t>
      </w:r>
    </w:p>
    <w:p w14:paraId="47E7C9E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If a GNSS conforms to IMO Resolution A.953(23) for a World-Wide Radionavigation System </w:t>
      </w:r>
    </w:p>
    <w:p w14:paraId="22396D7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(WWRNS), the receivers of that GNSS will satisfy the IMO carriage requirements for position fixing </w:t>
      </w:r>
    </w:p>
    <w:p w14:paraId="10298A8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equipment referred to in Chapter V of the SOLAS Convention. </w:t>
      </w:r>
    </w:p>
    <w:p w14:paraId="24B45980"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Several Global Navigation Satellite Systems (GNSS) have been deployed, fully or partially, or are under development. </w:t>
      </w:r>
    </w:p>
    <w:p w14:paraId="35DA5207" w14:textId="77777777" w:rsidR="00541A14" w:rsidRDefault="00A450E1">
      <w:pPr>
        <w:pStyle w:val="CM163"/>
        <w:spacing w:after="642" w:line="291" w:lineRule="atLeast"/>
        <w:rPr>
          <w:rFonts w:ascii="Palatino" w:hAnsi="Palatino" w:cs="Palatino"/>
          <w:color w:val="000000"/>
          <w:sz w:val="20"/>
          <w:szCs w:val="20"/>
        </w:rPr>
      </w:pPr>
      <w:r>
        <w:rPr>
          <w:rFonts w:ascii="Palatino" w:hAnsi="Palatino" w:cs="Palatino"/>
          <w:color w:val="000000"/>
          <w:sz w:val="20"/>
          <w:szCs w:val="20"/>
        </w:rPr>
        <w:t xml:space="preserve">Since 1996, the US “Navstar” Global Positioning System (GPS) and the Russian Global Orbiting Navigation Satellite System (GLONASS) have been recognised as components of the WWRNS.  In the future, GNSS will include other systems such as the “GALILEO”, a system currently under construction by the European Union, and “COMPASS”, currently under construction by China. Furthermore, regional GNSS components like “QzSS” from Japan and IRNSS from India are planned to become operational in the next few years. </w:t>
      </w:r>
    </w:p>
    <w:p w14:paraId="138997CF"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20919BB2" w14:textId="77777777" w:rsidR="00541A14" w:rsidRDefault="00A450E1">
      <w:pPr>
        <w:pStyle w:val="CM101"/>
        <w:ind w:left="9640"/>
        <w:rPr>
          <w:rFonts w:ascii="Palatino" w:hAnsi="Palatino" w:cs="Palatino"/>
          <w:color w:val="000000"/>
          <w:sz w:val="23"/>
          <w:szCs w:val="23"/>
        </w:rPr>
      </w:pPr>
      <w:r>
        <w:rPr>
          <w:rFonts w:ascii="Palatino" w:hAnsi="Palatino" w:cs="Palatino"/>
          <w:b/>
          <w:bCs/>
          <w:i/>
          <w:iCs/>
          <w:color w:val="000000"/>
          <w:sz w:val="23"/>
          <w:szCs w:val="23"/>
        </w:rPr>
        <w:t xml:space="preserve">87 </w:t>
      </w:r>
    </w:p>
    <w:p w14:paraId="0D0EB7AF" w14:textId="77777777" w:rsidR="00541A14" w:rsidRDefault="00A450E1">
      <w:pPr>
        <w:pStyle w:val="CM178"/>
        <w:pageBreakBefore/>
        <w:spacing w:after="1397"/>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08A97B03"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4.9.1 GPS </w:t>
      </w:r>
    </w:p>
    <w:p w14:paraId="68E0CBA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The Global Positioning System, Standard Positioning Service</w:t>
      </w:r>
      <w:r>
        <w:rPr>
          <w:rFonts w:ascii="Palatino" w:hAnsi="Palatino" w:cs="Palatino"/>
          <w:color w:val="000000"/>
          <w:position w:val="7"/>
          <w:sz w:val="11"/>
          <w:szCs w:val="11"/>
          <w:vertAlign w:val="superscript"/>
        </w:rPr>
        <w:t>26</w:t>
      </w:r>
      <w:r>
        <w:rPr>
          <w:rFonts w:ascii="Palatino" w:hAnsi="Palatino" w:cs="Palatino"/>
          <w:color w:val="000000"/>
          <w:sz w:val="20"/>
          <w:szCs w:val="20"/>
        </w:rPr>
        <w:t xml:space="preserve"> (GPS SPS) is a three-dimensional positioning, three-dimensional velocity and time system that became fully operational in 1995. The system is operated by the United States Air Force on behalf of the United States Government. </w:t>
      </w:r>
    </w:p>
    <w:p w14:paraId="12F27E6C"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The U.S. Government provides two levels of GPS service. The Precise Positioning Service (PPS) provides full system accuracy to designated users. The Standard Positioning Service (SPS) provides accurate positioning to all users. </w:t>
      </w:r>
    </w:p>
    <w:p w14:paraId="7BE8AF2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GPS has three major segments: space, control, and user. The GPS Space Segment consists of a nominal constellation of 24 satellites in six orbital planes. The satellites operate in circular 20,200 km (10,900 nm) orbits at an inclination angle of 55 degrees and with a 12-hour period. </w:t>
      </w:r>
    </w:p>
    <w:p w14:paraId="289454A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GPS SPS is available on a non-discriminatory basis and free of direct user fees to all users </w:t>
      </w:r>
    </w:p>
    <w:p w14:paraId="5D80F45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with an appropriate receiver. The service satisfies the requirements for general navigation and </w:t>
      </w:r>
    </w:p>
    <w:p w14:paraId="372BA898"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harbour approach with a horizontal position accuracy of 9 metres (95% probability)</w:t>
      </w:r>
      <w:r>
        <w:rPr>
          <w:rFonts w:ascii="Palatino" w:hAnsi="Palatino" w:cs="Palatino"/>
          <w:color w:val="000000"/>
          <w:position w:val="7"/>
          <w:sz w:val="11"/>
          <w:szCs w:val="11"/>
          <w:vertAlign w:val="superscript"/>
        </w:rPr>
        <w:t>27</w:t>
      </w:r>
      <w:r>
        <w:rPr>
          <w:rFonts w:ascii="Palatino" w:hAnsi="Palatino" w:cs="Palatino"/>
          <w:color w:val="000000"/>
          <w:sz w:val="20"/>
          <w:szCs w:val="20"/>
        </w:rPr>
        <w:t xml:space="preserve">. </w:t>
      </w:r>
    </w:p>
    <w:p w14:paraId="20EF9F0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GPS receivers, in combination with other equipment, are able to provide: </w:t>
      </w:r>
    </w:p>
    <w:p w14:paraId="23B44774" w14:textId="77777777" w:rsidR="00541A14" w:rsidRDefault="00A450E1">
      <w:pPr>
        <w:pStyle w:val="Default"/>
        <w:numPr>
          <w:ilvl w:val="0"/>
          <w:numId w:val="98"/>
        </w:numPr>
        <w:rPr>
          <w:rFonts w:ascii="Palatino" w:hAnsi="Palatino" w:cs="Palatino"/>
          <w:sz w:val="20"/>
          <w:szCs w:val="20"/>
        </w:rPr>
      </w:pPr>
      <w:r>
        <w:rPr>
          <w:rFonts w:ascii="Palatino" w:hAnsi="Palatino" w:cs="Palatino"/>
          <w:sz w:val="20"/>
          <w:szCs w:val="20"/>
        </w:rPr>
        <w:t xml:space="preserve">absolute positioning; </w:t>
      </w:r>
    </w:p>
    <w:p w14:paraId="5625EF4D" w14:textId="77777777" w:rsidR="00541A14" w:rsidRDefault="00A450E1">
      <w:pPr>
        <w:pStyle w:val="Default"/>
        <w:numPr>
          <w:ilvl w:val="0"/>
          <w:numId w:val="98"/>
        </w:numPr>
        <w:rPr>
          <w:rFonts w:ascii="Palatino" w:hAnsi="Palatino" w:cs="Palatino"/>
          <w:sz w:val="20"/>
          <w:szCs w:val="20"/>
        </w:rPr>
      </w:pPr>
      <w:r>
        <w:rPr>
          <w:rFonts w:ascii="Palatino" w:hAnsi="Palatino" w:cs="Palatino"/>
          <w:sz w:val="20"/>
          <w:szCs w:val="20"/>
        </w:rPr>
        <w:t xml:space="preserve">relative positioning (this can be further processed to derive speed over ground (SOG) , course </w:t>
      </w:r>
    </w:p>
    <w:p w14:paraId="085A45BA" w14:textId="77777777" w:rsidR="00541A14" w:rsidRDefault="00541A14">
      <w:pPr>
        <w:pStyle w:val="Default"/>
        <w:rPr>
          <w:rFonts w:ascii="Palatino" w:hAnsi="Palatino" w:cs="Palatino"/>
          <w:sz w:val="20"/>
          <w:szCs w:val="20"/>
        </w:rPr>
      </w:pPr>
    </w:p>
    <w:p w14:paraId="0A31A181"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over ground (COG), etc.); and </w:t>
      </w:r>
    </w:p>
    <w:p w14:paraId="2D0D766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 timing. </w:t>
      </w:r>
    </w:p>
    <w:p w14:paraId="78852603"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This information may refer to a stationary observer (static positioning) or to a moving observer (kinematic positioning). </w:t>
      </w:r>
    </w:p>
    <w:p w14:paraId="271028F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There are 31 usable satellites in the constellation at present. A modernization program aims to improve the accuracy and availability for all users and involves new ground stations, new satellites, and four additional navigation signals: three new civilian signals known as L2C, L5 and L1C and a new military code called M-Code. Full Operational Capability of the L2C code is not expected before 2014 and for L5 before 2016. </w:t>
      </w:r>
    </w:p>
    <w:p w14:paraId="31FF761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next generation of satellites, GPS III, is in its definition phase (timeframe to 2021). </w:t>
      </w:r>
    </w:p>
    <w:p w14:paraId="3062810A"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Further information on GPS can be found on the USCG NAVCEN website: </w:t>
      </w:r>
      <w:hyperlink r:id="rId215" w:history="1">
        <w:r>
          <w:rPr>
            <w:rFonts w:ascii="Palatino" w:hAnsi="Palatino" w:cs="Palatino"/>
            <w:color w:val="000000"/>
            <w:sz w:val="20"/>
            <w:szCs w:val="20"/>
          </w:rPr>
          <w:t xml:space="preserve">www.navcen.uscg.gov </w:t>
        </w:r>
      </w:hyperlink>
      <w:r>
        <w:rPr>
          <w:rFonts w:ascii="Palatino" w:hAnsi="Palatino" w:cs="Palatino"/>
          <w:color w:val="000000"/>
          <w:sz w:val="20"/>
          <w:szCs w:val="20"/>
        </w:rPr>
        <w:t xml:space="preserve">The website also has a link to the latest United States Federal Radionavigation Plan that provides a comprehensive account of current and future developments for GPS. </w:t>
      </w:r>
    </w:p>
    <w:p w14:paraId="4DFD1BF2"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4.9.2 GLONASS </w:t>
      </w:r>
    </w:p>
    <w:p w14:paraId="0225FF6A"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The Global Navigation Satellite System (GLONASS) is a three-dimensional positioning, velocity and time system managed by the Russian Space Agency for the Russian Federation. </w:t>
      </w:r>
    </w:p>
    <w:p w14:paraId="06C43996" w14:textId="77777777" w:rsidR="00541A14" w:rsidRDefault="00A450E1">
      <w:pPr>
        <w:pStyle w:val="CM163"/>
        <w:spacing w:after="642" w:line="293" w:lineRule="atLeast"/>
        <w:ind w:right="327"/>
        <w:rPr>
          <w:rFonts w:ascii="Palatino" w:hAnsi="Palatino" w:cs="Palatino"/>
          <w:color w:val="000000"/>
          <w:sz w:val="20"/>
          <w:szCs w:val="20"/>
        </w:rPr>
      </w:pPr>
      <w:r>
        <w:rPr>
          <w:rFonts w:ascii="Palatino" w:hAnsi="Palatino" w:cs="Palatino"/>
          <w:color w:val="000000"/>
          <w:sz w:val="20"/>
          <w:szCs w:val="20"/>
        </w:rPr>
        <w:t>GLONASS has a similar potential user community to GPS SPS. It is available on a non</w:t>
      </w:r>
      <w:r>
        <w:rPr>
          <w:rFonts w:ascii="Palatino" w:hAnsi="Palatino" w:cs="Palatino"/>
          <w:color w:val="000000"/>
          <w:sz w:val="20"/>
          <w:szCs w:val="20"/>
        </w:rPr>
        <w:softHyphen/>
        <w:t xml:space="preserve">discriminatory basis and free of direct user fees to all users with an appropriate receiver. With </w:t>
      </w:r>
    </w:p>
    <w:p w14:paraId="30E1EC30" w14:textId="77777777" w:rsidR="00541A14" w:rsidRDefault="00A450E1">
      <w:pPr>
        <w:pStyle w:val="CM165"/>
        <w:spacing w:after="85" w:line="216" w:lineRule="atLeast"/>
        <w:ind w:left="847" w:right="295"/>
        <w:jc w:val="both"/>
        <w:rPr>
          <w:rFonts w:ascii="Palatino" w:hAnsi="Palatino" w:cs="Palatino"/>
          <w:color w:val="000000"/>
          <w:sz w:val="20"/>
          <w:szCs w:val="20"/>
        </w:rPr>
      </w:pPr>
      <w:r>
        <w:rPr>
          <w:rFonts w:ascii="Palatino" w:hAnsi="Palatino" w:cs="Palatino"/>
          <w:color w:val="000000"/>
          <w:position w:val="6"/>
          <w:sz w:val="20"/>
          <w:szCs w:val="20"/>
          <w:vertAlign w:val="superscript"/>
        </w:rPr>
        <w:t>26</w:t>
      </w:r>
      <w:r>
        <w:rPr>
          <w:rFonts w:ascii="Palatino" w:hAnsi="Palatino" w:cs="Palatino"/>
          <w:color w:val="000000"/>
          <w:sz w:val="20"/>
          <w:szCs w:val="20"/>
        </w:rPr>
        <w:t xml:space="preserve">The Standard Positioning Service is the one available to civilian and commercial users. A Precise PositioningService (PPS) is also provided for the US Military Services. </w:t>
      </w:r>
    </w:p>
    <w:p w14:paraId="662EBCDA" w14:textId="77777777" w:rsidR="00541A14" w:rsidRDefault="00A450E1">
      <w:pPr>
        <w:pStyle w:val="CM163"/>
        <w:spacing w:after="642"/>
        <w:ind w:left="850"/>
        <w:jc w:val="both"/>
        <w:rPr>
          <w:rFonts w:ascii="Palatino" w:hAnsi="Palatino" w:cs="Palatino"/>
          <w:color w:val="000000"/>
          <w:sz w:val="20"/>
          <w:szCs w:val="20"/>
        </w:rPr>
      </w:pPr>
      <w:r>
        <w:rPr>
          <w:rFonts w:ascii="Palatino" w:hAnsi="Palatino" w:cs="Palatino"/>
          <w:color w:val="000000"/>
          <w:position w:val="6"/>
          <w:sz w:val="20"/>
          <w:szCs w:val="20"/>
          <w:vertAlign w:val="superscript"/>
        </w:rPr>
        <w:t>27</w:t>
      </w:r>
      <w:r>
        <w:rPr>
          <w:rFonts w:ascii="Palatino" w:hAnsi="Palatino" w:cs="Palatino"/>
          <w:color w:val="000000"/>
          <w:sz w:val="20"/>
          <w:szCs w:val="20"/>
        </w:rPr>
        <w:t xml:space="preserve">GPS SPS Performance Standard, 2008. </w:t>
      </w:r>
    </w:p>
    <w:p w14:paraId="2A0FD678" w14:textId="77777777" w:rsidR="00541A14" w:rsidRDefault="00541A14">
      <w:pPr>
        <w:pStyle w:val="Default"/>
        <w:ind w:left="8357"/>
        <w:jc w:val="both"/>
        <w:rPr>
          <w:rFonts w:ascii="Palatino" w:hAnsi="Palatino" w:cs="Palatino"/>
          <w:sz w:val="20"/>
          <w:szCs w:val="20"/>
        </w:rPr>
      </w:pPr>
    </w:p>
    <w:p w14:paraId="3CA37E87"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243DB90B" wp14:editId="6EF0AA0B">
            <wp:extent cx="227330" cy="113665"/>
            <wp:effectExtent l="0" t="0" r="127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6739DF13"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21B85A0A" wp14:editId="3862F6CB">
            <wp:extent cx="823595" cy="11366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322FDA88" w14:textId="77777777" w:rsidR="00541A14" w:rsidRDefault="00DD420F">
      <w:pPr>
        <w:pStyle w:val="Default"/>
        <w:pageBreakBefore/>
        <w:framePr w:w="12865" w:wrap="auto" w:vAnchor="page" w:hAnchor="page" w:x="101" w:y="1"/>
        <w:spacing w:after="840"/>
        <w:rPr>
          <w:rFonts w:ascii="Palatino" w:hAnsi="Palatino" w:cs="Palatino"/>
          <w:sz w:val="20"/>
          <w:szCs w:val="20"/>
        </w:rPr>
      </w:pPr>
      <w:r>
        <w:rPr>
          <w:rFonts w:ascii="Palatino" w:hAnsi="Palatino" w:cs="Palatino"/>
          <w:noProof/>
          <w:sz w:val="20"/>
          <w:szCs w:val="20"/>
        </w:rPr>
        <w:drawing>
          <wp:inline distT="0" distB="0" distL="0" distR="0" wp14:anchorId="47A29653" wp14:editId="436DBA0E">
            <wp:extent cx="7553960" cy="1056640"/>
            <wp:effectExtent l="0" t="0" r="0" b="1016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70DF6C32"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a full complement of 24 satellites, the service would satisfy the requirements for general navigation and give a horizontal position accuracy of 45 metres (95% probability). Further satellite launches planned for 2009-10 would be expected to restore the full complement of satellites. </w:t>
      </w:r>
    </w:p>
    <w:p w14:paraId="46469D5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Recent launches have included the improved GLONASS M satellites with a second civil signal. The new GLONASS-K with a third civil signal on L3, was due to start launching in 2009. It will also carry differential corrections, integrity information and search and rescue functions. Present satellites use Frequency Division Multiple Access, but the future GLONASS K-M system, which </w:t>
      </w:r>
    </w:p>
    <w:p w14:paraId="1E100BD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is at the requirement definition stage, is planned to include a code division multiple access </w:t>
      </w:r>
    </w:p>
    <w:p w14:paraId="68A432F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(CDMA) signal, inter-operable with GPS. </w:t>
      </w:r>
    </w:p>
    <w:p w14:paraId="7E4510F6" w14:textId="77777777" w:rsidR="00541A14" w:rsidRDefault="00A450E1">
      <w:pPr>
        <w:pStyle w:val="CM173"/>
        <w:spacing w:after="340" w:line="291" w:lineRule="atLeast"/>
        <w:ind w:right="107"/>
        <w:rPr>
          <w:rFonts w:ascii="Palatino" w:hAnsi="Palatino" w:cs="Palatino"/>
          <w:color w:val="000000"/>
          <w:sz w:val="20"/>
          <w:szCs w:val="20"/>
        </w:rPr>
      </w:pPr>
      <w:r>
        <w:rPr>
          <w:rFonts w:ascii="Palatino" w:hAnsi="Palatino" w:cs="Palatino"/>
          <w:color w:val="000000"/>
          <w:sz w:val="20"/>
          <w:szCs w:val="20"/>
        </w:rPr>
        <w:t xml:space="preserve">Further information on GLONASS and future developments can be found on the Russian Space Agency, Information Analytical Centre website: www.glonass-ianc.rsa.ru </w:t>
      </w:r>
    </w:p>
    <w:p w14:paraId="3AA8B3A4"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4.9.3 Galileo </w:t>
      </w:r>
    </w:p>
    <w:p w14:paraId="7500613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Galileo, the future European satellite navigation system, will be under civilian control. </w:t>
      </w:r>
    </w:p>
    <w:p w14:paraId="2A9F1FA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Galileo is expected to have a constellation of 30 satellites, of which 27 will be operational, with three active spares. These will be positioned in a Medium Earth Orbit (MEO) with an inclination of 56</w:t>
      </w:r>
      <w:r>
        <w:rPr>
          <w:rFonts w:ascii="Palatino" w:hAnsi="Palatino" w:cs="Palatino"/>
          <w:color w:val="000000"/>
          <w:position w:val="7"/>
          <w:sz w:val="11"/>
          <w:szCs w:val="11"/>
          <w:vertAlign w:val="superscript"/>
        </w:rPr>
        <w:t>o</w:t>
      </w:r>
      <w:r>
        <w:rPr>
          <w:rFonts w:ascii="Palatino" w:hAnsi="Palatino" w:cs="Palatino"/>
          <w:color w:val="000000"/>
          <w:sz w:val="20"/>
          <w:szCs w:val="20"/>
        </w:rPr>
        <w:t xml:space="preserve"> to the equator. These satellites will provide dual frequencies as standard, enabling users to calculate their positions with metre level accuracy. </w:t>
      </w:r>
    </w:p>
    <w:p w14:paraId="358E100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Galileo will provide five levels of service, each with their own performance standards: Open </w:t>
      </w:r>
    </w:p>
    <w:p w14:paraId="2609A586"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Service (OS), Safety-of-Life Service (SoL), Commercial Service (CS), Public Regulated Service (PRS) and Search and Rescue Service (SAR).  Galileo is expected to provide timely warnings of integrity failure, within a few seconds.  Among its novel features will be a system to relay distress messages to COSPAS-SARSAT service centres, while keeping the user informed. </w:t>
      </w:r>
    </w:p>
    <w:p w14:paraId="5B1FDC5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Two test-bed satellites, GIOVE A and GIOVE B are in orbit, providing signals for test purposes, </w:t>
      </w:r>
    </w:p>
    <w:p w14:paraId="7056086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including navigation signals. The first launch of an operational Galileo satellite is scheduled for </w:t>
      </w:r>
    </w:p>
    <w:p w14:paraId="2F8DDDE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2010 and full operational capacity is planned for 2013. Agreement has been reached with the </w:t>
      </w:r>
    </w:p>
    <w:p w14:paraId="708658C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U.S. on interoperability and cooperation with GPS. </w:t>
      </w:r>
    </w:p>
    <w:p w14:paraId="6D07D7A6" w14:textId="77777777" w:rsidR="00541A14" w:rsidRDefault="00A450E1">
      <w:pPr>
        <w:pStyle w:val="CM173"/>
        <w:spacing w:after="340" w:line="293" w:lineRule="atLeast"/>
        <w:ind w:right="570"/>
        <w:rPr>
          <w:rFonts w:ascii="Palatino" w:hAnsi="Palatino" w:cs="Palatino"/>
          <w:color w:val="000000"/>
          <w:sz w:val="20"/>
          <w:szCs w:val="20"/>
        </w:rPr>
      </w:pPr>
      <w:r>
        <w:rPr>
          <w:rFonts w:ascii="Palatino" w:hAnsi="Palatino" w:cs="Palatino"/>
          <w:color w:val="000000"/>
          <w:sz w:val="20"/>
          <w:szCs w:val="20"/>
        </w:rPr>
        <w:t xml:space="preserve">Further information on Galileo can be found on the Internet at: </w:t>
      </w:r>
      <w:hyperlink r:id="rId216" w:history="1">
        <w:r>
          <w:rPr>
            <w:rFonts w:ascii="Palatino" w:hAnsi="Palatino" w:cs="Palatino"/>
            <w:color w:val="000000"/>
            <w:sz w:val="20"/>
            <w:szCs w:val="20"/>
          </w:rPr>
          <w:t xml:space="preserve">europa.eu.int/comm/dgs/ </w:t>
        </w:r>
      </w:hyperlink>
      <w:hyperlink r:id="rId217" w:history="1">
        <w:r>
          <w:rPr>
            <w:rFonts w:ascii="Palatino" w:hAnsi="Palatino" w:cs="Palatino"/>
            <w:color w:val="000000"/>
            <w:sz w:val="20"/>
            <w:szCs w:val="20"/>
          </w:rPr>
          <w:t xml:space="preserve">energy_transport/galileo </w:t>
        </w:r>
      </w:hyperlink>
    </w:p>
    <w:p w14:paraId="60E8FF1A"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4.9.4 Beidou/Compass </w:t>
      </w:r>
    </w:p>
    <w:p w14:paraId="658F75C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China is currently engaged in the development of a global system, complemented by a regional </w:t>
      </w:r>
    </w:p>
    <w:p w14:paraId="4BA5BA9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component. The first four COMPASS satellites were GEOs (Geo-stationary Orbit).  Then, in April 2007, the first MEO (Medium Earth Orbit) was launched. </w:t>
      </w:r>
    </w:p>
    <w:p w14:paraId="2FF328C4" w14:textId="77777777" w:rsidR="00541A14" w:rsidRDefault="00A450E1">
      <w:pPr>
        <w:pStyle w:val="CM171"/>
        <w:spacing w:after="1167" w:line="291" w:lineRule="atLeast"/>
        <w:rPr>
          <w:rFonts w:ascii="Palatino" w:hAnsi="Palatino" w:cs="Palatino"/>
          <w:color w:val="000000"/>
          <w:sz w:val="20"/>
          <w:szCs w:val="20"/>
        </w:rPr>
      </w:pPr>
      <w:r>
        <w:rPr>
          <w:rFonts w:ascii="Palatino" w:hAnsi="Palatino" w:cs="Palatino"/>
          <w:color w:val="000000"/>
          <w:sz w:val="20"/>
          <w:szCs w:val="20"/>
        </w:rPr>
        <w:t xml:space="preserve">The system currently uses two GEOs, with a third as a backup, to provide 100 m horizontal accuracy. Beidou 2 may be a full 30 MEO constellation, or 4 GEOs and 12 MEOs, or some other combination of MEOs, GEOs and inclined geo-stationary orbit satellites (IGSO), with a proposed operational date of 2015. </w:t>
      </w:r>
    </w:p>
    <w:p w14:paraId="1E6FA3BF"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3BE9A73C" w14:textId="77777777" w:rsidR="00541A14" w:rsidRDefault="00A450E1">
      <w:pPr>
        <w:pStyle w:val="CM101"/>
        <w:ind w:left="9640"/>
        <w:rPr>
          <w:rFonts w:ascii="Palatino" w:hAnsi="Palatino" w:cs="Palatino"/>
          <w:color w:val="000000"/>
          <w:sz w:val="23"/>
          <w:szCs w:val="23"/>
        </w:rPr>
      </w:pPr>
      <w:r>
        <w:rPr>
          <w:rFonts w:ascii="Palatino" w:hAnsi="Palatino" w:cs="Palatino"/>
          <w:b/>
          <w:bCs/>
          <w:i/>
          <w:iCs/>
          <w:color w:val="000000"/>
          <w:sz w:val="23"/>
          <w:szCs w:val="23"/>
        </w:rPr>
        <w:t xml:space="preserve">89 </w:t>
      </w:r>
    </w:p>
    <w:p w14:paraId="0DC18244" w14:textId="77777777" w:rsidR="00541A14" w:rsidRDefault="00A450E1">
      <w:pPr>
        <w:pStyle w:val="CM178"/>
        <w:pageBreakBefore/>
        <w:spacing w:after="1397"/>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53AF1988"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4.9.5 QZSS </w:t>
      </w:r>
    </w:p>
    <w:p w14:paraId="7F73646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Japan is developing a Quasi-zenith Satellite System (QzSS). QzSS is based on 3 satellites in highly elliptical, inclined orbits guaranteeing one satellite always in visibility of Japan with a minimum elevation angle of 60 degrees. Each satellite will transmit 6 signals in the L-band: 3 in L1, one in E6, one in L2 and one in L5. </w:t>
      </w:r>
    </w:p>
    <w:p w14:paraId="08DF8FC6" w14:textId="77777777" w:rsidR="00541A14" w:rsidRDefault="00A450E1">
      <w:pPr>
        <w:pStyle w:val="CM173"/>
        <w:spacing w:after="340" w:line="293" w:lineRule="atLeast"/>
        <w:ind w:right="177"/>
        <w:rPr>
          <w:rFonts w:ascii="Palatino" w:hAnsi="Palatino" w:cs="Palatino"/>
          <w:color w:val="000000"/>
          <w:sz w:val="20"/>
          <w:szCs w:val="20"/>
        </w:rPr>
      </w:pPr>
      <w:r>
        <w:rPr>
          <w:rFonts w:ascii="Palatino" w:hAnsi="Palatino" w:cs="Palatino"/>
          <w:color w:val="000000"/>
          <w:sz w:val="20"/>
          <w:szCs w:val="20"/>
        </w:rPr>
        <w:t xml:space="preserve">One of the signals aims to provide sub-metre accuracy and integrity while maintaining compatibility with SBAS. The signal in E6 aims to support a commercial service with high data rate (2 kbps). The other signals are GPS-like signals, including L2C and L1C standards. </w:t>
      </w:r>
    </w:p>
    <w:p w14:paraId="039B5602"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4.9.6 IRNSS </w:t>
      </w:r>
    </w:p>
    <w:p w14:paraId="793F2B3E"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 xml:space="preserve">The Indian Regional Navigational Satellite System (IRNSS) will be an independent navigation system covering the Indian region through a space segment of 3 GEO satellites and 4 IGSO satellites. The inclination of the orbital plane of the IGSO satellites is low, so that all the satellites can be seen </w:t>
      </w:r>
    </w:p>
    <w:p w14:paraId="076AE34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simultaneously over India. It is planned to launch the first IRNSS satellite in 2009, with system </w:t>
      </w:r>
    </w:p>
    <w:p w14:paraId="2A9E217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completion by 2011. </w:t>
      </w:r>
    </w:p>
    <w:p w14:paraId="0F75AF3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Three IRNSS services are anticipated: </w:t>
      </w:r>
    </w:p>
    <w:p w14:paraId="30CE94B0" w14:textId="77777777" w:rsidR="00541A14" w:rsidRDefault="00A450E1">
      <w:pPr>
        <w:pStyle w:val="Default"/>
        <w:numPr>
          <w:ilvl w:val="0"/>
          <w:numId w:val="99"/>
        </w:numPr>
        <w:rPr>
          <w:rFonts w:ascii="Palatino" w:hAnsi="Palatino" w:cs="Palatino"/>
          <w:sz w:val="20"/>
          <w:szCs w:val="20"/>
        </w:rPr>
      </w:pPr>
      <w:r>
        <w:rPr>
          <w:rFonts w:ascii="Palatino" w:hAnsi="Palatino" w:cs="Palatino"/>
          <w:sz w:val="20"/>
          <w:szCs w:val="20"/>
        </w:rPr>
        <w:t xml:space="preserve">Open Service using signals in the L5 and S bands. </w:t>
      </w:r>
    </w:p>
    <w:p w14:paraId="002AEC06" w14:textId="77777777" w:rsidR="00541A14" w:rsidRDefault="00A450E1">
      <w:pPr>
        <w:pStyle w:val="Default"/>
        <w:numPr>
          <w:ilvl w:val="0"/>
          <w:numId w:val="99"/>
        </w:numPr>
        <w:rPr>
          <w:rFonts w:ascii="Palatino" w:hAnsi="Palatino" w:cs="Palatino"/>
          <w:sz w:val="20"/>
          <w:szCs w:val="20"/>
        </w:rPr>
      </w:pPr>
      <w:r>
        <w:rPr>
          <w:rFonts w:ascii="Palatino" w:hAnsi="Palatino" w:cs="Palatino"/>
          <w:sz w:val="20"/>
          <w:szCs w:val="20"/>
        </w:rPr>
        <w:t xml:space="preserve">Precise Positioning Service using signals in the L5 and S bands. </w:t>
      </w:r>
    </w:p>
    <w:p w14:paraId="09AD4B9E" w14:textId="77777777" w:rsidR="00541A14" w:rsidRDefault="00A450E1">
      <w:pPr>
        <w:pStyle w:val="Default"/>
        <w:numPr>
          <w:ilvl w:val="0"/>
          <w:numId w:val="99"/>
        </w:numPr>
        <w:rPr>
          <w:rFonts w:ascii="Palatino" w:hAnsi="Palatino" w:cs="Palatino"/>
          <w:sz w:val="20"/>
          <w:szCs w:val="20"/>
        </w:rPr>
      </w:pPr>
      <w:r>
        <w:rPr>
          <w:rFonts w:ascii="Palatino" w:hAnsi="Palatino" w:cs="Palatino"/>
          <w:sz w:val="20"/>
          <w:szCs w:val="20"/>
        </w:rPr>
        <w:t xml:space="preserve">Restricted Access Service using signals in the L5 band only. </w:t>
      </w:r>
    </w:p>
    <w:p w14:paraId="583AB108" w14:textId="77777777" w:rsidR="00541A14" w:rsidRDefault="00541A14">
      <w:pPr>
        <w:pStyle w:val="Default"/>
        <w:rPr>
          <w:rFonts w:ascii="Palatino" w:hAnsi="Palatino" w:cs="Palatino"/>
          <w:sz w:val="20"/>
          <w:szCs w:val="20"/>
        </w:rPr>
      </w:pPr>
    </w:p>
    <w:p w14:paraId="5EA676CE" w14:textId="77777777" w:rsidR="00541A14" w:rsidRDefault="00A450E1">
      <w:pPr>
        <w:pStyle w:val="CM173"/>
        <w:spacing w:after="340" w:line="293" w:lineRule="atLeast"/>
        <w:ind w:right="245"/>
        <w:rPr>
          <w:rFonts w:ascii="Palatino" w:hAnsi="Palatino" w:cs="Palatino"/>
          <w:color w:val="000000"/>
          <w:sz w:val="20"/>
          <w:szCs w:val="20"/>
        </w:rPr>
      </w:pPr>
      <w:r>
        <w:rPr>
          <w:rFonts w:ascii="Palatino" w:hAnsi="Palatino" w:cs="Palatino"/>
          <w:color w:val="000000"/>
          <w:sz w:val="20"/>
          <w:szCs w:val="20"/>
        </w:rPr>
        <w:t xml:space="preserve">The Open and Precise services target dual frequency users but it is also intended to compute and broadcast ionosphere-corrections to support single frequency users. Owing to the limited coverage of the IRNSS network of reference stations the satellites will, apart from the navigation payload, also include a dedicated C-band uplink/down-link ranging payload to support precise satellite orbit determination. </w:t>
      </w:r>
    </w:p>
    <w:p w14:paraId="3328B7DF"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4.10 Differential GNSS </w:t>
      </w:r>
    </w:p>
    <w:p w14:paraId="3C22A33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Differential GNSS is an augmentation system for providing integrity and reducing the errors in the GNSS signals within a given area. The process involves comparing the accurately surveyed position of the DGNSS Reference Station with positions determined from the GNSS satellites in view. Messages containing positional errors and satellite integrity (health) information are broadcast for users equipped with appropriate receivers. The result for the user is: </w:t>
      </w:r>
    </w:p>
    <w:p w14:paraId="17DCD146" w14:textId="77777777" w:rsidR="00541A14" w:rsidRDefault="00A450E1">
      <w:pPr>
        <w:pStyle w:val="Default"/>
        <w:numPr>
          <w:ilvl w:val="0"/>
          <w:numId w:val="100"/>
        </w:numPr>
        <w:rPr>
          <w:rFonts w:ascii="Palatino" w:hAnsi="Palatino" w:cs="Palatino"/>
          <w:sz w:val="20"/>
          <w:szCs w:val="20"/>
        </w:rPr>
      </w:pPr>
      <w:r>
        <w:rPr>
          <w:rFonts w:ascii="Palatino" w:hAnsi="Palatino" w:cs="Palatino"/>
          <w:sz w:val="20"/>
          <w:szCs w:val="20"/>
        </w:rPr>
        <w:t xml:space="preserve">enhanced positional accuracy within the service area, and; </w:t>
      </w:r>
    </w:p>
    <w:p w14:paraId="0D551ECF" w14:textId="77777777" w:rsidR="00541A14" w:rsidRDefault="00A450E1">
      <w:pPr>
        <w:pStyle w:val="Default"/>
        <w:numPr>
          <w:ilvl w:val="0"/>
          <w:numId w:val="100"/>
        </w:numPr>
        <w:rPr>
          <w:rFonts w:ascii="Palatino" w:hAnsi="Palatino" w:cs="Palatino"/>
          <w:sz w:val="20"/>
          <w:szCs w:val="20"/>
        </w:rPr>
      </w:pPr>
      <w:r>
        <w:rPr>
          <w:rFonts w:ascii="Palatino" w:hAnsi="Palatino" w:cs="Palatino"/>
          <w:sz w:val="20"/>
          <w:szCs w:val="20"/>
        </w:rPr>
        <w:t xml:space="preserve">almost immediate notification of faulty satellites (compared with up to two hours for GPS). </w:t>
      </w:r>
    </w:p>
    <w:p w14:paraId="158B9D67" w14:textId="77777777" w:rsidR="00541A14" w:rsidRDefault="00541A14">
      <w:pPr>
        <w:pStyle w:val="Default"/>
        <w:rPr>
          <w:rFonts w:ascii="Palatino" w:hAnsi="Palatino" w:cs="Palatino"/>
          <w:sz w:val="20"/>
          <w:szCs w:val="20"/>
        </w:rPr>
      </w:pPr>
    </w:p>
    <w:p w14:paraId="282246B8"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In addition to GPS and GLONASS, the DGNSS augmentation system will be able to provide similar advantages to future GNSS signals (e.g. Galileo OS signals). </w:t>
      </w:r>
    </w:p>
    <w:p w14:paraId="45FFD391" w14:textId="77777777" w:rsidR="00541A14" w:rsidRDefault="00A450E1">
      <w:pPr>
        <w:pStyle w:val="CM178"/>
        <w:spacing w:after="1397" w:line="291" w:lineRule="atLeast"/>
        <w:ind w:right="107"/>
        <w:rPr>
          <w:rFonts w:ascii="Palatino" w:hAnsi="Palatino" w:cs="Palatino"/>
          <w:color w:val="000000"/>
          <w:sz w:val="20"/>
          <w:szCs w:val="20"/>
        </w:rPr>
      </w:pPr>
      <w:r>
        <w:rPr>
          <w:rFonts w:ascii="Palatino" w:hAnsi="Palatino" w:cs="Palatino"/>
          <w:color w:val="000000"/>
          <w:sz w:val="20"/>
          <w:szCs w:val="20"/>
        </w:rPr>
        <w:t xml:space="preserve">DGNSS services can be provided from Ground based augmentation systems (GBAS) using terrestrial transmitters such as the IALA beacon system and AIS or from Satellite Based Augmentation Systems (SBAS). </w:t>
      </w:r>
    </w:p>
    <w:p w14:paraId="02642989" w14:textId="77777777" w:rsidR="00541A14" w:rsidRDefault="00541A14">
      <w:pPr>
        <w:pStyle w:val="CM100"/>
        <w:ind w:left="8357"/>
        <w:rPr>
          <w:rFonts w:ascii="Palatino" w:hAnsi="Palatino" w:cs="Palatino"/>
          <w:color w:val="000000"/>
          <w:sz w:val="20"/>
          <w:szCs w:val="20"/>
        </w:rPr>
      </w:pPr>
    </w:p>
    <w:p w14:paraId="579A27A9"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638784FF" wp14:editId="610629A3">
            <wp:extent cx="227330" cy="113665"/>
            <wp:effectExtent l="0" t="0" r="127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4FF075C2"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44784DD9" wp14:editId="564F4C6E">
            <wp:extent cx="823595" cy="1136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56E26B84" w14:textId="77777777" w:rsidR="00541A14" w:rsidRDefault="00DD420F">
      <w:pPr>
        <w:pStyle w:val="Default"/>
        <w:pageBreakBefore/>
        <w:framePr w:w="12865" w:wrap="auto" w:vAnchor="page" w:hAnchor="page" w:x="101" w:y="1"/>
        <w:spacing w:after="880"/>
        <w:rPr>
          <w:rFonts w:ascii="Palatino" w:hAnsi="Palatino" w:cs="Palatino"/>
          <w:sz w:val="20"/>
          <w:szCs w:val="20"/>
        </w:rPr>
      </w:pPr>
      <w:r>
        <w:rPr>
          <w:rFonts w:ascii="Palatino" w:hAnsi="Palatino" w:cs="Palatino"/>
          <w:noProof/>
          <w:sz w:val="20"/>
          <w:szCs w:val="20"/>
        </w:rPr>
        <w:drawing>
          <wp:inline distT="0" distB="0" distL="0" distR="0" wp14:anchorId="3B34068E" wp14:editId="55EC5352">
            <wp:extent cx="7553960" cy="1056640"/>
            <wp:effectExtent l="0" t="0" r="0" b="1016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47439134"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4.10.1 IALA Beacon DGNSS </w:t>
      </w:r>
    </w:p>
    <w:p w14:paraId="06264119"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The internationally accepted method of providing DGNSS corrections to maritime users is by local broadcast stations transmitting non-encrypted corrections on frequencies within the maritime radionavigation band (283.5 to 325 kHz)</w:t>
      </w:r>
      <w:r>
        <w:rPr>
          <w:rFonts w:ascii="Palatino" w:hAnsi="Palatino" w:cs="Palatino"/>
          <w:color w:val="000000"/>
          <w:position w:val="7"/>
          <w:sz w:val="11"/>
          <w:szCs w:val="11"/>
          <w:vertAlign w:val="superscript"/>
        </w:rPr>
        <w:t>28</w:t>
      </w:r>
      <w:r>
        <w:rPr>
          <w:rFonts w:ascii="Palatino" w:hAnsi="Palatino" w:cs="Palatino"/>
          <w:color w:val="000000"/>
          <w:sz w:val="20"/>
          <w:szCs w:val="20"/>
        </w:rPr>
        <w:t xml:space="preserve"> . </w:t>
      </w:r>
    </w:p>
    <w:p w14:paraId="049C2152" w14:textId="77777777" w:rsidR="00541A14" w:rsidRDefault="00A450E1">
      <w:pPr>
        <w:pStyle w:val="CM165"/>
        <w:spacing w:after="85" w:line="300" w:lineRule="atLeast"/>
        <w:ind w:firstLine="47"/>
        <w:rPr>
          <w:rFonts w:ascii="Palatino" w:hAnsi="Palatino" w:cs="Palatino"/>
          <w:color w:val="000000"/>
          <w:sz w:val="20"/>
          <w:szCs w:val="20"/>
        </w:rPr>
      </w:pPr>
      <w:r>
        <w:rPr>
          <w:rFonts w:ascii="Palatino" w:hAnsi="Palatino" w:cs="Palatino"/>
          <w:color w:val="000000"/>
          <w:sz w:val="20"/>
          <w:szCs w:val="20"/>
        </w:rPr>
        <w:t xml:space="preserve">The radio link of this system is internationally defined at ITU (Recommendation ITU-R M.823-3). Type-approved DGNSS radiobeacon receivers meeting IEC 61108-4 test and performance standards are available. The IALA system provides DGNSS correction transmissions as well as a data channel for text messages (ASCII) and is available in most coastal waters, especially in areas of high traffic density. </w:t>
      </w:r>
    </w:p>
    <w:p w14:paraId="74B6F3F8"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IALA has recommended that members operating the beacon DGNSS service should consider modernization, to ensure that levels of service can be maintained and future requirements can be met (IALA Recommendation R-135). This recommendation takes into account the potential alternatives, </w:t>
      </w:r>
    </w:p>
    <w:p w14:paraId="29BA5F3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in particular Satellite Based Augmentation Services (SBAS) and the Automatic Identification System </w:t>
      </w:r>
    </w:p>
    <w:p w14:paraId="6DE48199"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(AIS). The simplest option may be replacement of existing hardware with similar dedicated Reference Stations and Integrity Monitors (RSIM), but this would limit the potential for development. There are other possibilities, including software RSIM, Virtual Reference Station Networks and integration with SBAS. </w:t>
      </w:r>
    </w:p>
    <w:p w14:paraId="724CADA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full list of about 400 maritime radiobeacon based DGNSS stations (as notified to IALA by </w:t>
      </w:r>
    </w:p>
    <w:p w14:paraId="02AE2527" w14:textId="77777777" w:rsidR="00541A14" w:rsidRDefault="009E3F25">
      <w:pPr>
        <w:pStyle w:val="CM165"/>
        <w:spacing w:after="85" w:line="291" w:lineRule="atLeast"/>
        <w:rPr>
          <w:rFonts w:ascii="Palatino" w:hAnsi="Palatino" w:cs="Palatino"/>
          <w:color w:val="000000"/>
          <w:sz w:val="20"/>
          <w:szCs w:val="20"/>
        </w:rPr>
      </w:pPr>
      <w:hyperlink r:id="rId218" w:history="1">
        <w:r w:rsidR="00A450E1">
          <w:rPr>
            <w:rFonts w:ascii="Palatino" w:hAnsi="Palatino" w:cs="Palatino"/>
            <w:color w:val="000000"/>
            <w:sz w:val="20"/>
            <w:szCs w:val="20"/>
          </w:rPr>
          <w:t xml:space="preserve">authorities) can be accessed via the IALA website: www.iala-aism.org </w:t>
        </w:r>
      </w:hyperlink>
    </w:p>
    <w:p w14:paraId="6DD40209" w14:textId="77777777" w:rsidR="00541A14" w:rsidRDefault="00A450E1">
      <w:pPr>
        <w:pStyle w:val="CM173"/>
        <w:spacing w:after="340" w:line="300" w:lineRule="atLeast"/>
        <w:ind w:right="1557"/>
        <w:rPr>
          <w:rFonts w:ascii="Palatino" w:hAnsi="Palatino" w:cs="Palatino"/>
          <w:color w:val="000000"/>
          <w:sz w:val="20"/>
          <w:szCs w:val="20"/>
        </w:rPr>
      </w:pPr>
      <w:r>
        <w:rPr>
          <w:rFonts w:ascii="Palatino" w:hAnsi="Palatino" w:cs="Palatino"/>
          <w:color w:val="000000"/>
          <w:sz w:val="20"/>
          <w:szCs w:val="20"/>
        </w:rPr>
        <w:t xml:space="preserve">Further information on DGPS can be found on the USCG Navigation Centre website: </w:t>
      </w:r>
      <w:hyperlink r:id="rId219" w:history="1">
        <w:r>
          <w:rPr>
            <w:rFonts w:ascii="Palatino" w:hAnsi="Palatino" w:cs="Palatino"/>
            <w:color w:val="000000"/>
            <w:sz w:val="20"/>
            <w:szCs w:val="20"/>
          </w:rPr>
          <w:t xml:space="preserve">www.navcen.uscg.gov </w:t>
        </w:r>
      </w:hyperlink>
    </w:p>
    <w:p w14:paraId="795F0E4D"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DGNSS using AIS Message No. 17 </w:t>
      </w:r>
    </w:p>
    <w:p w14:paraId="4EB49AA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Automatic Identification System (AIS) is a ship to ship and ship to shore data broadcast system, </w:t>
      </w:r>
    </w:p>
    <w:p w14:paraId="019CF9A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operating in the VHF maritime band. It is described in more detail in section 4.19. </w:t>
      </w:r>
    </w:p>
    <w:p w14:paraId="7E22CD2A" w14:textId="77777777" w:rsidR="00541A14" w:rsidRDefault="00A450E1">
      <w:pPr>
        <w:pStyle w:val="CM165"/>
        <w:spacing w:after="85" w:line="300" w:lineRule="atLeast"/>
        <w:ind w:right="465"/>
        <w:rPr>
          <w:rFonts w:ascii="Palatino" w:hAnsi="Palatino" w:cs="Palatino"/>
          <w:color w:val="000000"/>
          <w:sz w:val="20"/>
          <w:szCs w:val="20"/>
        </w:rPr>
      </w:pPr>
      <w:r>
        <w:rPr>
          <w:rFonts w:ascii="Palatino" w:hAnsi="Palatino" w:cs="Palatino"/>
          <w:color w:val="000000"/>
          <w:sz w:val="20"/>
          <w:szCs w:val="20"/>
        </w:rPr>
        <w:t xml:space="preserve">AIS has the capability of providing DGNSS corrections to onboard equipment using standardised transmissions (Message No 17) as described in </w:t>
      </w:r>
      <w:hyperlink r:id="rId220" w:history="1">
        <w:r>
          <w:rPr>
            <w:rFonts w:ascii="Palatino" w:hAnsi="Palatino" w:cs="Palatino"/>
            <w:color w:val="000000"/>
            <w:sz w:val="20"/>
            <w:szCs w:val="20"/>
          </w:rPr>
          <w:t xml:space="preserve">IALA Recommendation A-124. </w:t>
        </w:r>
      </w:hyperlink>
    </w:p>
    <w:p w14:paraId="1825BF5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use of AIS Message No 17 increases the number of vessels, which benefit from DGNSS </w:t>
      </w:r>
    </w:p>
    <w:p w14:paraId="7B2B48F2"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transmissions with respect to better accuracy and integrity. </w:t>
      </w:r>
    </w:p>
    <w:p w14:paraId="469A56E9"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2A05112C" w14:textId="77777777" w:rsidR="00541A14" w:rsidRDefault="009E3F25">
      <w:pPr>
        <w:pStyle w:val="CM173"/>
        <w:spacing w:after="340" w:line="293" w:lineRule="atLeast"/>
        <w:ind w:left="300"/>
        <w:rPr>
          <w:rFonts w:ascii="Palatino" w:hAnsi="Palatino" w:cs="Palatino"/>
          <w:color w:val="000000"/>
          <w:sz w:val="20"/>
          <w:szCs w:val="20"/>
        </w:rPr>
      </w:pPr>
      <w:hyperlink r:id="rId221" w:history="1">
        <w:r w:rsidR="00A450E1">
          <w:rPr>
            <w:rFonts w:ascii="Palatino" w:hAnsi="Palatino" w:cs="Palatino"/>
            <w:i/>
            <w:iCs/>
            <w:color w:val="000000"/>
            <w:sz w:val="20"/>
            <w:szCs w:val="20"/>
          </w:rPr>
          <w:t xml:space="preserve">IALA Guideline 1060 on Recapitalisation of DGNSS </w:t>
        </w:r>
      </w:hyperlink>
    </w:p>
    <w:p w14:paraId="1F708760"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4.10.2 SBAS </w:t>
      </w:r>
    </w:p>
    <w:p w14:paraId="3B061ECE" w14:textId="77777777" w:rsidR="00541A14" w:rsidRDefault="00A450E1">
      <w:pPr>
        <w:pStyle w:val="CM173"/>
        <w:spacing w:after="340" w:line="291" w:lineRule="atLeast"/>
        <w:ind w:right="107"/>
        <w:rPr>
          <w:rFonts w:ascii="Palatino" w:hAnsi="Palatino" w:cs="Palatino"/>
          <w:color w:val="000000"/>
          <w:sz w:val="20"/>
          <w:szCs w:val="20"/>
        </w:rPr>
      </w:pPr>
      <w:r>
        <w:rPr>
          <w:rFonts w:ascii="Palatino" w:hAnsi="Palatino" w:cs="Palatino"/>
          <w:color w:val="000000"/>
          <w:sz w:val="20"/>
          <w:szCs w:val="20"/>
        </w:rPr>
        <w:t xml:space="preserve">Satellite Based Augmentation Systems (SBAS) support wide-area or regional augmentation through the use of additional satellite-broadcast messages. Such systems are commonly composed of multiple ground stations, located at accurately-surveyed points. The ground stations take measurements of the GNSS satellite signals and environmental factors which may impact the signal received by the users. Using these measurements, information messages are created and sent to one or more GEO satellites for broadcast to the end users. </w:t>
      </w:r>
    </w:p>
    <w:p w14:paraId="74D88FC3" w14:textId="77777777" w:rsidR="00541A14" w:rsidRDefault="00A450E1">
      <w:pPr>
        <w:pStyle w:val="Default"/>
        <w:rPr>
          <w:rFonts w:ascii="Palatino" w:hAnsi="Palatino" w:cs="Palatino"/>
          <w:sz w:val="20"/>
          <w:szCs w:val="20"/>
        </w:rPr>
      </w:pPr>
      <w:r>
        <w:rPr>
          <w:rFonts w:ascii="Palatino" w:hAnsi="Palatino" w:cs="Palatino"/>
          <w:position w:val="6"/>
          <w:sz w:val="20"/>
          <w:szCs w:val="20"/>
          <w:vertAlign w:val="superscript"/>
        </w:rPr>
        <w:t>28</w:t>
      </w:r>
      <w:r>
        <w:rPr>
          <w:rFonts w:ascii="Palatino" w:hAnsi="Palatino" w:cs="Palatino"/>
          <w:sz w:val="20"/>
          <w:szCs w:val="20"/>
        </w:rPr>
        <w:t xml:space="preserve">A 1kW transmitter will generally allow position fixing to better than 10 metres over a radius of about 200 </w:t>
      </w:r>
    </w:p>
    <w:p w14:paraId="33101E42" w14:textId="77777777" w:rsidR="00541A14" w:rsidRDefault="00A450E1">
      <w:pPr>
        <w:pStyle w:val="CM180"/>
        <w:spacing w:after="732"/>
        <w:rPr>
          <w:rFonts w:ascii="Palatino" w:hAnsi="Palatino" w:cs="Palatino"/>
          <w:color w:val="000000"/>
          <w:sz w:val="18"/>
          <w:szCs w:val="18"/>
        </w:rPr>
      </w:pPr>
      <w:r>
        <w:rPr>
          <w:rFonts w:ascii="Palatino" w:hAnsi="Palatino" w:cs="Palatino"/>
          <w:color w:val="000000"/>
          <w:sz w:val="18"/>
          <w:szCs w:val="18"/>
        </w:rPr>
        <w:t xml:space="preserve">nautical miles. </w:t>
      </w:r>
    </w:p>
    <w:p w14:paraId="0C658B8B"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2EA70480" w14:textId="77777777" w:rsidR="00541A14" w:rsidRDefault="00A450E1">
      <w:pPr>
        <w:pStyle w:val="CM101"/>
        <w:ind w:left="9640"/>
        <w:rPr>
          <w:rFonts w:ascii="Palatino" w:hAnsi="Palatino" w:cs="Palatino"/>
          <w:color w:val="000000"/>
          <w:sz w:val="23"/>
          <w:szCs w:val="23"/>
        </w:rPr>
      </w:pPr>
      <w:r>
        <w:rPr>
          <w:rFonts w:ascii="Palatino" w:hAnsi="Palatino" w:cs="Palatino"/>
          <w:b/>
          <w:bCs/>
          <w:i/>
          <w:iCs/>
          <w:color w:val="000000"/>
          <w:sz w:val="23"/>
          <w:szCs w:val="23"/>
        </w:rPr>
        <w:t xml:space="preserve">91 </w:t>
      </w:r>
    </w:p>
    <w:p w14:paraId="58647465" w14:textId="77777777" w:rsidR="00541A14" w:rsidRDefault="00A450E1">
      <w:pPr>
        <w:pStyle w:val="CM178"/>
        <w:pageBreakBefore/>
        <w:spacing w:after="1397"/>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20D234FD"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WAAS </w:t>
      </w:r>
    </w:p>
    <w:p w14:paraId="3B478FC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Wide Area Augmentation System (WAAS) has been implemented by the U.S. FAA to support the use of GPS for general and commercial aviation over continental United States. It was recently extended to cover parts of Mexico and Canada. At present, the WAAS architecture includes 38 reference stations, 3 master stations, 4 up-link stations, 2 geostationary satellite links and 2 operational control centres. </w:t>
      </w:r>
    </w:p>
    <w:p w14:paraId="43636BCE" w14:textId="77777777" w:rsidR="00541A14" w:rsidRDefault="00A450E1">
      <w:pPr>
        <w:pStyle w:val="CM173"/>
        <w:spacing w:after="340" w:line="291" w:lineRule="atLeast"/>
        <w:ind w:right="1480"/>
        <w:rPr>
          <w:rFonts w:ascii="Palatino" w:hAnsi="Palatino" w:cs="Palatino"/>
          <w:color w:val="000000"/>
          <w:sz w:val="20"/>
          <w:szCs w:val="20"/>
        </w:rPr>
      </w:pPr>
      <w:r>
        <w:rPr>
          <w:rFonts w:ascii="Palatino" w:hAnsi="Palatino" w:cs="Palatino"/>
          <w:color w:val="000000"/>
          <w:sz w:val="20"/>
          <w:szCs w:val="20"/>
        </w:rPr>
        <w:t xml:space="preserve">Further information on WAAS can be found on the USCG Navigation Centre website: </w:t>
      </w:r>
      <w:hyperlink r:id="rId222" w:history="1">
        <w:r>
          <w:rPr>
            <w:rFonts w:ascii="Palatino" w:hAnsi="Palatino" w:cs="Palatino"/>
            <w:color w:val="000000"/>
            <w:sz w:val="20"/>
            <w:szCs w:val="20"/>
          </w:rPr>
          <w:t xml:space="preserve">www.navcen.uscg.gov </w:t>
        </w:r>
      </w:hyperlink>
    </w:p>
    <w:p w14:paraId="582BA59C"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EGNOS </w:t>
      </w:r>
    </w:p>
    <w:p w14:paraId="1D7D417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European Geo-stationary Navigation Overlay Service (EGNOS) is a joint project of the European Space Agency (ESA), the European Commission (EC) and Eurocontrol. It consists of three GEOs and a network of ground stations and transmits correction and integrity information for GPS and potentially other GNSS, designed for safety-of-life applications (i.e. civil aviation). EGNOS is currently in its initial operational phase with discussions on-going to secure the long-term operation of the system. The system currently provides an SBAS service in the L1 band through two GEO transponders on INMARSAT satellites. A third GEO transponder on ARTEMIS is used to support system upgrades. EGNOS is presently fully interoperable with the current generation of WAAS and MSAS. However, these systems are already planning an evolution towards a dual-frequency capability in the L1/L5 bands. </w:t>
      </w:r>
    </w:p>
    <w:p w14:paraId="69454C5E"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Further information on EGNOS can be found via website: </w:t>
      </w:r>
      <w:hyperlink r:id="rId223" w:history="1">
        <w:r>
          <w:rPr>
            <w:rFonts w:ascii="Palatino" w:hAnsi="Palatino" w:cs="Palatino"/>
            <w:color w:val="000000"/>
            <w:sz w:val="20"/>
            <w:szCs w:val="20"/>
          </w:rPr>
          <w:t xml:space="preserve">www.egnos-pro.esa.int </w:t>
        </w:r>
      </w:hyperlink>
    </w:p>
    <w:p w14:paraId="228F9FB2"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MSAS </w:t>
      </w:r>
    </w:p>
    <w:p w14:paraId="7AEE3891"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In Japan, the Multi-Satellite Augmentation System (MSAS) is an SBAS similar to EGNOS and WAAS. MSAS has been commissioned for aviation use, with two GEO-links using the L1 band via dedicated satellites shared with communications and meteorological missions. </w:t>
      </w:r>
    </w:p>
    <w:p w14:paraId="1FFD08C4"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Further information on MSAS can be found via the website: </w:t>
      </w:r>
      <w:hyperlink r:id="rId224" w:history="1">
        <w:r>
          <w:rPr>
            <w:rFonts w:ascii="Palatino" w:hAnsi="Palatino" w:cs="Palatino"/>
            <w:color w:val="000000"/>
            <w:sz w:val="20"/>
            <w:szCs w:val="20"/>
          </w:rPr>
          <w:t xml:space="preserve">www.kasc.go.jp/_english/msas_01.htm </w:t>
        </w:r>
      </w:hyperlink>
    </w:p>
    <w:p w14:paraId="494604DE"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GAGAN </w:t>
      </w:r>
    </w:p>
    <w:p w14:paraId="1E35A54C" w14:textId="77777777" w:rsidR="00541A14" w:rsidRDefault="00A450E1">
      <w:pPr>
        <w:pStyle w:val="CM173"/>
        <w:spacing w:after="340" w:line="291" w:lineRule="atLeast"/>
        <w:ind w:right="107"/>
        <w:rPr>
          <w:rFonts w:ascii="Palatino" w:hAnsi="Palatino" w:cs="Palatino"/>
          <w:color w:val="000000"/>
          <w:sz w:val="20"/>
          <w:szCs w:val="20"/>
        </w:rPr>
      </w:pPr>
      <w:r>
        <w:rPr>
          <w:rFonts w:ascii="Palatino" w:hAnsi="Palatino" w:cs="Palatino"/>
          <w:color w:val="000000"/>
          <w:sz w:val="20"/>
          <w:szCs w:val="20"/>
        </w:rPr>
        <w:t xml:space="preserve">India is developing a GPS-Aided Geo Augmented Navigation system (GAGAN), which is an SBAS similar to WAAS and EGNOS. It is currently at the end of its technology demonstration phase. GAGAN includes 8 reference stations, 1 mission control centre, 1 up-link station and 1 Geo link through the L1/L5 transponder on the INMARSAT 4-F1 satellite. Full operational capability has been announced for 2010, when the system would have been extended with an additional master control centre, an additional up-link station, 2 additional GEO links (L1/L5) plus one in-orbit spare and more reference stations. </w:t>
      </w:r>
    </w:p>
    <w:p w14:paraId="0B1316A0"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SDCM </w:t>
      </w:r>
    </w:p>
    <w:p w14:paraId="7657AC92" w14:textId="77777777" w:rsidR="00541A14" w:rsidRDefault="00A450E1">
      <w:pPr>
        <w:pStyle w:val="CM170"/>
        <w:spacing w:after="887" w:line="298" w:lineRule="atLeast"/>
        <w:ind w:right="507"/>
        <w:rPr>
          <w:rFonts w:ascii="Palatino" w:hAnsi="Palatino" w:cs="Palatino"/>
          <w:color w:val="000000"/>
          <w:sz w:val="20"/>
          <w:szCs w:val="20"/>
        </w:rPr>
      </w:pPr>
      <w:r>
        <w:rPr>
          <w:rFonts w:ascii="Palatino" w:hAnsi="Palatino" w:cs="Palatino"/>
          <w:color w:val="000000"/>
          <w:sz w:val="20"/>
          <w:szCs w:val="20"/>
        </w:rPr>
        <w:t xml:space="preserve">Russia is also considering an augmentation to GLONASS called SDCM (System for Differential Corrections and Monitoring), which appears to be in a preliminary phase. The concept originally diverged substantially from SBAS standards but it seems that there is an interest in converging towards a more interoperable system. </w:t>
      </w:r>
    </w:p>
    <w:p w14:paraId="1C8462F0" w14:textId="77777777" w:rsidR="00541A14" w:rsidRDefault="00541A14">
      <w:pPr>
        <w:pStyle w:val="CM100"/>
        <w:ind w:left="8357"/>
        <w:rPr>
          <w:rFonts w:ascii="Palatino" w:hAnsi="Palatino" w:cs="Palatino"/>
          <w:color w:val="000000"/>
          <w:sz w:val="20"/>
          <w:szCs w:val="20"/>
        </w:rPr>
      </w:pPr>
    </w:p>
    <w:p w14:paraId="1DD45B72"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6645538B" wp14:editId="0CA2E4C6">
            <wp:extent cx="227330" cy="113665"/>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76C4D81D"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602F3B45" wp14:editId="0F01C0E1">
            <wp:extent cx="823595" cy="11366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78A3B71C" w14:textId="77777777" w:rsidR="00541A14" w:rsidRDefault="00DD420F">
      <w:pPr>
        <w:pStyle w:val="Default"/>
        <w:pageBreakBefore/>
        <w:framePr w:w="12865" w:wrap="auto" w:vAnchor="page" w:hAnchor="page" w:x="101" w:y="1"/>
        <w:spacing w:after="860"/>
        <w:rPr>
          <w:rFonts w:ascii="Palatino" w:hAnsi="Palatino" w:cs="Palatino"/>
          <w:sz w:val="20"/>
          <w:szCs w:val="20"/>
        </w:rPr>
      </w:pPr>
      <w:r>
        <w:rPr>
          <w:rFonts w:ascii="Palatino" w:hAnsi="Palatino" w:cs="Palatino"/>
          <w:noProof/>
          <w:sz w:val="20"/>
          <w:szCs w:val="20"/>
        </w:rPr>
        <w:drawing>
          <wp:inline distT="0" distB="0" distL="0" distR="0" wp14:anchorId="5151200D" wp14:editId="304761EC">
            <wp:extent cx="7553960" cy="1056640"/>
            <wp:effectExtent l="0" t="0" r="0" b="1016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3BB4A0A3"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4.11 Receiver Autonomous Integrity Monitoring (RAIM) </w:t>
      </w:r>
    </w:p>
    <w:p w14:paraId="1B83639C"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RAIM is a technology developed to assess the integrity of GNSS signals in a receiver. It is of special importance in safety-critical applications, such as aviation and marine. </w:t>
      </w:r>
    </w:p>
    <w:p w14:paraId="1A911BB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RAIM uses redundant measurements in a navigation receiver to confirm the integrity of the derived </w:t>
      </w:r>
    </w:p>
    <w:p w14:paraId="4BE0C5E5"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position solution. Usually RAIM uses only “Fault Detection” (FD), but newer receivers incorporate “Fault Detection and Exclusion” (FDE) which enables them to continue to operate in the presence of a single GNSS satellite failure. </w:t>
      </w:r>
    </w:p>
    <w:p w14:paraId="0914C58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Because RAIM operates autonomously it requires a number of redundant pseudo range </w:t>
      </w:r>
    </w:p>
    <w:p w14:paraId="7CEB602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measurements. To detect a faulty satellite, at least five measurements are required, and to isolate and </w:t>
      </w:r>
    </w:p>
    <w:p w14:paraId="6CD49F44"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exclude a faulty space vehicle, at least six measurements are required. </w:t>
      </w:r>
    </w:p>
    <w:p w14:paraId="33EEF18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need for redundant measurements reduces RAIM availability and continuity, especially in shadowed areas.  Depending on the satellite geometry more measurements may be needed to perform </w:t>
      </w:r>
    </w:p>
    <w:p w14:paraId="70B3E12A"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the RAIM process with an appropriate confidence level. </w:t>
      </w:r>
    </w:p>
    <w:p w14:paraId="3FD1F966" w14:textId="77777777" w:rsidR="00541A14" w:rsidRDefault="00A450E1">
      <w:pPr>
        <w:pStyle w:val="CM173"/>
        <w:spacing w:after="340"/>
        <w:rPr>
          <w:rFonts w:ascii="Futura Book" w:hAnsi="Futura Book" w:cs="Futura Book"/>
          <w:color w:val="2C5062"/>
          <w:sz w:val="28"/>
          <w:szCs w:val="28"/>
        </w:rPr>
      </w:pPr>
      <w:r>
        <w:rPr>
          <w:rFonts w:ascii="Futura Book" w:hAnsi="Futura Book" w:cs="Futura Book"/>
          <w:b/>
          <w:bCs/>
          <w:color w:val="2C5062"/>
          <w:sz w:val="28"/>
          <w:szCs w:val="28"/>
        </w:rPr>
        <w:t xml:space="preserve">4.12 Terrestrial – eLoran </w:t>
      </w:r>
    </w:p>
    <w:p w14:paraId="7559A2AE"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4.12.1 Introduction </w:t>
      </w:r>
    </w:p>
    <w:p w14:paraId="0AC2EB3E"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 xml:space="preserve">Enhanced Loran (eLoran) is a development from the long-standing, low-frequency, Loran-C (LOng-RAnge Navigation) system. It is intended to be an internationally-standardised Positioning, Navigation, and Timing (PNT) service for use by land, sea and air navigation as well as other applications, including timing. eLoran is an independent, dissimilar, complement to Global Navigation Satellite Systems like GPS and Galileo. It will allow GNSS users to retain the safety, </w:t>
      </w:r>
    </w:p>
    <w:p w14:paraId="72C77114"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security, and economic benefits of GNSS, even when their satellite services are disrupted. </w:t>
      </w:r>
    </w:p>
    <w:p w14:paraId="6849F803"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4.12.2 Background </w:t>
      </w:r>
    </w:p>
    <w:p w14:paraId="78BC6CB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present Loran–C is a hyperbolic radionavigation system developed during the 1960s to meet U.S. Department of Defense requirements. The Russian Federation operates a similar radionavigation system called CHAYKA. There are currently about 24 Loran–C and CHAYKA chains operating around </w:t>
      </w:r>
    </w:p>
    <w:p w14:paraId="6FA3C2A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world. The principal coverage areas include Saudi Arabia, China Sea, Korea, North West Pacific, </w:t>
      </w:r>
    </w:p>
    <w:p w14:paraId="78708684"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Russian Federation and North West Europe, noting that the USA and Canada shut down their chains in February 2010. </w:t>
      </w:r>
    </w:p>
    <w:p w14:paraId="0FE5792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Present Loran–C chains comprise between three to five stations that have a spacing of 600 to 1000 </w:t>
      </w:r>
    </w:p>
    <w:p w14:paraId="7165A91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nautical miles. The signal format is a structured sequence of brief radio pulses on a carrier wave frequency centred on 100kHz. One of the stations is designated as the ‘master’ and transmits groups of 9 pulses. The other stations are called ‘secondaries’ and these transmit groups of 8 pulses. </w:t>
      </w:r>
    </w:p>
    <w:p w14:paraId="641545C7"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 spacing between groups of pulses is a characteristic unique to each chain and is referred to as the Group Repetition Interval (GRI). </w:t>
      </w:r>
    </w:p>
    <w:p w14:paraId="1F22BC89" w14:textId="77777777" w:rsidR="00541A14" w:rsidRDefault="00A450E1">
      <w:pPr>
        <w:pStyle w:val="CM191"/>
        <w:spacing w:after="825" w:line="291" w:lineRule="atLeast"/>
        <w:rPr>
          <w:rFonts w:ascii="Palatino" w:hAnsi="Palatino" w:cs="Palatino"/>
          <w:color w:val="000000"/>
          <w:sz w:val="20"/>
          <w:szCs w:val="20"/>
        </w:rPr>
      </w:pPr>
      <w:r>
        <w:rPr>
          <w:rFonts w:ascii="Palatino" w:hAnsi="Palatino" w:cs="Palatino"/>
          <w:color w:val="000000"/>
          <w:sz w:val="20"/>
          <w:szCs w:val="20"/>
        </w:rPr>
        <w:t xml:space="preserve">The carrier wave frequency favours the propagation of a stable ground wave over long distances. Loran receivers are designed to determine positions using the ground wave and reject the delayed sky wave that would potentially distort the received signal. </w:t>
      </w:r>
    </w:p>
    <w:p w14:paraId="12A79410"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41E7D772" w14:textId="77777777" w:rsidR="00541A14" w:rsidRDefault="00A450E1">
      <w:pPr>
        <w:pStyle w:val="CM101"/>
        <w:ind w:left="9640"/>
        <w:rPr>
          <w:rFonts w:ascii="Palatino" w:hAnsi="Palatino" w:cs="Palatino"/>
          <w:color w:val="000000"/>
          <w:sz w:val="23"/>
          <w:szCs w:val="23"/>
        </w:rPr>
      </w:pPr>
      <w:r>
        <w:rPr>
          <w:rFonts w:ascii="Palatino" w:hAnsi="Palatino" w:cs="Palatino"/>
          <w:b/>
          <w:bCs/>
          <w:i/>
          <w:iCs/>
          <w:color w:val="000000"/>
          <w:sz w:val="23"/>
          <w:szCs w:val="23"/>
        </w:rPr>
        <w:t xml:space="preserve">93 </w:t>
      </w:r>
    </w:p>
    <w:p w14:paraId="7640FBA4" w14:textId="77777777" w:rsidR="00541A14" w:rsidRDefault="00A450E1">
      <w:pPr>
        <w:pStyle w:val="CM178"/>
        <w:pageBreakBefore/>
        <w:spacing w:after="1397"/>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3602AA81"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The transmissions from each chain are monitored and controlled continuously. System abnormality </w:t>
      </w:r>
    </w:p>
    <w:p w14:paraId="1F53EE4F"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indicators are built into the signal format and can be identified by the receiver providing inherent </w:t>
      </w:r>
    </w:p>
    <w:p w14:paraId="71E9FF33" w14:textId="77777777" w:rsidR="00541A14" w:rsidRDefault="00A450E1">
      <w:pPr>
        <w:pStyle w:val="CM173"/>
        <w:spacing w:after="340"/>
        <w:rPr>
          <w:rFonts w:ascii="Palatino" w:hAnsi="Palatino" w:cs="Palatino"/>
          <w:color w:val="000000"/>
          <w:sz w:val="20"/>
          <w:szCs w:val="20"/>
        </w:rPr>
      </w:pPr>
      <w:r>
        <w:rPr>
          <w:rFonts w:ascii="Palatino" w:hAnsi="Palatino" w:cs="Palatino"/>
          <w:color w:val="000000"/>
          <w:sz w:val="20"/>
          <w:szCs w:val="20"/>
        </w:rPr>
        <w:t xml:space="preserve">integrity warnings. </w:t>
      </w:r>
    </w:p>
    <w:p w14:paraId="38F031B4"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4.12.3 eLoran Performance </w:t>
      </w:r>
    </w:p>
    <w:p w14:paraId="71AF88B3"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eLoran will meet the accuracy, availability, integrity and continuity performance requirements for aviation non-precision instrument approaches, maritime harbour entrance and approach manoeuvres, land-mobile vehicle navigation, and location-based services. It is also a precise source of time and frequency for applications such as telecommunications. eLoran is predicted to provide accuracy (8 - 20 metres) and timing (stratum-1) performance equivalent to current GPS, as shown in Table 17. </w:t>
      </w:r>
    </w:p>
    <w:p w14:paraId="761C31B6"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b/>
          <w:bCs/>
          <w:color w:val="000000"/>
          <w:sz w:val="20"/>
          <w:szCs w:val="20"/>
        </w:rPr>
        <w:t xml:space="preserve">table 17 eloran Predicted Performance </w:t>
      </w:r>
    </w:p>
    <w:p w14:paraId="32AC0888"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78720" behindDoc="0" locked="0" layoutInCell="0" allowOverlap="1" wp14:anchorId="3D847459" wp14:editId="1D705D77">
                <wp:simplePos x="0" y="0"/>
                <wp:positionH relativeFrom="page">
                  <wp:posOffset>982345</wp:posOffset>
                </wp:positionH>
                <wp:positionV relativeFrom="page">
                  <wp:posOffset>3980180</wp:posOffset>
                </wp:positionV>
                <wp:extent cx="6006465" cy="482600"/>
                <wp:effectExtent l="0" t="0" r="0" b="0"/>
                <wp:wrapThrough wrapText="bothSides">
                  <wp:wrapPolygon edited="0">
                    <wp:start x="0" y="0"/>
                    <wp:lineTo x="21600" y="0"/>
                    <wp:lineTo x="21600" y="21600"/>
                    <wp:lineTo x="0" y="21600"/>
                    <wp:lineTo x="0" y="0"/>
                  </wp:wrapPolygon>
                </wp:wrapThrough>
                <wp:docPr id="53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6465" cy="48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757"/>
                              <w:gridCol w:w="1707"/>
                              <w:gridCol w:w="1685"/>
                              <w:gridCol w:w="3510"/>
                            </w:tblGrid>
                            <w:tr w:rsidR="00541A14" w14:paraId="1D309246" w14:textId="77777777">
                              <w:trPr>
                                <w:trHeight w:val="217"/>
                              </w:trPr>
                              <w:tc>
                                <w:tcPr>
                                  <w:tcW w:w="1757" w:type="dxa"/>
                                  <w:tcBorders>
                                    <w:top w:val="single" w:sz="4" w:space="0" w:color="192326"/>
                                    <w:left w:val="single" w:sz="4" w:space="0" w:color="0D1314"/>
                                    <w:bottom w:val="single" w:sz="4" w:space="0" w:color="192326"/>
                                    <w:right w:val="single" w:sz="4" w:space="0" w:color="1A2427"/>
                                  </w:tcBorders>
                                  <w:shd w:val="clear" w:color="auto" w:fill="9FDBEC"/>
                                  <w:vAlign w:val="center"/>
                                </w:tcPr>
                                <w:p w14:paraId="5B69B1BC" w14:textId="77777777" w:rsidR="00541A14" w:rsidRDefault="00A450E1">
                                  <w:pPr>
                                    <w:pStyle w:val="Default"/>
                                    <w:jc w:val="center"/>
                                    <w:rPr>
                                      <w:rFonts w:ascii="Helvetica 65 Medium" w:hAnsi="Helvetica 65 Medium" w:cs="Helvetica 65 Medium"/>
                                      <w:sz w:val="18"/>
                                      <w:szCs w:val="18"/>
                                    </w:rPr>
                                  </w:pPr>
                                  <w:r>
                                    <w:rPr>
                                      <w:rFonts w:ascii="Helvetica 65 Medium" w:hAnsi="Helvetica 65 Medium" w:cs="Helvetica 65 Medium"/>
                                      <w:sz w:val="18"/>
                                      <w:szCs w:val="18"/>
                                    </w:rPr>
                                    <w:t xml:space="preserve">Accuracy </w:t>
                                  </w:r>
                                </w:p>
                              </w:tc>
                              <w:tc>
                                <w:tcPr>
                                  <w:tcW w:w="1707" w:type="dxa"/>
                                  <w:tcBorders>
                                    <w:top w:val="single" w:sz="4" w:space="0" w:color="192326"/>
                                    <w:left w:val="single" w:sz="4" w:space="0" w:color="1A2427"/>
                                    <w:bottom w:val="single" w:sz="4" w:space="0" w:color="192326"/>
                                    <w:right w:val="single" w:sz="4" w:space="0" w:color="1A2427"/>
                                  </w:tcBorders>
                                  <w:shd w:val="clear" w:color="auto" w:fill="9FDBEC"/>
                                  <w:vAlign w:val="center"/>
                                </w:tcPr>
                                <w:p w14:paraId="00D4546A"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Availability </w:t>
                                  </w:r>
                                </w:p>
                              </w:tc>
                              <w:tc>
                                <w:tcPr>
                                  <w:tcW w:w="1685" w:type="dxa"/>
                                  <w:tcBorders>
                                    <w:top w:val="single" w:sz="4" w:space="0" w:color="192326"/>
                                    <w:left w:val="single" w:sz="4" w:space="0" w:color="1A2427"/>
                                    <w:bottom w:val="single" w:sz="4" w:space="0" w:color="192326"/>
                                    <w:right w:val="single" w:sz="4" w:space="0" w:color="1A2427"/>
                                  </w:tcBorders>
                                  <w:shd w:val="clear" w:color="auto" w:fill="9FDBEC"/>
                                  <w:vAlign w:val="center"/>
                                </w:tcPr>
                                <w:p w14:paraId="6CB71530"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Integrity </w:t>
                                  </w:r>
                                </w:p>
                              </w:tc>
                              <w:tc>
                                <w:tcPr>
                                  <w:tcW w:w="3510" w:type="dxa"/>
                                  <w:tcBorders>
                                    <w:top w:val="single" w:sz="4" w:space="0" w:color="192326"/>
                                    <w:left w:val="single" w:sz="4" w:space="0" w:color="1A2427"/>
                                    <w:bottom w:val="single" w:sz="4" w:space="0" w:color="192326"/>
                                    <w:right w:val="single" w:sz="4" w:space="0" w:color="0D1314"/>
                                  </w:tcBorders>
                                  <w:shd w:val="clear" w:color="auto" w:fill="9FDBEC"/>
                                  <w:vAlign w:val="center"/>
                                </w:tcPr>
                                <w:p w14:paraId="46B4B27F"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Continuity </w:t>
                                  </w:r>
                                </w:p>
                              </w:tc>
                            </w:tr>
                            <w:tr w:rsidR="00541A14" w14:paraId="57D9817B" w14:textId="77777777">
                              <w:trPr>
                                <w:trHeight w:val="213"/>
                              </w:trPr>
                              <w:tc>
                                <w:tcPr>
                                  <w:tcW w:w="1757" w:type="dxa"/>
                                  <w:tcBorders>
                                    <w:top w:val="single" w:sz="4" w:space="0" w:color="192326"/>
                                    <w:left w:val="single" w:sz="4" w:space="0" w:color="0D1314"/>
                                    <w:bottom w:val="single" w:sz="4" w:space="0" w:color="000000"/>
                                    <w:right w:val="single" w:sz="4" w:space="0" w:color="1A2427"/>
                                  </w:tcBorders>
                                  <w:vAlign w:val="center"/>
                                </w:tcPr>
                                <w:p w14:paraId="6B683CA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 – 20 Metres </w:t>
                                  </w:r>
                                </w:p>
                              </w:tc>
                              <w:tc>
                                <w:tcPr>
                                  <w:tcW w:w="1707" w:type="dxa"/>
                                  <w:tcBorders>
                                    <w:top w:val="single" w:sz="4" w:space="0" w:color="192326"/>
                                    <w:left w:val="single" w:sz="4" w:space="0" w:color="1A2427"/>
                                    <w:bottom w:val="single" w:sz="4" w:space="0" w:color="000000"/>
                                    <w:right w:val="single" w:sz="4" w:space="0" w:color="1A2427"/>
                                  </w:tcBorders>
                                  <w:vAlign w:val="center"/>
                                </w:tcPr>
                                <w:p w14:paraId="18EAC4F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99.9% - 99.99% </w:t>
                                  </w:r>
                                </w:p>
                              </w:tc>
                              <w:tc>
                                <w:tcPr>
                                  <w:tcW w:w="1685" w:type="dxa"/>
                                  <w:tcBorders>
                                    <w:top w:val="single" w:sz="4" w:space="0" w:color="192326"/>
                                    <w:left w:val="single" w:sz="4" w:space="0" w:color="1A2427"/>
                                    <w:bottom w:val="single" w:sz="4" w:space="0" w:color="000000"/>
                                    <w:right w:val="single" w:sz="4" w:space="0" w:color="1A2427"/>
                                  </w:tcBorders>
                                  <w:vAlign w:val="center"/>
                                </w:tcPr>
                                <w:p w14:paraId="0193989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1 X 10</w:t>
                                  </w:r>
                                  <w:r>
                                    <w:rPr>
                                      <w:rFonts w:ascii="Helvetica 55 Roman" w:hAnsi="Helvetica 55 Roman" w:cs="Helvetica 55 Roman"/>
                                      <w:sz w:val="10"/>
                                      <w:szCs w:val="10"/>
                                    </w:rPr>
                                    <w:t>-7</w:t>
                                  </w:r>
                                  <w:r>
                                    <w:rPr>
                                      <w:rFonts w:ascii="Helvetica 55 Roman" w:hAnsi="Helvetica 55 Roman" w:cs="Helvetica 55 Roman"/>
                                      <w:sz w:val="18"/>
                                      <w:szCs w:val="18"/>
                                    </w:rPr>
                                    <w:t xml:space="preserve"> Per Hour </w:t>
                                  </w:r>
                                </w:p>
                              </w:tc>
                              <w:tc>
                                <w:tcPr>
                                  <w:tcW w:w="3510" w:type="dxa"/>
                                  <w:tcBorders>
                                    <w:top w:val="single" w:sz="4" w:space="0" w:color="192326"/>
                                    <w:left w:val="single" w:sz="4" w:space="0" w:color="1A2427"/>
                                    <w:bottom w:val="single" w:sz="4" w:space="0" w:color="000000"/>
                                    <w:right w:val="single" w:sz="4" w:space="0" w:color="0D1314"/>
                                  </w:tcBorders>
                                  <w:vAlign w:val="center"/>
                                </w:tcPr>
                                <w:p w14:paraId="1651B6A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99.9% To 99.99% over 150 seconds </w:t>
                                  </w:r>
                                </w:p>
                              </w:tc>
                            </w:tr>
                          </w:tbl>
                          <w:p w14:paraId="0924E7A4"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6" type="#_x0000_t202" style="position:absolute;margin-left:77.35pt;margin-top:313.4pt;width:472.95pt;height:38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15"/>
                        <w:gridCol w:w="42"/>
                        <w:gridCol w:w="33"/>
                        <w:gridCol w:w="120"/>
                        <w:gridCol w:w="182"/>
                        <w:gridCol w:w="33"/>
                        <w:gridCol w:w="135"/>
                        <w:gridCol w:w="167"/>
                        <w:gridCol w:w="10"/>
                        <w:gridCol w:w="125"/>
                        <w:gridCol w:w="55"/>
                        <w:gridCol w:w="20"/>
                        <w:gridCol w:w="50"/>
                        <w:gridCol w:w="50"/>
                        <w:gridCol w:w="118"/>
                        <w:gridCol w:w="95"/>
                        <w:gridCol w:w="2"/>
                        <w:gridCol w:w="33"/>
                        <w:gridCol w:w="175"/>
                        <w:gridCol w:w="197"/>
                        <w:gridCol w:w="112"/>
                        <w:gridCol w:w="5"/>
                        <w:gridCol w:w="123"/>
                        <w:gridCol w:w="22"/>
                        <w:gridCol w:w="15"/>
                        <w:gridCol w:w="265"/>
                        <w:gridCol w:w="235"/>
                        <w:gridCol w:w="5"/>
                        <w:gridCol w:w="60"/>
                        <w:gridCol w:w="237"/>
                        <w:gridCol w:w="38"/>
                        <w:gridCol w:w="15"/>
                        <w:gridCol w:w="25"/>
                        <w:gridCol w:w="50"/>
                        <w:gridCol w:w="136"/>
                        <w:gridCol w:w="234"/>
                        <w:gridCol w:w="5"/>
                        <w:gridCol w:w="5"/>
                        <w:gridCol w:w="12"/>
                        <w:gridCol w:w="47"/>
                        <w:gridCol w:w="168"/>
                        <w:gridCol w:w="48"/>
                        <w:gridCol w:w="4"/>
                        <w:gridCol w:w="110"/>
                        <w:gridCol w:w="12"/>
                        <w:gridCol w:w="108"/>
                        <w:gridCol w:w="366"/>
                        <w:gridCol w:w="137"/>
                        <w:gridCol w:w="47"/>
                        <w:gridCol w:w="355"/>
                        <w:gridCol w:w="10"/>
                        <w:gridCol w:w="293"/>
                        <w:gridCol w:w="78"/>
                        <w:gridCol w:w="509"/>
                        <w:gridCol w:w="183"/>
                        <w:gridCol w:w="57"/>
                        <w:gridCol w:w="283"/>
                        <w:gridCol w:w="330"/>
                        <w:gridCol w:w="1228"/>
                        <w:gridCol w:w="334"/>
                        <w:gridCol w:w="77"/>
                        <w:gridCol w:w="15"/>
                        <w:gridCol w:w="8"/>
                      </w:tblGrid>
                      <w:tr w:rsidR="00000000" w14:paraId="1D309246" w14:textId="77777777">
                        <w:tblPrEx>
                          <w:tblCellMar>
                            <w:top w:w="0" w:type="dxa"/>
                            <w:bottom w:w="0" w:type="dxa"/>
                          </w:tblCellMar>
                        </w:tblPrEx>
                        <w:trPr>
                          <w:gridAfter w:val="4"/>
                          <w:wAfter w:w="2211" w:type="dxa"/>
                          <w:trHeight w:val="217"/>
                        </w:trPr>
                        <w:tc>
                          <w:tcPr>
                            <w:tcW w:w="1757" w:type="dxa"/>
                            <w:gridSpan w:val="10"/>
                            <w:tcBorders>
                              <w:top w:val="single" w:sz="4" w:space="0" w:color="192326"/>
                              <w:left w:val="single" w:sz="4" w:space="0" w:color="0D1314"/>
                              <w:bottom w:val="single" w:sz="4" w:space="0" w:color="192326"/>
                              <w:right w:val="single" w:sz="4" w:space="0" w:color="1A2427"/>
                            </w:tcBorders>
                            <w:shd w:val="clear" w:color="auto" w:fill="9FDBEC"/>
                            <w:vAlign w:val="center"/>
                          </w:tcPr>
                          <w:p w14:paraId="5B69B1BC" w14:textId="77777777" w:rsidR="00000000" w:rsidRDefault="00A450E1">
                            <w:pPr>
                              <w:pStyle w:val="Default"/>
                              <w:jc w:val="center"/>
                              <w:rPr>
                                <w:rFonts w:ascii="Helvetica 65 Medium" w:hAnsi="Helvetica 65 Medium" w:cs="Helvetica 65 Medium"/>
                                <w:sz w:val="18"/>
                                <w:szCs w:val="18"/>
                              </w:rPr>
                            </w:pPr>
                            <w:r>
                              <w:rPr>
                                <w:rFonts w:ascii="Helvetica 65 Medium" w:hAnsi="Helvetica 65 Medium" w:cs="Helvetica 65 Medium"/>
                                <w:sz w:val="18"/>
                                <w:szCs w:val="18"/>
                              </w:rPr>
                              <w:t xml:space="preserve">Accuracy </w:t>
                            </w:r>
                          </w:p>
                        </w:tc>
                        <w:tc>
                          <w:tcPr>
                            <w:tcW w:w="1707" w:type="dxa"/>
                            <w:gridSpan w:val="19"/>
                            <w:tcBorders>
                              <w:top w:val="single" w:sz="4" w:space="0" w:color="192326"/>
                              <w:left w:val="single" w:sz="4" w:space="0" w:color="1A2427"/>
                              <w:bottom w:val="single" w:sz="4" w:space="0" w:color="192326"/>
                              <w:right w:val="single" w:sz="4" w:space="0" w:color="1A2427"/>
                            </w:tcBorders>
                            <w:shd w:val="clear" w:color="auto" w:fill="9FDBEC"/>
                            <w:vAlign w:val="center"/>
                          </w:tcPr>
                          <w:p w14:paraId="00D4546A"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Availability </w:t>
                            </w:r>
                          </w:p>
                        </w:tc>
                        <w:tc>
                          <w:tcPr>
                            <w:tcW w:w="1685" w:type="dxa"/>
                            <w:gridSpan w:val="20"/>
                            <w:tcBorders>
                              <w:top w:val="single" w:sz="4" w:space="0" w:color="192326"/>
                              <w:left w:val="single" w:sz="4" w:space="0" w:color="1A2427"/>
                              <w:bottom w:val="single" w:sz="4" w:space="0" w:color="192326"/>
                              <w:right w:val="single" w:sz="4" w:space="0" w:color="1A2427"/>
                            </w:tcBorders>
                            <w:shd w:val="clear" w:color="auto" w:fill="9FDBEC"/>
                            <w:vAlign w:val="center"/>
                          </w:tcPr>
                          <w:p w14:paraId="6CB71530"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Integrity </w:t>
                            </w:r>
                          </w:p>
                        </w:tc>
                        <w:tc>
                          <w:tcPr>
                            <w:tcW w:w="3510" w:type="dxa"/>
                            <w:gridSpan w:val="12"/>
                            <w:tcBorders>
                              <w:top w:val="single" w:sz="4" w:space="0" w:color="192326"/>
                              <w:left w:val="single" w:sz="4" w:space="0" w:color="1A2427"/>
                              <w:bottom w:val="single" w:sz="4" w:space="0" w:color="192326"/>
                              <w:right w:val="single" w:sz="4" w:space="0" w:color="0D1314"/>
                            </w:tcBorders>
                            <w:shd w:val="clear" w:color="auto" w:fill="9FDBEC"/>
                            <w:vAlign w:val="center"/>
                          </w:tcPr>
                          <w:p w14:paraId="46B4B27F"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Continuity </w:t>
                            </w:r>
                          </w:p>
                        </w:tc>
                      </w:tr>
                      <w:tr w:rsidR="00000000" w14:paraId="57D9817B" w14:textId="77777777">
                        <w:tblPrEx>
                          <w:tblCellMar>
                            <w:top w:w="0" w:type="dxa"/>
                            <w:bottom w:w="0" w:type="dxa"/>
                          </w:tblCellMar>
                        </w:tblPrEx>
                        <w:trPr>
                          <w:gridAfter w:val="4"/>
                          <w:wAfter w:w="2211" w:type="dxa"/>
                          <w:trHeight w:val="213"/>
                        </w:trPr>
                        <w:tc>
                          <w:tcPr>
                            <w:tcW w:w="1757" w:type="dxa"/>
                            <w:gridSpan w:val="10"/>
                            <w:tcBorders>
                              <w:top w:val="single" w:sz="4" w:space="0" w:color="192326"/>
                              <w:left w:val="single" w:sz="4" w:space="0" w:color="0D1314"/>
                              <w:bottom w:val="single" w:sz="4" w:space="0" w:color="000000"/>
                              <w:right w:val="single" w:sz="4" w:space="0" w:color="1A2427"/>
                            </w:tcBorders>
                            <w:vAlign w:val="center"/>
                          </w:tcPr>
                          <w:p w14:paraId="6B683CA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 – 20 Metres </w:t>
                            </w:r>
                          </w:p>
                        </w:tc>
                        <w:tc>
                          <w:tcPr>
                            <w:tcW w:w="1707" w:type="dxa"/>
                            <w:gridSpan w:val="19"/>
                            <w:tcBorders>
                              <w:top w:val="single" w:sz="4" w:space="0" w:color="192326"/>
                              <w:left w:val="single" w:sz="4" w:space="0" w:color="1A2427"/>
                              <w:bottom w:val="single" w:sz="4" w:space="0" w:color="000000"/>
                              <w:right w:val="single" w:sz="4" w:space="0" w:color="1A2427"/>
                            </w:tcBorders>
                            <w:vAlign w:val="center"/>
                          </w:tcPr>
                          <w:p w14:paraId="18EAC4F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99.9% - 99.99% </w:t>
                            </w:r>
                          </w:p>
                        </w:tc>
                        <w:tc>
                          <w:tcPr>
                            <w:tcW w:w="1685" w:type="dxa"/>
                            <w:gridSpan w:val="20"/>
                            <w:tcBorders>
                              <w:top w:val="single" w:sz="4" w:space="0" w:color="192326"/>
                              <w:left w:val="single" w:sz="4" w:space="0" w:color="1A2427"/>
                              <w:bottom w:val="single" w:sz="4" w:space="0" w:color="000000"/>
                              <w:right w:val="single" w:sz="4" w:space="0" w:color="1A2427"/>
                            </w:tcBorders>
                            <w:vAlign w:val="center"/>
                          </w:tcPr>
                          <w:p w14:paraId="0193989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1 X 10</w:t>
                            </w:r>
                            <w:r>
                              <w:rPr>
                                <w:rFonts w:ascii="Helvetica 55 Roman" w:hAnsi="Helvetica 55 Roman" w:cs="Helvetica 55 Roman"/>
                                <w:sz w:val="10"/>
                                <w:szCs w:val="10"/>
                              </w:rPr>
                              <w:t>-7</w:t>
                            </w:r>
                            <w:r>
                              <w:rPr>
                                <w:rFonts w:ascii="Helvetica 55 Roman" w:hAnsi="Helvetica 55 Roman" w:cs="Helvetica 55 Roman"/>
                                <w:sz w:val="18"/>
                                <w:szCs w:val="18"/>
                              </w:rPr>
                              <w:t xml:space="preserve"> Per Hour </w:t>
                            </w:r>
                          </w:p>
                        </w:tc>
                        <w:tc>
                          <w:tcPr>
                            <w:tcW w:w="3510" w:type="dxa"/>
                            <w:gridSpan w:val="12"/>
                            <w:tcBorders>
                              <w:top w:val="single" w:sz="4" w:space="0" w:color="192326"/>
                              <w:left w:val="single" w:sz="4" w:space="0" w:color="1A2427"/>
                              <w:bottom w:val="single" w:sz="4" w:space="0" w:color="000000"/>
                              <w:right w:val="single" w:sz="4" w:space="0" w:color="0D1314"/>
                            </w:tcBorders>
                            <w:vAlign w:val="center"/>
                          </w:tcPr>
                          <w:p w14:paraId="1651B6A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99.9% To 99.99% over 150 seconds </w:t>
                            </w:r>
                          </w:p>
                        </w:tc>
                      </w:tr>
                    </w:tbl>
                  </w:txbxContent>
                </v:textbox>
                <w10:wrap type="through" anchorx="page" anchory="page"/>
              </v:shape>
            </w:pict>
          </mc:Fallback>
        </mc:AlternateContent>
      </w:r>
    </w:p>
    <w:p w14:paraId="0CD0152A"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4.12.4 Core eLoran Elements </w:t>
      </w:r>
    </w:p>
    <w:p w14:paraId="25C891E0"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eLoran comprises a core system (modernised control centres, transmitting stations and monitoring </w:t>
      </w:r>
    </w:p>
    <w:p w14:paraId="1A90F8E6"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sites) and application-specific augmentations (e.g. differential reference stations) that will use a data </w:t>
      </w:r>
    </w:p>
    <w:p w14:paraId="46A93DB6"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channel on the eLoran signal to communicate with users. eLoran transmissions are synchronised to </w:t>
      </w:r>
    </w:p>
    <w:p w14:paraId="65B144C2" w14:textId="77777777" w:rsidR="00541A14" w:rsidRDefault="00A450E1">
      <w:pPr>
        <w:pStyle w:val="Default"/>
        <w:rPr>
          <w:rFonts w:ascii="Palatino" w:hAnsi="Palatino" w:cs="Palatino"/>
          <w:sz w:val="20"/>
          <w:szCs w:val="20"/>
        </w:rPr>
      </w:pPr>
      <w:r>
        <w:rPr>
          <w:rFonts w:ascii="Palatino" w:hAnsi="Palatino" w:cs="Palatino"/>
          <w:sz w:val="20"/>
          <w:szCs w:val="20"/>
        </w:rPr>
        <w:t xml:space="preserve">an identifiable, publicly-certified, source of Coordinated Universal Time (UTC) by a method wholly </w:t>
      </w:r>
    </w:p>
    <w:p w14:paraId="5CA7B7EB"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independent of GNSS. This allows the eLoran Service Provider to operate on a time scale that is synchronised with, but operates independently of, GNSS time scales. Synchronising to a common time source also allows receivers to employ a mixture of eLoran and satellite signals. </w:t>
      </w:r>
    </w:p>
    <w:p w14:paraId="29478C5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eLoran transmitters use modern solid-state components which are efficient, reliable and stable. This </w:t>
      </w:r>
    </w:p>
    <w:p w14:paraId="38E0850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produces a highly stable eLoran signal. The lower power usage of these modern transmitters allows Uninterruptible Power Supplies (UPS) to be installed to overcome short periods of utility power outage, again ensuring a more stable and reliable signal. The use of reliable modern components increases the Mean Time between Failures and with in-built redundancy, allows eLoran stations to be un-manned. This ensures the system is a cost effective solution as backup to GNSS. </w:t>
      </w:r>
    </w:p>
    <w:p w14:paraId="185C550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Absolute position offsets are caused by ASF (Additional Secondary Factors). These result from differing speeds of signal propagation over different terrains as well as the interfaces between those terrains e.g. land/sea path, mountains/wetlands. These terrains delay signal reception from that expected of a perfect sea path and is the main component of ASF. However, seasonal (summer/ winter) and diurnal (day/night) changes to the ASF value will also occur. Modern eLoran receivers will include a built-in ASF table to remove the main ASF offset. </w:t>
      </w:r>
    </w:p>
    <w:p w14:paraId="2937C910" w14:textId="77777777" w:rsidR="00541A14" w:rsidRDefault="00A450E1">
      <w:pPr>
        <w:pStyle w:val="CM199"/>
        <w:spacing w:after="955" w:line="293" w:lineRule="atLeast"/>
        <w:ind w:right="245"/>
        <w:rPr>
          <w:rFonts w:ascii="Palatino" w:hAnsi="Palatino" w:cs="Palatino"/>
          <w:color w:val="000000"/>
          <w:sz w:val="20"/>
          <w:szCs w:val="20"/>
        </w:rPr>
      </w:pPr>
      <w:r>
        <w:rPr>
          <w:rFonts w:ascii="Palatino" w:hAnsi="Palatino" w:cs="Palatino"/>
          <w:color w:val="000000"/>
          <w:sz w:val="20"/>
          <w:szCs w:val="20"/>
        </w:rPr>
        <w:t xml:space="preserve">One of the inherent features of eLoran is the inclusion of the data channel which will be used to transmit, amongst other messages, differential eLoran data to negate the varying ASF value. This differential eLoran data will be optimised for areas of importance such as ports and harbour approaches. </w:t>
      </w:r>
    </w:p>
    <w:p w14:paraId="5C292F85" w14:textId="77777777" w:rsidR="00541A14" w:rsidRDefault="00541A14">
      <w:pPr>
        <w:pStyle w:val="CM100"/>
        <w:ind w:left="8357"/>
        <w:rPr>
          <w:rFonts w:ascii="Palatino" w:hAnsi="Palatino" w:cs="Palatino"/>
          <w:color w:val="000000"/>
          <w:sz w:val="20"/>
          <w:szCs w:val="20"/>
        </w:rPr>
      </w:pPr>
    </w:p>
    <w:p w14:paraId="3310F0D0"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7ABE5D9E" wp14:editId="741A69DC">
            <wp:extent cx="227330" cy="113665"/>
            <wp:effectExtent l="0" t="0" r="127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2BF319D4"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345C19AE" wp14:editId="4C51EC52">
            <wp:extent cx="823595" cy="11366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2832B1AF" w14:textId="77777777" w:rsidR="00541A14" w:rsidRDefault="00DD420F">
      <w:pPr>
        <w:pStyle w:val="Default"/>
        <w:pageBreakBefore/>
        <w:framePr w:w="12865" w:wrap="auto" w:vAnchor="page" w:hAnchor="page" w:x="101" w:y="1"/>
        <w:spacing w:after="840"/>
        <w:rPr>
          <w:rFonts w:ascii="Palatino" w:hAnsi="Palatino" w:cs="Palatino"/>
          <w:sz w:val="20"/>
          <w:szCs w:val="20"/>
        </w:rPr>
      </w:pPr>
      <w:r>
        <w:rPr>
          <w:rFonts w:ascii="Palatino" w:hAnsi="Palatino" w:cs="Palatino"/>
          <w:noProof/>
          <w:sz w:val="20"/>
          <w:szCs w:val="20"/>
        </w:rPr>
        <w:drawing>
          <wp:inline distT="0" distB="0" distL="0" distR="0" wp14:anchorId="7DE3E3E5" wp14:editId="2AAACDCA">
            <wp:extent cx="7553960" cy="1056640"/>
            <wp:effectExtent l="0" t="0" r="0" b="1016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3BD74DFB"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4.12.5 Compatibility between eLoran and Loran-C </w:t>
      </w:r>
    </w:p>
    <w:p w14:paraId="4DD773FE" w14:textId="77777777" w:rsidR="00541A14" w:rsidRDefault="00A450E1">
      <w:pPr>
        <w:pStyle w:val="CM26"/>
        <w:ind w:right="177"/>
        <w:rPr>
          <w:rFonts w:ascii="Palatino" w:hAnsi="Palatino" w:cs="Palatino"/>
          <w:color w:val="000000"/>
          <w:sz w:val="20"/>
          <w:szCs w:val="20"/>
        </w:rPr>
      </w:pPr>
      <w:r>
        <w:rPr>
          <w:rFonts w:ascii="Palatino" w:hAnsi="Palatino" w:cs="Palatino"/>
          <w:color w:val="000000"/>
          <w:sz w:val="20"/>
          <w:szCs w:val="20"/>
        </w:rPr>
        <w:t xml:space="preserve">Legacy receivers will be able to use both eLoran and Loran-C signals at present as they are compatible, with eLoran stations forming part of the presently organised chains. eLoran retains the basic signal format. However, future eLoran stations may be independent of chains. The concept </w:t>
      </w:r>
    </w:p>
    <w:p w14:paraId="5D89C0F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of hyperbolic position fixing from chains will be replaced with an all-in-view concept of operation. </w:t>
      </w:r>
    </w:p>
    <w:p w14:paraId="08BDDBCB"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Therefore any eLoran station within reception can be used in the position solution. </w:t>
      </w:r>
    </w:p>
    <w:p w14:paraId="76A5B676"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4.12.6 eLoran as a viable backup to GNSS </w:t>
      </w:r>
    </w:p>
    <w:p w14:paraId="4E55C42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need for a robust PNT system has been identified as a key component of the emerging </w:t>
      </w:r>
    </w:p>
    <w:p w14:paraId="4B52EC9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e-Navigation concept. eLoran is a dissimilar system to GNSS in terms of frequency, signal power, infrastructure and signal penetration and with performance comparable to GNSS is considered to be the only contender as a viable back-up to GNSS. This has been recognised in the U.S. where eLoran has been adopted as the national PNT system that complements the Global Positioning System (GPS) in the event of an outage or disruption in service.  </w:t>
      </w:r>
    </w:p>
    <w:p w14:paraId="474BA105" w14:textId="77777777" w:rsidR="00541A14" w:rsidRDefault="00A450E1">
      <w:pPr>
        <w:pStyle w:val="CM173"/>
        <w:spacing w:after="340" w:line="293" w:lineRule="atLeast"/>
        <w:ind w:right="327"/>
        <w:rPr>
          <w:rFonts w:ascii="Palatino" w:hAnsi="Palatino" w:cs="Palatino"/>
          <w:color w:val="000000"/>
          <w:sz w:val="20"/>
          <w:szCs w:val="20"/>
        </w:rPr>
      </w:pPr>
      <w:r>
        <w:rPr>
          <w:rFonts w:ascii="Palatino" w:hAnsi="Palatino" w:cs="Palatino"/>
          <w:color w:val="000000"/>
          <w:sz w:val="20"/>
          <w:szCs w:val="20"/>
        </w:rPr>
        <w:t xml:space="preserve">It needs to be recognised that any future eLoran systems are likely to be regional, although Loran systems presently cover a large percentage of the major shipping ports.  eLoran is likely to be a component of the future World Wide Radio Navigation System. </w:t>
      </w:r>
    </w:p>
    <w:p w14:paraId="3B6D04D3"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4.13 Radar Aids to Navigation </w:t>
      </w:r>
    </w:p>
    <w:p w14:paraId="605EDB7B"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Radar aids to navigation are devices that provide returns to a ship’s radar that help to locate and/or identify a navigation mark. </w:t>
      </w:r>
    </w:p>
    <w:p w14:paraId="3216ECCE"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The IMO carriage requirements contained in (Chapter V, Regulation 19) of the SOLAS Convention 1974 (as amended), states: </w:t>
      </w:r>
    </w:p>
    <w:p w14:paraId="34875CA0" w14:textId="77777777" w:rsidR="00541A14" w:rsidRDefault="00A450E1">
      <w:pPr>
        <w:pStyle w:val="Default"/>
        <w:numPr>
          <w:ilvl w:val="0"/>
          <w:numId w:val="101"/>
        </w:numPr>
        <w:spacing w:after="52"/>
        <w:rPr>
          <w:rFonts w:ascii="Palatino" w:hAnsi="Palatino" w:cs="Palatino"/>
          <w:sz w:val="20"/>
          <w:szCs w:val="20"/>
        </w:rPr>
      </w:pPr>
      <w:r>
        <w:rPr>
          <w:rFonts w:ascii="Palatino" w:hAnsi="Palatino" w:cs="Palatino"/>
          <w:sz w:val="20"/>
          <w:szCs w:val="20"/>
        </w:rPr>
        <w:t xml:space="preserve">all ships of 300 gross tonnage and upwards to carry a 9 GHz radar, and; </w:t>
      </w:r>
    </w:p>
    <w:p w14:paraId="47F92C08" w14:textId="77777777" w:rsidR="00541A14" w:rsidRDefault="00A450E1">
      <w:pPr>
        <w:pStyle w:val="Default"/>
        <w:numPr>
          <w:ilvl w:val="0"/>
          <w:numId w:val="101"/>
        </w:numPr>
        <w:rPr>
          <w:rFonts w:ascii="Palatino" w:hAnsi="Palatino" w:cs="Palatino"/>
          <w:sz w:val="20"/>
          <w:szCs w:val="20"/>
        </w:rPr>
      </w:pPr>
      <w:r>
        <w:rPr>
          <w:rFonts w:ascii="Palatino" w:hAnsi="Palatino" w:cs="Palatino"/>
          <w:sz w:val="20"/>
          <w:szCs w:val="20"/>
        </w:rPr>
        <w:t xml:space="preserve">all ships of 3,000 gross tonnage and upwards to be fitted with a 3 GHz radar or, where considered </w:t>
      </w:r>
    </w:p>
    <w:p w14:paraId="3D1B1ACE" w14:textId="77777777" w:rsidR="00541A14" w:rsidRDefault="00541A14">
      <w:pPr>
        <w:pStyle w:val="Default"/>
        <w:rPr>
          <w:rFonts w:ascii="Palatino" w:hAnsi="Palatino" w:cs="Palatino"/>
          <w:sz w:val="20"/>
          <w:szCs w:val="20"/>
        </w:rPr>
      </w:pPr>
    </w:p>
    <w:p w14:paraId="53E019E4"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appropriate by the Administration, a second 9 GHz radar. </w:t>
      </w:r>
    </w:p>
    <w:p w14:paraId="574E1D7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Some administrations may impose other carriage requirements. </w:t>
      </w:r>
    </w:p>
    <w:p w14:paraId="6ACE203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IMO Resolution MSC.192(79) Adoption of the Revised Performance Standards for Radar Equipment 06 December 2004 states that 9 GHz radars should be capable of detecting radar beacons and should be capable of detecting SARTs and radar target enhancers. </w:t>
      </w:r>
    </w:p>
    <w:p w14:paraId="00B60B90"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9 GHz radars are also extensively carried by vessels not covered by SOLAS or local regulation. Because of this high rate of carriage, radar aids to navigation in the 9 GHz band are especially useful. </w:t>
      </w:r>
    </w:p>
    <w:p w14:paraId="62E64E47"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4.13.1 New Technology Radars </w:t>
      </w:r>
    </w:p>
    <w:p w14:paraId="3855F820"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Previous to IMO Resolution MSC 192(79) IMO radar performance standards stated that 3 GHz radars should be capable of detecting radar beacons. Resolution MSC 192(79) removed this requirement. A number of factors were considered in this decision. Among them were: </w:t>
      </w:r>
    </w:p>
    <w:p w14:paraId="551CAC0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Pressure from ITU and other organizations to reduce the bandwidth needed for 3 GHz radars </w:t>
      </w:r>
    </w:p>
    <w:p w14:paraId="47FF8E09" w14:textId="77777777" w:rsidR="00541A14" w:rsidRDefault="00A450E1">
      <w:pPr>
        <w:pStyle w:val="CM170"/>
        <w:spacing w:after="887" w:line="293" w:lineRule="atLeast"/>
        <w:ind w:left="300"/>
        <w:rPr>
          <w:rFonts w:ascii="Palatino" w:hAnsi="Palatino" w:cs="Palatino"/>
          <w:color w:val="000000"/>
          <w:sz w:val="20"/>
          <w:szCs w:val="20"/>
        </w:rPr>
      </w:pPr>
      <w:r>
        <w:rPr>
          <w:rFonts w:ascii="Palatino" w:hAnsi="Palatino" w:cs="Palatino"/>
          <w:color w:val="000000"/>
          <w:sz w:val="20"/>
          <w:szCs w:val="20"/>
        </w:rPr>
        <w:t xml:space="preserve">and to reduce the amount of spurious out of band emissions. </w:t>
      </w:r>
    </w:p>
    <w:p w14:paraId="31F8C9C9"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3061E7AE" w14:textId="77777777" w:rsidR="00541A14" w:rsidRDefault="00A450E1">
      <w:pPr>
        <w:pStyle w:val="CM101"/>
        <w:ind w:left="9640"/>
        <w:rPr>
          <w:rFonts w:ascii="Palatino" w:hAnsi="Palatino" w:cs="Palatino"/>
          <w:color w:val="000000"/>
          <w:sz w:val="23"/>
          <w:szCs w:val="23"/>
        </w:rPr>
      </w:pPr>
      <w:r>
        <w:rPr>
          <w:rFonts w:ascii="Palatino" w:hAnsi="Palatino" w:cs="Palatino"/>
          <w:b/>
          <w:bCs/>
          <w:i/>
          <w:iCs/>
          <w:color w:val="000000"/>
          <w:sz w:val="23"/>
          <w:szCs w:val="23"/>
        </w:rPr>
        <w:t xml:space="preserve">95 </w:t>
      </w:r>
    </w:p>
    <w:p w14:paraId="3701D8E0" w14:textId="77777777" w:rsidR="00541A14" w:rsidRDefault="00A450E1">
      <w:pPr>
        <w:pStyle w:val="CM176"/>
        <w:pageBreakBefore/>
        <w:spacing w:after="1320"/>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5CE9DAF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Demand by the mariner for higher performance radars, especially with small object detection </w:t>
      </w:r>
    </w:p>
    <w:p w14:paraId="128254E2" w14:textId="77777777" w:rsidR="00541A14" w:rsidRDefault="00A450E1">
      <w:pPr>
        <w:pStyle w:val="CM165"/>
        <w:spacing w:after="85" w:line="293" w:lineRule="atLeast"/>
        <w:ind w:left="300" w:right="342"/>
        <w:rPr>
          <w:rFonts w:ascii="Palatino" w:hAnsi="Palatino" w:cs="Palatino"/>
          <w:color w:val="000000"/>
          <w:sz w:val="20"/>
          <w:szCs w:val="20"/>
        </w:rPr>
      </w:pPr>
      <w:r>
        <w:rPr>
          <w:rFonts w:ascii="Palatino" w:hAnsi="Palatino" w:cs="Palatino"/>
          <w:color w:val="000000"/>
          <w:sz w:val="20"/>
          <w:szCs w:val="20"/>
        </w:rPr>
        <w:t xml:space="preserve">and reduction of sea clutter. Higher performance 3 GHz radars have been available for many years. But, because of the techniques used by these radars, they would not detect racons, could not be used to satisfy carriage requirements and were rarely installed. </w:t>
      </w:r>
    </w:p>
    <w:p w14:paraId="2CFF0E1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Reduction of cost for sophisticated radars because of technology improvements in signal </w:t>
      </w:r>
    </w:p>
    <w:p w14:paraId="4FCC2D5F"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processing and solid-state transmitters. </w:t>
      </w:r>
    </w:p>
    <w:p w14:paraId="66F56502"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With the removal of the racon detection requirement, ship-owners are free to use higher performing radars, often referred to as New Technology (NT) radars. </w:t>
      </w:r>
    </w:p>
    <w:p w14:paraId="6F30F336"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4.13.2 Radar Reflectors </w:t>
      </w:r>
    </w:p>
    <w:p w14:paraId="43EF57A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 radar reflector is a passive device designed to return the incident radar pulses of electromagnetic </w:t>
      </w:r>
    </w:p>
    <w:p w14:paraId="50017C7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energy back towards the source and thereby enhance the response on the radar display. By design, a </w:t>
      </w:r>
    </w:p>
    <w:p w14:paraId="6410341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radar reflector attempts to minimise the absorption and random scattering effects. </w:t>
      </w:r>
    </w:p>
    <w:p w14:paraId="5CAC7C2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 radar reflector is generally installed as a supplementary device at sites that would also be marked </w:t>
      </w:r>
    </w:p>
    <w:p w14:paraId="6022C2E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with a light. The main objectives of its use are to enhance: </w:t>
      </w:r>
    </w:p>
    <w:p w14:paraId="309CB5C5" w14:textId="77777777" w:rsidR="00541A14" w:rsidRDefault="00A450E1">
      <w:pPr>
        <w:pStyle w:val="Default"/>
        <w:numPr>
          <w:ilvl w:val="0"/>
          <w:numId w:val="102"/>
        </w:numPr>
        <w:spacing w:after="52"/>
        <w:rPr>
          <w:rFonts w:ascii="Palatino" w:hAnsi="Palatino" w:cs="Palatino"/>
          <w:sz w:val="20"/>
          <w:szCs w:val="20"/>
        </w:rPr>
      </w:pPr>
      <w:r>
        <w:rPr>
          <w:rFonts w:ascii="Palatino" w:hAnsi="Palatino" w:cs="Palatino"/>
          <w:sz w:val="20"/>
          <w:szCs w:val="20"/>
        </w:rPr>
        <w:t xml:space="preserve">target detection at long ranges (for example, for landfall navigation); </w:t>
      </w:r>
    </w:p>
    <w:p w14:paraId="06F61ED6" w14:textId="77777777" w:rsidR="00541A14" w:rsidRDefault="00A450E1">
      <w:pPr>
        <w:pStyle w:val="Default"/>
        <w:numPr>
          <w:ilvl w:val="0"/>
          <w:numId w:val="102"/>
        </w:numPr>
        <w:spacing w:after="52"/>
        <w:rPr>
          <w:rFonts w:ascii="Palatino" w:hAnsi="Palatino" w:cs="Palatino"/>
          <w:sz w:val="20"/>
          <w:szCs w:val="20"/>
        </w:rPr>
      </w:pPr>
      <w:r>
        <w:rPr>
          <w:rFonts w:ascii="Palatino" w:hAnsi="Palatino" w:cs="Palatino"/>
          <w:sz w:val="20"/>
          <w:szCs w:val="20"/>
        </w:rPr>
        <w:t xml:space="preserve">target detection in areas of sea or rain clutter; and </w:t>
      </w:r>
    </w:p>
    <w:p w14:paraId="2B09AA2C" w14:textId="77777777" w:rsidR="00541A14" w:rsidRDefault="00A450E1">
      <w:pPr>
        <w:pStyle w:val="Default"/>
        <w:numPr>
          <w:ilvl w:val="0"/>
          <w:numId w:val="102"/>
        </w:numPr>
        <w:rPr>
          <w:rFonts w:ascii="Palatino" w:hAnsi="Palatino" w:cs="Palatino"/>
          <w:sz w:val="20"/>
          <w:szCs w:val="20"/>
        </w:rPr>
      </w:pPr>
      <w:r>
        <w:rPr>
          <w:rFonts w:ascii="Palatino" w:hAnsi="Palatino" w:cs="Palatino"/>
          <w:sz w:val="20"/>
          <w:szCs w:val="20"/>
        </w:rPr>
        <w:t xml:space="preserve">radar conspicuity of aids to navigation to reduce the risk of collision damage. </w:t>
      </w:r>
    </w:p>
    <w:p w14:paraId="2CD216D4" w14:textId="77777777" w:rsidR="00541A14" w:rsidRDefault="00541A14">
      <w:pPr>
        <w:pStyle w:val="Default"/>
        <w:rPr>
          <w:rFonts w:ascii="Palatino" w:hAnsi="Palatino" w:cs="Palatino"/>
          <w:sz w:val="20"/>
          <w:szCs w:val="20"/>
        </w:rPr>
      </w:pPr>
    </w:p>
    <w:p w14:paraId="12C2896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performance of a radar reflector can be defined in terms of its effective radar cross section </w:t>
      </w:r>
    </w:p>
    <w:p w14:paraId="4C1CF0D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(RCS). This is a value determined by comparing the strength of radar signals returned by the radar </w:t>
      </w:r>
    </w:p>
    <w:p w14:paraId="0D50D84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reflector with the equivalent return from a radar reflective sphere. </w:t>
      </w:r>
    </w:p>
    <w:p w14:paraId="7184EF2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range at which a radar reflector target can be detected is dependent on the heights of the radar antenna and the reflector and the output power of the radar. There are analogies to the geographical range of visual marks. The radar performance of corner cluster reflectors may vary considerably </w:t>
      </w:r>
    </w:p>
    <w:p w14:paraId="13D7BE8E"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 xml:space="preserve">from one make to another, despite being of similar physical size. This arises from differing design philosophies; some that favour the fabrication process and others that try to optimise the polar </w:t>
      </w:r>
    </w:p>
    <w:p w14:paraId="56B60C2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distribution of radar reflections. </w:t>
      </w:r>
    </w:p>
    <w:p w14:paraId="20FD015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Use of small radar reflectors can also be subject to multipath fading effects. Please see IALA </w:t>
      </w:r>
    </w:p>
    <w:p w14:paraId="25296A4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Guideline No. 1010 on racon range performance for a discussion on multipath fading. </w:t>
      </w:r>
    </w:p>
    <w:p w14:paraId="40DE1EE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Most radar reflectors are designed for use by 9 GHz radars. The reflectors are also usable with 3 </w:t>
      </w:r>
    </w:p>
    <w:p w14:paraId="24551F60"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GHz radars; however, the effective radar cross section is about an order of magnitude less. </w:t>
      </w:r>
    </w:p>
    <w:p w14:paraId="70A15EF8"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4.13.3 Radar Target Enhancers </w:t>
      </w:r>
    </w:p>
    <w:p w14:paraId="79C539A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 Radar Target Enhancer (RTE) is a device that amplifies and returns the pulse from a ship’s </w:t>
      </w:r>
    </w:p>
    <w:p w14:paraId="1E422C6A" w14:textId="77777777" w:rsidR="00541A14" w:rsidRDefault="00A450E1">
      <w:pPr>
        <w:pStyle w:val="CM202"/>
        <w:spacing w:after="1827" w:line="298" w:lineRule="atLeast"/>
        <w:ind w:right="507"/>
        <w:rPr>
          <w:rFonts w:ascii="Palatino" w:hAnsi="Palatino" w:cs="Palatino"/>
          <w:color w:val="000000"/>
          <w:sz w:val="20"/>
          <w:szCs w:val="20"/>
        </w:rPr>
      </w:pPr>
      <w:r>
        <w:rPr>
          <w:rFonts w:ascii="Palatino" w:hAnsi="Palatino" w:cs="Palatino"/>
          <w:color w:val="000000"/>
          <w:sz w:val="20"/>
          <w:szCs w:val="20"/>
        </w:rPr>
        <w:t xml:space="preserve">radar to give an enhanced image on the radar screen. The returned signal from an RTE is not coded. The RTE was designed primarily for buoys and small vessels that might normally carry </w:t>
      </w:r>
    </w:p>
    <w:p w14:paraId="6BAEA982" w14:textId="77777777" w:rsidR="00541A14" w:rsidRDefault="00541A14">
      <w:pPr>
        <w:pStyle w:val="CM100"/>
        <w:ind w:left="8357"/>
        <w:rPr>
          <w:rFonts w:ascii="Palatino" w:hAnsi="Palatino" w:cs="Palatino"/>
          <w:color w:val="000000"/>
          <w:sz w:val="20"/>
          <w:szCs w:val="20"/>
        </w:rPr>
      </w:pPr>
    </w:p>
    <w:p w14:paraId="26A9D99D"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75A59320" wp14:editId="6C0A1D2C">
            <wp:extent cx="227330" cy="113665"/>
            <wp:effectExtent l="0" t="0" r="127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5D0E1966"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5B0E0636" wp14:editId="44112EBE">
            <wp:extent cx="823595" cy="1136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00F15532" w14:textId="77777777" w:rsidR="00541A14" w:rsidRDefault="00DD420F">
      <w:pPr>
        <w:pStyle w:val="Default"/>
        <w:pageBreakBefore/>
        <w:framePr w:w="12865" w:wrap="auto" w:vAnchor="page" w:hAnchor="page" w:x="101" w:y="1"/>
        <w:spacing w:after="880"/>
        <w:rPr>
          <w:rFonts w:ascii="Palatino" w:hAnsi="Palatino" w:cs="Palatino"/>
          <w:sz w:val="20"/>
          <w:szCs w:val="20"/>
        </w:rPr>
      </w:pPr>
      <w:r>
        <w:rPr>
          <w:rFonts w:ascii="Palatino" w:hAnsi="Palatino" w:cs="Palatino"/>
          <w:noProof/>
          <w:sz w:val="20"/>
          <w:szCs w:val="20"/>
        </w:rPr>
        <w:drawing>
          <wp:inline distT="0" distB="0" distL="0" distR="0" wp14:anchorId="623B02CB" wp14:editId="0CE70270">
            <wp:extent cx="7553960" cy="1056640"/>
            <wp:effectExtent l="0" t="0" r="0" b="1016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455E0B4C"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a passive radar reflector. A paper on RTE trials presented at the 1998 IALA Conference  noted that </w:t>
      </w:r>
    </w:p>
    <w:p w14:paraId="43E43BED"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the RTE tested had an effective radar cross section (RCS) of about 100 square metres, compared </w:t>
      </w:r>
    </w:p>
    <w:p w14:paraId="25DBC5D2"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with an RCS of 20 to 30 square metres for passive radar reflectors typically fitted to buoys.  </w:t>
      </w:r>
    </w:p>
    <w:p w14:paraId="7B40D124"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To date, commercially available RTEs only operate in the 9 GHz band. </w:t>
      </w:r>
    </w:p>
    <w:p w14:paraId="00A459B4" w14:textId="77777777" w:rsidR="00541A14" w:rsidRDefault="00A450E1">
      <w:pPr>
        <w:pStyle w:val="CM173"/>
        <w:spacing w:after="340" w:line="293" w:lineRule="atLeast"/>
        <w:ind w:right="245"/>
        <w:rPr>
          <w:rFonts w:ascii="Palatino" w:hAnsi="Palatino" w:cs="Palatino"/>
          <w:color w:val="000000"/>
          <w:sz w:val="20"/>
          <w:szCs w:val="20"/>
        </w:rPr>
      </w:pPr>
      <w:r>
        <w:rPr>
          <w:rFonts w:ascii="Palatino" w:hAnsi="Palatino" w:cs="Palatino"/>
          <w:color w:val="000000"/>
          <w:sz w:val="20"/>
          <w:szCs w:val="20"/>
        </w:rPr>
        <w:t xml:space="preserve">RTE use is subject to multipath fading effects. Please refer to IALA Guideline No. 1010 on racon range performance for a discussion on multipath fading. </w:t>
      </w:r>
    </w:p>
    <w:p w14:paraId="3C11F92D"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4.13.4 Radar Beacon (Racon) </w:t>
      </w:r>
    </w:p>
    <w:p w14:paraId="1891025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Racons are receiver/transmitter devices operating in the maritime radar frequency bands (9 and 3 </w:t>
      </w:r>
    </w:p>
    <w:p w14:paraId="0E12FA54"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GHz) that enhance the detection and identification of certain radar targets. </w:t>
      </w:r>
    </w:p>
    <w:p w14:paraId="091A29A2"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 xml:space="preserve">A racon responds to the presence of a ship’s radar by sending a characteristic pulse train. The response appears as a coded mark (or “paint”) on the ship’s radar display (refer Figure 18) that </w:t>
      </w:r>
    </w:p>
    <w:p w14:paraId="4BBBD968" w14:textId="77777777" w:rsidR="00541A14" w:rsidRDefault="00A450E1">
      <w:pPr>
        <w:pStyle w:val="CM174"/>
        <w:spacing w:after="437" w:line="291" w:lineRule="atLeast"/>
        <w:ind w:right="107"/>
        <w:rPr>
          <w:rFonts w:ascii="Palatino" w:hAnsi="Palatino" w:cs="Palatino"/>
          <w:color w:val="000000"/>
          <w:sz w:val="20"/>
          <w:szCs w:val="20"/>
        </w:rPr>
      </w:pPr>
      <w:r>
        <w:rPr>
          <w:rFonts w:ascii="Palatino" w:hAnsi="Palatino" w:cs="Palatino"/>
          <w:color w:val="000000"/>
          <w:sz w:val="20"/>
          <w:szCs w:val="20"/>
        </w:rPr>
        <w:t xml:space="preserve">highlights the range and bearing of the racon. The display paint can be fixed to a specified length or can be dependent on the radar range setting and uses a Morse character for identification. </w:t>
      </w:r>
    </w:p>
    <w:p w14:paraId="00905569" w14:textId="77777777" w:rsidR="00541A14" w:rsidRDefault="00DD420F">
      <w:pPr>
        <w:pStyle w:val="Default"/>
        <w:framePr w:w="6055" w:wrap="auto" w:vAnchor="page" w:hAnchor="page" w:x="3192" w:y="7406"/>
        <w:spacing w:after="40"/>
        <w:rPr>
          <w:rFonts w:ascii="Palatino" w:hAnsi="Palatino" w:cs="Palatino"/>
          <w:sz w:val="20"/>
          <w:szCs w:val="20"/>
        </w:rPr>
      </w:pPr>
      <w:r>
        <w:rPr>
          <w:rFonts w:ascii="Palatino" w:hAnsi="Palatino" w:cs="Palatino"/>
          <w:noProof/>
          <w:sz w:val="20"/>
          <w:szCs w:val="20"/>
        </w:rPr>
        <w:drawing>
          <wp:inline distT="0" distB="0" distL="0" distR="0" wp14:anchorId="15552A41" wp14:editId="7F42AF7D">
            <wp:extent cx="3328035" cy="3300095"/>
            <wp:effectExtent l="0" t="0" r="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328035" cy="3300095"/>
                    </a:xfrm>
                    <a:prstGeom prst="rect">
                      <a:avLst/>
                    </a:prstGeom>
                    <a:noFill/>
                    <a:ln>
                      <a:noFill/>
                    </a:ln>
                  </pic:spPr>
                </pic:pic>
              </a:graphicData>
            </a:graphic>
          </wp:inline>
        </w:drawing>
      </w:r>
    </w:p>
    <w:p w14:paraId="3C293C77" w14:textId="77777777" w:rsidR="00541A14" w:rsidRDefault="00A450E1">
      <w:pPr>
        <w:pStyle w:val="CM174"/>
        <w:spacing w:after="437"/>
        <w:jc w:val="center"/>
        <w:rPr>
          <w:rFonts w:ascii="Palatino" w:hAnsi="Palatino" w:cs="Palatino"/>
          <w:color w:val="000000"/>
          <w:sz w:val="20"/>
          <w:szCs w:val="20"/>
        </w:rPr>
      </w:pPr>
      <w:r>
        <w:rPr>
          <w:rFonts w:ascii="Palatino" w:hAnsi="Palatino" w:cs="Palatino"/>
          <w:i/>
          <w:iCs/>
          <w:color w:val="000000"/>
          <w:sz w:val="20"/>
          <w:szCs w:val="20"/>
        </w:rPr>
        <w:t xml:space="preserve">Figure 18 – Example of a racon and a radar display with and without the racon character </w:t>
      </w:r>
    </w:p>
    <w:p w14:paraId="1501783A"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Applications </w:t>
      </w:r>
    </w:p>
    <w:p w14:paraId="746E0396" w14:textId="77777777" w:rsidR="00541A14" w:rsidRDefault="00A450E1">
      <w:pPr>
        <w:pStyle w:val="CM202"/>
        <w:spacing w:after="1827" w:line="291" w:lineRule="atLeast"/>
        <w:rPr>
          <w:rFonts w:ascii="Palatino" w:hAnsi="Palatino" w:cs="Palatino"/>
          <w:color w:val="000000"/>
          <w:sz w:val="20"/>
          <w:szCs w:val="20"/>
        </w:rPr>
      </w:pPr>
      <w:r>
        <w:rPr>
          <w:rFonts w:ascii="Palatino" w:hAnsi="Palatino" w:cs="Palatino"/>
          <w:color w:val="000000"/>
          <w:sz w:val="20"/>
          <w:szCs w:val="20"/>
        </w:rPr>
        <w:t xml:space="preserve">A racon is generally considered to be a supplementary aid to navigation installed at sites that would also be marked with a light. The number of vessels capable of making use of a racon is effectively unlimited. </w:t>
      </w:r>
    </w:p>
    <w:p w14:paraId="3B8C8C60"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19F21485" w14:textId="77777777" w:rsidR="00541A14" w:rsidRDefault="00A450E1">
      <w:pPr>
        <w:pStyle w:val="CM101"/>
        <w:ind w:left="9640"/>
        <w:rPr>
          <w:rFonts w:ascii="Palatino" w:hAnsi="Palatino" w:cs="Palatino"/>
          <w:color w:val="000000"/>
          <w:sz w:val="23"/>
          <w:szCs w:val="23"/>
        </w:rPr>
      </w:pPr>
      <w:r>
        <w:rPr>
          <w:rFonts w:ascii="Palatino" w:hAnsi="Palatino" w:cs="Palatino"/>
          <w:b/>
          <w:bCs/>
          <w:i/>
          <w:iCs/>
          <w:color w:val="000000"/>
          <w:sz w:val="23"/>
          <w:szCs w:val="23"/>
        </w:rPr>
        <w:t xml:space="preserve">97 </w:t>
      </w:r>
    </w:p>
    <w:p w14:paraId="7709FD64" w14:textId="77777777" w:rsidR="00541A14" w:rsidRDefault="00A450E1">
      <w:pPr>
        <w:pStyle w:val="CM178"/>
        <w:pageBreakBefore/>
        <w:spacing w:after="1397"/>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554AE5AE"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A racon can be used for: </w:t>
      </w:r>
    </w:p>
    <w:p w14:paraId="355A23E5" w14:textId="77777777" w:rsidR="00541A14" w:rsidRDefault="00A450E1">
      <w:pPr>
        <w:pStyle w:val="Default"/>
        <w:numPr>
          <w:ilvl w:val="0"/>
          <w:numId w:val="103"/>
        </w:numPr>
        <w:rPr>
          <w:rFonts w:ascii="Palatino" w:hAnsi="Palatino" w:cs="Palatino"/>
          <w:sz w:val="20"/>
          <w:szCs w:val="20"/>
        </w:rPr>
      </w:pPr>
      <w:r>
        <w:rPr>
          <w:rFonts w:ascii="Palatino" w:hAnsi="Palatino" w:cs="Palatino"/>
          <w:sz w:val="20"/>
          <w:szCs w:val="20"/>
        </w:rPr>
        <w:t xml:space="preserve">ranging and identification of positions in ice conditions or on inconspicuous coastlines; </w:t>
      </w:r>
    </w:p>
    <w:p w14:paraId="5E1FE04E" w14:textId="77777777" w:rsidR="00541A14" w:rsidRDefault="00A450E1">
      <w:pPr>
        <w:pStyle w:val="Default"/>
        <w:numPr>
          <w:ilvl w:val="0"/>
          <w:numId w:val="103"/>
        </w:numPr>
        <w:rPr>
          <w:rFonts w:ascii="Palatino" w:hAnsi="Palatino" w:cs="Palatino"/>
          <w:sz w:val="20"/>
          <w:szCs w:val="20"/>
        </w:rPr>
      </w:pPr>
      <w:r>
        <w:rPr>
          <w:rFonts w:ascii="Palatino" w:hAnsi="Palatino" w:cs="Palatino"/>
          <w:sz w:val="20"/>
          <w:szCs w:val="20"/>
        </w:rPr>
        <w:t xml:space="preserve">identification of aids to navigation, both seaborne and land based; </w:t>
      </w:r>
    </w:p>
    <w:p w14:paraId="07ED018E" w14:textId="77777777" w:rsidR="00541A14" w:rsidRDefault="00A450E1">
      <w:pPr>
        <w:pStyle w:val="Default"/>
        <w:numPr>
          <w:ilvl w:val="0"/>
          <w:numId w:val="103"/>
        </w:numPr>
        <w:rPr>
          <w:rFonts w:ascii="Palatino" w:hAnsi="Palatino" w:cs="Palatino"/>
          <w:sz w:val="20"/>
          <w:szCs w:val="20"/>
        </w:rPr>
      </w:pPr>
      <w:r>
        <w:rPr>
          <w:rFonts w:ascii="Palatino" w:hAnsi="Palatino" w:cs="Palatino"/>
          <w:sz w:val="20"/>
          <w:szCs w:val="20"/>
        </w:rPr>
        <w:t xml:space="preserve">landfall identification; </w:t>
      </w:r>
    </w:p>
    <w:p w14:paraId="2A6169AC" w14:textId="77777777" w:rsidR="00541A14" w:rsidRDefault="00A450E1">
      <w:pPr>
        <w:pStyle w:val="Default"/>
        <w:numPr>
          <w:ilvl w:val="0"/>
          <w:numId w:val="103"/>
        </w:numPr>
        <w:rPr>
          <w:rFonts w:ascii="Palatino" w:hAnsi="Palatino" w:cs="Palatino"/>
          <w:sz w:val="20"/>
          <w:szCs w:val="20"/>
        </w:rPr>
      </w:pPr>
      <w:r>
        <w:rPr>
          <w:rFonts w:ascii="Palatino" w:hAnsi="Palatino" w:cs="Palatino"/>
          <w:sz w:val="20"/>
          <w:szCs w:val="20"/>
        </w:rPr>
        <w:t xml:space="preserve">indicating centre and turning point in precautionary areas or Traffic Separation Scheme (TSS); </w:t>
      </w:r>
    </w:p>
    <w:p w14:paraId="761FB117" w14:textId="77777777" w:rsidR="00541A14" w:rsidRDefault="00A450E1">
      <w:pPr>
        <w:pStyle w:val="Default"/>
        <w:numPr>
          <w:ilvl w:val="0"/>
          <w:numId w:val="103"/>
        </w:numPr>
        <w:rPr>
          <w:rFonts w:ascii="Palatino" w:hAnsi="Palatino" w:cs="Palatino"/>
          <w:sz w:val="20"/>
          <w:szCs w:val="20"/>
        </w:rPr>
      </w:pPr>
      <w:r>
        <w:rPr>
          <w:rFonts w:ascii="Palatino" w:hAnsi="Palatino" w:cs="Palatino"/>
          <w:sz w:val="20"/>
          <w:szCs w:val="20"/>
        </w:rPr>
        <w:t xml:space="preserve">marking hazards; </w:t>
      </w:r>
    </w:p>
    <w:p w14:paraId="38D9B5BE" w14:textId="77777777" w:rsidR="00541A14" w:rsidRDefault="00A450E1">
      <w:pPr>
        <w:pStyle w:val="Default"/>
        <w:numPr>
          <w:ilvl w:val="0"/>
          <w:numId w:val="103"/>
        </w:numPr>
        <w:rPr>
          <w:rFonts w:ascii="Palatino" w:hAnsi="Palatino" w:cs="Palatino"/>
          <w:sz w:val="20"/>
          <w:szCs w:val="20"/>
        </w:rPr>
      </w:pPr>
      <w:r>
        <w:rPr>
          <w:rFonts w:ascii="Palatino" w:hAnsi="Palatino" w:cs="Palatino"/>
          <w:sz w:val="20"/>
          <w:szCs w:val="20"/>
        </w:rPr>
        <w:t xml:space="preserve">indicating navigable spans under bridges; and </w:t>
      </w:r>
    </w:p>
    <w:p w14:paraId="131E1391" w14:textId="77777777" w:rsidR="00541A14" w:rsidRDefault="00A450E1">
      <w:pPr>
        <w:pStyle w:val="Default"/>
        <w:numPr>
          <w:ilvl w:val="0"/>
          <w:numId w:val="103"/>
        </w:numPr>
        <w:rPr>
          <w:rFonts w:ascii="Palatino" w:hAnsi="Palatino" w:cs="Palatino"/>
          <w:sz w:val="20"/>
          <w:szCs w:val="20"/>
        </w:rPr>
      </w:pPr>
      <w:r>
        <w:rPr>
          <w:rFonts w:ascii="Palatino" w:hAnsi="Palatino" w:cs="Palatino"/>
          <w:sz w:val="20"/>
          <w:szCs w:val="20"/>
        </w:rPr>
        <w:t xml:space="preserve">identifying leading lines. </w:t>
      </w:r>
    </w:p>
    <w:p w14:paraId="03E1577A" w14:textId="77777777" w:rsidR="00541A14" w:rsidRDefault="00541A14">
      <w:pPr>
        <w:pStyle w:val="Default"/>
        <w:rPr>
          <w:rFonts w:ascii="Palatino" w:hAnsi="Palatino" w:cs="Palatino"/>
          <w:sz w:val="20"/>
          <w:szCs w:val="20"/>
        </w:rPr>
      </w:pPr>
    </w:p>
    <w:p w14:paraId="76E5A6D4"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4.13.5 Frequency-Agile Racon </w:t>
      </w:r>
    </w:p>
    <w:p w14:paraId="633E061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 frequency-agile racon responds on the frequency on which it is interrogated and the response can be re-painted on each radar sweep. The purpose of frequency agility is to provide a signal to the radar that is within the receiver bandwidth of the radar. </w:t>
      </w:r>
    </w:p>
    <w:p w14:paraId="5D7D13A5"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However, to avoid masking other features on the radar screen, the racon response is usually switched on and off on a preset cycle. </w:t>
      </w:r>
    </w:p>
    <w:p w14:paraId="226798FB"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Signal Characteristics </w:t>
      </w:r>
    </w:p>
    <w:p w14:paraId="7B648835" w14:textId="77777777" w:rsidR="00541A14" w:rsidRDefault="00A450E1">
      <w:pPr>
        <w:pStyle w:val="CM172"/>
        <w:spacing w:after="202" w:line="293" w:lineRule="atLeast"/>
        <w:ind w:right="570"/>
        <w:rPr>
          <w:rFonts w:ascii="Palatino" w:hAnsi="Palatino" w:cs="Palatino"/>
          <w:color w:val="000000"/>
          <w:sz w:val="20"/>
          <w:szCs w:val="20"/>
        </w:rPr>
      </w:pPr>
      <w:r>
        <w:rPr>
          <w:rFonts w:ascii="Palatino" w:hAnsi="Palatino" w:cs="Palatino"/>
          <w:color w:val="000000"/>
          <w:sz w:val="20"/>
          <w:szCs w:val="20"/>
        </w:rPr>
        <w:t xml:space="preserve">Racons operate in the 9 GHz band with horizontal polarisation, and/or in the 3 GHz band with horizontal and optionally vertical polarisation. </w:t>
      </w:r>
    </w:p>
    <w:p w14:paraId="5ACA4DD7" w14:textId="77777777" w:rsidR="00541A14" w:rsidRDefault="00A450E1">
      <w:pPr>
        <w:pStyle w:val="CM172"/>
        <w:spacing w:after="202" w:line="296" w:lineRule="atLeast"/>
        <w:jc w:val="center"/>
        <w:rPr>
          <w:rFonts w:ascii="Palatino" w:hAnsi="Palatino" w:cs="Palatino"/>
          <w:color w:val="000000"/>
          <w:sz w:val="20"/>
          <w:szCs w:val="20"/>
        </w:rPr>
      </w:pPr>
      <w:r>
        <w:rPr>
          <w:rFonts w:ascii="Palatino" w:hAnsi="Palatino" w:cs="Palatino"/>
          <w:b/>
          <w:bCs/>
          <w:color w:val="000000"/>
          <w:sz w:val="20"/>
          <w:szCs w:val="20"/>
        </w:rPr>
        <w:t xml:space="preserve">table 18 – Preferred terminology for the description of racon operating frequencies </w:t>
      </w:r>
    </w:p>
    <w:p w14:paraId="1E192339"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79744" behindDoc="0" locked="0" layoutInCell="0" allowOverlap="1" wp14:anchorId="3C53513C" wp14:editId="63604A54">
                <wp:simplePos x="0" y="0"/>
                <wp:positionH relativeFrom="page">
                  <wp:posOffset>1296670</wp:posOffset>
                </wp:positionH>
                <wp:positionV relativeFrom="page">
                  <wp:posOffset>5807075</wp:posOffset>
                </wp:positionV>
                <wp:extent cx="5226050" cy="807720"/>
                <wp:effectExtent l="0" t="0" r="0" b="0"/>
                <wp:wrapThrough wrapText="bothSides">
                  <wp:wrapPolygon edited="0">
                    <wp:start x="0" y="0"/>
                    <wp:lineTo x="21600" y="0"/>
                    <wp:lineTo x="21600" y="21600"/>
                    <wp:lineTo x="0" y="21600"/>
                    <wp:lineTo x="0" y="0"/>
                  </wp:wrapPolygon>
                </wp:wrapThrough>
                <wp:docPr id="53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6050" cy="807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2280"/>
                              <w:gridCol w:w="1750"/>
                              <w:gridCol w:w="517"/>
                              <w:gridCol w:w="1443"/>
                              <w:gridCol w:w="1440"/>
                            </w:tblGrid>
                            <w:tr w:rsidR="00541A14" w14:paraId="30084363" w14:textId="77777777">
                              <w:trPr>
                                <w:trHeight w:val="218"/>
                              </w:trPr>
                              <w:tc>
                                <w:tcPr>
                                  <w:tcW w:w="2280" w:type="dxa"/>
                                  <w:tcBorders>
                                    <w:top w:val="single" w:sz="4" w:space="0" w:color="192326"/>
                                    <w:left w:val="single" w:sz="4" w:space="0" w:color="090C0E"/>
                                    <w:bottom w:val="single" w:sz="4" w:space="0" w:color="192326"/>
                                    <w:right w:val="single" w:sz="4" w:space="0" w:color="12191B"/>
                                  </w:tcBorders>
                                  <w:shd w:val="clear" w:color="auto" w:fill="9FDBEC"/>
                                  <w:vAlign w:val="center"/>
                                </w:tcPr>
                                <w:p w14:paraId="6A9C9FE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Preferred Terminology </w:t>
                                  </w:r>
                                </w:p>
                              </w:tc>
                              <w:tc>
                                <w:tcPr>
                                  <w:tcW w:w="1750" w:type="dxa"/>
                                  <w:tcBorders>
                                    <w:top w:val="single" w:sz="4" w:space="0" w:color="192326"/>
                                    <w:left w:val="single" w:sz="4" w:space="0" w:color="12191B"/>
                                    <w:bottom w:val="single" w:sz="4" w:space="0" w:color="192326"/>
                                  </w:tcBorders>
                                  <w:shd w:val="clear" w:color="auto" w:fill="9FDBEC"/>
                                </w:tcPr>
                                <w:p w14:paraId="15B074DC" w14:textId="77777777" w:rsidR="00541A14" w:rsidRDefault="00541A14">
                                  <w:pPr>
                                    <w:pStyle w:val="Default"/>
                                    <w:rPr>
                                      <w:rFonts w:cs="Times New Roman"/>
                                      <w:color w:val="auto"/>
                                    </w:rPr>
                                  </w:pPr>
                                </w:p>
                              </w:tc>
                              <w:tc>
                                <w:tcPr>
                                  <w:tcW w:w="1960" w:type="dxa"/>
                                  <w:gridSpan w:val="2"/>
                                  <w:tcBorders>
                                    <w:top w:val="single" w:sz="4" w:space="0" w:color="192326"/>
                                    <w:bottom w:val="single" w:sz="4" w:space="0" w:color="192326"/>
                                  </w:tcBorders>
                                  <w:shd w:val="clear" w:color="auto" w:fill="9FDBEC"/>
                                  <w:vAlign w:val="center"/>
                                </w:tcPr>
                                <w:p w14:paraId="2D7FD80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Alternatives </w:t>
                                  </w:r>
                                </w:p>
                              </w:tc>
                              <w:tc>
                                <w:tcPr>
                                  <w:tcW w:w="1440" w:type="dxa"/>
                                  <w:tcBorders>
                                    <w:top w:val="single" w:sz="4" w:space="0" w:color="192326"/>
                                    <w:bottom w:val="single" w:sz="4" w:space="0" w:color="192326"/>
                                    <w:right w:val="single" w:sz="4" w:space="0" w:color="090C0E"/>
                                  </w:tcBorders>
                                  <w:shd w:val="clear" w:color="auto" w:fill="9FDBEC"/>
                                </w:tcPr>
                                <w:p w14:paraId="1C8EDEDB" w14:textId="77777777" w:rsidR="00541A14" w:rsidRDefault="00541A14">
                                  <w:pPr>
                                    <w:pStyle w:val="Default"/>
                                    <w:rPr>
                                      <w:rFonts w:cs="Times New Roman"/>
                                      <w:color w:val="auto"/>
                                    </w:rPr>
                                  </w:pPr>
                                </w:p>
                              </w:tc>
                            </w:tr>
                            <w:tr w:rsidR="00541A14" w14:paraId="489B7E53" w14:textId="77777777">
                              <w:trPr>
                                <w:trHeight w:val="213"/>
                              </w:trPr>
                              <w:tc>
                                <w:tcPr>
                                  <w:tcW w:w="2280" w:type="dxa"/>
                                  <w:tcBorders>
                                    <w:top w:val="single" w:sz="4" w:space="0" w:color="192326"/>
                                    <w:left w:val="single" w:sz="4" w:space="0" w:color="090C0E"/>
                                    <w:right w:val="single" w:sz="4" w:space="0" w:color="12191B"/>
                                  </w:tcBorders>
                                  <w:vAlign w:val="center"/>
                                </w:tcPr>
                                <w:p w14:paraId="480DFFE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 GHz </w:t>
                                  </w:r>
                                </w:p>
                              </w:tc>
                              <w:tc>
                                <w:tcPr>
                                  <w:tcW w:w="1750" w:type="dxa"/>
                                  <w:tcBorders>
                                    <w:top w:val="single" w:sz="4" w:space="0" w:color="192326"/>
                                    <w:left w:val="single" w:sz="4" w:space="0" w:color="12191B"/>
                                  </w:tcBorders>
                                  <w:vAlign w:val="center"/>
                                </w:tcPr>
                                <w:p w14:paraId="5C1F6A6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9300 9500 MHz </w:t>
                                  </w:r>
                                </w:p>
                              </w:tc>
                              <w:tc>
                                <w:tcPr>
                                  <w:tcW w:w="517" w:type="dxa"/>
                                  <w:tcBorders>
                                    <w:top w:val="single" w:sz="4" w:space="0" w:color="192326"/>
                                    <w:right w:val="single" w:sz="4" w:space="0" w:color="000000"/>
                                  </w:tcBorders>
                                </w:tcPr>
                                <w:p w14:paraId="3C41ECAD" w14:textId="77777777" w:rsidR="00541A14" w:rsidRDefault="00541A14">
                                  <w:pPr>
                                    <w:pStyle w:val="Default"/>
                                    <w:jc w:val="center"/>
                                    <w:rPr>
                                      <w:rFonts w:cs="Times New Roman"/>
                                      <w:color w:val="auto"/>
                                    </w:rPr>
                                  </w:pPr>
                                </w:p>
                              </w:tc>
                              <w:tc>
                                <w:tcPr>
                                  <w:tcW w:w="1442" w:type="dxa"/>
                                  <w:tcBorders>
                                    <w:top w:val="single" w:sz="4" w:space="0" w:color="192326"/>
                                    <w:left w:val="single" w:sz="4" w:space="0" w:color="000000"/>
                                    <w:right w:val="single" w:sz="4" w:space="0" w:color="000000"/>
                                  </w:tcBorders>
                                  <w:vAlign w:val="center"/>
                                </w:tcPr>
                                <w:p w14:paraId="48217AF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X - Band </w:t>
                                  </w:r>
                                </w:p>
                              </w:tc>
                              <w:tc>
                                <w:tcPr>
                                  <w:tcW w:w="1440" w:type="dxa"/>
                                  <w:tcBorders>
                                    <w:top w:val="single" w:sz="4" w:space="0" w:color="192326"/>
                                    <w:left w:val="single" w:sz="4" w:space="0" w:color="000000"/>
                                    <w:right w:val="single" w:sz="4" w:space="0" w:color="090C0E"/>
                                  </w:tcBorders>
                                  <w:vAlign w:val="center"/>
                                </w:tcPr>
                                <w:p w14:paraId="477758E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 cm </w:t>
                                  </w:r>
                                </w:p>
                              </w:tc>
                            </w:tr>
                            <w:tr w:rsidR="00541A14" w14:paraId="06A4783C" w14:textId="77777777">
                              <w:trPr>
                                <w:trHeight w:val="212"/>
                              </w:trPr>
                              <w:tc>
                                <w:tcPr>
                                  <w:tcW w:w="2280" w:type="dxa"/>
                                  <w:tcBorders>
                                    <w:left w:val="single" w:sz="4" w:space="0" w:color="090C0E"/>
                                    <w:bottom w:val="single" w:sz="4" w:space="0" w:color="000000"/>
                                    <w:right w:val="single" w:sz="4" w:space="0" w:color="12191B"/>
                                  </w:tcBorders>
                                  <w:shd w:val="clear" w:color="auto" w:fill="DFF3F8"/>
                                  <w:vAlign w:val="center"/>
                                </w:tcPr>
                                <w:p w14:paraId="104A042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 GHz </w:t>
                                  </w:r>
                                </w:p>
                              </w:tc>
                              <w:tc>
                                <w:tcPr>
                                  <w:tcW w:w="1750" w:type="dxa"/>
                                  <w:tcBorders>
                                    <w:left w:val="single" w:sz="4" w:space="0" w:color="12191B"/>
                                    <w:bottom w:val="single" w:sz="4" w:space="0" w:color="000000"/>
                                  </w:tcBorders>
                                  <w:shd w:val="clear" w:color="auto" w:fill="DFF3F8"/>
                                  <w:vAlign w:val="center"/>
                                </w:tcPr>
                                <w:p w14:paraId="028E296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2900 3100 MHz </w:t>
                                  </w:r>
                                </w:p>
                              </w:tc>
                              <w:tc>
                                <w:tcPr>
                                  <w:tcW w:w="517" w:type="dxa"/>
                                  <w:tcBorders>
                                    <w:bottom w:val="single" w:sz="4" w:space="0" w:color="000000"/>
                                    <w:right w:val="single" w:sz="4" w:space="0" w:color="000000"/>
                                  </w:tcBorders>
                                  <w:shd w:val="clear" w:color="auto" w:fill="DFF3F8"/>
                                </w:tcPr>
                                <w:p w14:paraId="22D64695" w14:textId="77777777" w:rsidR="00541A14" w:rsidRDefault="00541A14">
                                  <w:pPr>
                                    <w:pStyle w:val="Default"/>
                                    <w:jc w:val="center"/>
                                    <w:rPr>
                                      <w:rFonts w:cs="Times New Roman"/>
                                      <w:color w:val="auto"/>
                                    </w:rPr>
                                  </w:pPr>
                                </w:p>
                              </w:tc>
                              <w:tc>
                                <w:tcPr>
                                  <w:tcW w:w="1442" w:type="dxa"/>
                                  <w:tcBorders>
                                    <w:left w:val="single" w:sz="4" w:space="0" w:color="000000"/>
                                    <w:bottom w:val="single" w:sz="4" w:space="0" w:color="000000"/>
                                    <w:right w:val="single" w:sz="4" w:space="0" w:color="000000"/>
                                  </w:tcBorders>
                                  <w:shd w:val="clear" w:color="auto" w:fill="DFF3F8"/>
                                  <w:vAlign w:val="center"/>
                                </w:tcPr>
                                <w:p w14:paraId="115E7B8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 - Band </w:t>
                                  </w:r>
                                </w:p>
                              </w:tc>
                              <w:tc>
                                <w:tcPr>
                                  <w:tcW w:w="1440" w:type="dxa"/>
                                  <w:tcBorders>
                                    <w:left w:val="single" w:sz="4" w:space="0" w:color="000000"/>
                                    <w:bottom w:val="single" w:sz="4" w:space="0" w:color="000000"/>
                                    <w:right w:val="single" w:sz="4" w:space="0" w:color="090C0E"/>
                                  </w:tcBorders>
                                  <w:shd w:val="clear" w:color="auto" w:fill="DFF3F8"/>
                                  <w:vAlign w:val="center"/>
                                </w:tcPr>
                                <w:p w14:paraId="70B5B9C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cm </w:t>
                                  </w:r>
                                </w:p>
                              </w:tc>
                            </w:tr>
                          </w:tbl>
                          <w:p w14:paraId="45CD7314"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47" type="#_x0000_t202" style="position:absolute;margin-left:102.1pt;margin-top:457.25pt;width:411.5pt;height:63.6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15"/>
                        <w:gridCol w:w="42"/>
                        <w:gridCol w:w="33"/>
                        <w:gridCol w:w="120"/>
                        <w:gridCol w:w="182"/>
                        <w:gridCol w:w="33"/>
                        <w:gridCol w:w="135"/>
                        <w:gridCol w:w="177"/>
                        <w:gridCol w:w="125"/>
                        <w:gridCol w:w="55"/>
                        <w:gridCol w:w="20"/>
                        <w:gridCol w:w="50"/>
                        <w:gridCol w:w="50"/>
                        <w:gridCol w:w="118"/>
                        <w:gridCol w:w="95"/>
                        <w:gridCol w:w="2"/>
                        <w:gridCol w:w="33"/>
                        <w:gridCol w:w="175"/>
                        <w:gridCol w:w="197"/>
                        <w:gridCol w:w="112"/>
                        <w:gridCol w:w="5"/>
                        <w:gridCol w:w="123"/>
                        <w:gridCol w:w="22"/>
                        <w:gridCol w:w="15"/>
                        <w:gridCol w:w="265"/>
                        <w:gridCol w:w="240"/>
                        <w:gridCol w:w="60"/>
                        <w:gridCol w:w="237"/>
                        <w:gridCol w:w="38"/>
                        <w:gridCol w:w="15"/>
                        <w:gridCol w:w="25"/>
                        <w:gridCol w:w="50"/>
                        <w:gridCol w:w="136"/>
                        <w:gridCol w:w="234"/>
                        <w:gridCol w:w="5"/>
                        <w:gridCol w:w="5"/>
                        <w:gridCol w:w="12"/>
                        <w:gridCol w:w="47"/>
                        <w:gridCol w:w="168"/>
                        <w:gridCol w:w="48"/>
                        <w:gridCol w:w="4"/>
                        <w:gridCol w:w="110"/>
                        <w:gridCol w:w="12"/>
                        <w:gridCol w:w="108"/>
                        <w:gridCol w:w="503"/>
                        <w:gridCol w:w="47"/>
                        <w:gridCol w:w="355"/>
                        <w:gridCol w:w="10"/>
                        <w:gridCol w:w="293"/>
                        <w:gridCol w:w="78"/>
                        <w:gridCol w:w="509"/>
                        <w:gridCol w:w="183"/>
                        <w:gridCol w:w="57"/>
                        <w:gridCol w:w="283"/>
                        <w:gridCol w:w="330"/>
                        <w:gridCol w:w="1562"/>
                        <w:gridCol w:w="77"/>
                        <w:gridCol w:w="15"/>
                        <w:gridCol w:w="8"/>
                      </w:tblGrid>
                      <w:tr w:rsidR="00000000" w14:paraId="30084363" w14:textId="77777777">
                        <w:tblPrEx>
                          <w:tblCellMar>
                            <w:top w:w="0" w:type="dxa"/>
                            <w:bottom w:w="0" w:type="dxa"/>
                          </w:tblCellMar>
                        </w:tblPrEx>
                        <w:trPr>
                          <w:gridAfter w:val="4"/>
                          <w:wAfter w:w="2824" w:type="dxa"/>
                          <w:trHeight w:val="218"/>
                        </w:trPr>
                        <w:tc>
                          <w:tcPr>
                            <w:tcW w:w="2280" w:type="dxa"/>
                            <w:gridSpan w:val="17"/>
                            <w:tcBorders>
                              <w:top w:val="single" w:sz="4" w:space="0" w:color="192326"/>
                              <w:left w:val="single" w:sz="4" w:space="0" w:color="090C0E"/>
                              <w:bottom w:val="single" w:sz="4" w:space="0" w:color="192326"/>
                              <w:right w:val="single" w:sz="4" w:space="0" w:color="12191B"/>
                            </w:tcBorders>
                            <w:shd w:val="clear" w:color="auto" w:fill="9FDBEC"/>
                            <w:vAlign w:val="center"/>
                          </w:tcPr>
                          <w:p w14:paraId="6A9C9FE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Preferred Terminology </w:t>
                            </w:r>
                          </w:p>
                        </w:tc>
                        <w:tc>
                          <w:tcPr>
                            <w:tcW w:w="1750" w:type="dxa"/>
                            <w:gridSpan w:val="18"/>
                            <w:tcBorders>
                              <w:top w:val="single" w:sz="4" w:space="0" w:color="192326"/>
                              <w:left w:val="single" w:sz="4" w:space="0" w:color="12191B"/>
                              <w:bottom w:val="single" w:sz="4" w:space="0" w:color="192326"/>
                            </w:tcBorders>
                            <w:shd w:val="clear" w:color="auto" w:fill="9FDBEC"/>
                          </w:tcPr>
                          <w:p w14:paraId="15B074DC" w14:textId="77777777" w:rsidR="00000000" w:rsidRDefault="00A450E1">
                            <w:pPr>
                              <w:pStyle w:val="Default"/>
                              <w:rPr>
                                <w:rFonts w:cs="Times New Roman"/>
                                <w:color w:val="auto"/>
                              </w:rPr>
                            </w:pPr>
                          </w:p>
                        </w:tc>
                        <w:tc>
                          <w:tcPr>
                            <w:tcW w:w="1960" w:type="dxa"/>
                            <w:gridSpan w:val="16"/>
                            <w:tcBorders>
                              <w:top w:val="single" w:sz="4" w:space="0" w:color="192326"/>
                              <w:bottom w:val="single" w:sz="4" w:space="0" w:color="192326"/>
                            </w:tcBorders>
                            <w:shd w:val="clear" w:color="auto" w:fill="9FDBEC"/>
                            <w:vAlign w:val="center"/>
                          </w:tcPr>
                          <w:p w14:paraId="2D7FD80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Alte</w:t>
                            </w:r>
                            <w:r>
                              <w:rPr>
                                <w:rFonts w:ascii="Helvetica 55 Roman" w:hAnsi="Helvetica 55 Roman" w:cs="Helvetica 55 Roman"/>
                                <w:sz w:val="18"/>
                                <w:szCs w:val="18"/>
                              </w:rPr>
                              <w:t xml:space="preserve">rnatives </w:t>
                            </w:r>
                          </w:p>
                        </w:tc>
                        <w:tc>
                          <w:tcPr>
                            <w:tcW w:w="1440" w:type="dxa"/>
                            <w:gridSpan w:val="6"/>
                            <w:tcBorders>
                              <w:top w:val="single" w:sz="4" w:space="0" w:color="192326"/>
                              <w:bottom w:val="single" w:sz="4" w:space="0" w:color="192326"/>
                              <w:right w:val="single" w:sz="4" w:space="0" w:color="090C0E"/>
                            </w:tcBorders>
                            <w:shd w:val="clear" w:color="auto" w:fill="9FDBEC"/>
                          </w:tcPr>
                          <w:p w14:paraId="1C8EDEDB" w14:textId="77777777" w:rsidR="00000000" w:rsidRDefault="00A450E1">
                            <w:pPr>
                              <w:pStyle w:val="Default"/>
                              <w:rPr>
                                <w:rFonts w:cs="Times New Roman"/>
                                <w:color w:val="auto"/>
                              </w:rPr>
                            </w:pPr>
                          </w:p>
                        </w:tc>
                      </w:tr>
                      <w:tr w:rsidR="00000000" w14:paraId="489B7E53" w14:textId="77777777">
                        <w:tblPrEx>
                          <w:tblCellMar>
                            <w:top w:w="0" w:type="dxa"/>
                            <w:bottom w:w="0" w:type="dxa"/>
                          </w:tblCellMar>
                        </w:tblPrEx>
                        <w:trPr>
                          <w:gridAfter w:val="4"/>
                          <w:wAfter w:w="2825" w:type="dxa"/>
                          <w:trHeight w:val="213"/>
                        </w:trPr>
                        <w:tc>
                          <w:tcPr>
                            <w:tcW w:w="2280" w:type="dxa"/>
                            <w:gridSpan w:val="17"/>
                            <w:tcBorders>
                              <w:top w:val="single" w:sz="4" w:space="0" w:color="192326"/>
                              <w:left w:val="single" w:sz="4" w:space="0" w:color="090C0E"/>
                              <w:right w:val="single" w:sz="4" w:space="0" w:color="12191B"/>
                            </w:tcBorders>
                            <w:vAlign w:val="center"/>
                          </w:tcPr>
                          <w:p w14:paraId="480DFFE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 GHz </w:t>
                            </w:r>
                          </w:p>
                        </w:tc>
                        <w:tc>
                          <w:tcPr>
                            <w:tcW w:w="1750" w:type="dxa"/>
                            <w:gridSpan w:val="18"/>
                            <w:tcBorders>
                              <w:top w:val="single" w:sz="4" w:space="0" w:color="192326"/>
                              <w:left w:val="single" w:sz="4" w:space="0" w:color="12191B"/>
                            </w:tcBorders>
                            <w:vAlign w:val="center"/>
                          </w:tcPr>
                          <w:p w14:paraId="5C1F6A6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9300 9500 MHz </w:t>
                            </w:r>
                          </w:p>
                        </w:tc>
                        <w:tc>
                          <w:tcPr>
                            <w:tcW w:w="517" w:type="dxa"/>
                            <w:gridSpan w:val="7"/>
                            <w:tcBorders>
                              <w:top w:val="single" w:sz="4" w:space="0" w:color="192326"/>
                              <w:right w:val="single" w:sz="4" w:space="0" w:color="000000"/>
                            </w:tcBorders>
                          </w:tcPr>
                          <w:p w14:paraId="3C41ECAD" w14:textId="77777777" w:rsidR="00000000" w:rsidRDefault="00A450E1">
                            <w:pPr>
                              <w:pStyle w:val="Default"/>
                              <w:jc w:val="center"/>
                              <w:rPr>
                                <w:rFonts w:cs="Times New Roman"/>
                                <w:color w:val="auto"/>
                              </w:rPr>
                            </w:pPr>
                          </w:p>
                        </w:tc>
                        <w:tc>
                          <w:tcPr>
                            <w:tcW w:w="1442" w:type="dxa"/>
                            <w:gridSpan w:val="9"/>
                            <w:tcBorders>
                              <w:top w:val="single" w:sz="4" w:space="0" w:color="192326"/>
                              <w:left w:val="single" w:sz="4" w:space="0" w:color="000000"/>
                              <w:right w:val="single" w:sz="4" w:space="0" w:color="000000"/>
                            </w:tcBorders>
                            <w:vAlign w:val="center"/>
                          </w:tcPr>
                          <w:p w14:paraId="48217AF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X - Band </w:t>
                            </w:r>
                          </w:p>
                        </w:tc>
                        <w:tc>
                          <w:tcPr>
                            <w:tcW w:w="1440" w:type="dxa"/>
                            <w:gridSpan w:val="6"/>
                            <w:tcBorders>
                              <w:top w:val="single" w:sz="4" w:space="0" w:color="192326"/>
                              <w:left w:val="single" w:sz="4" w:space="0" w:color="000000"/>
                              <w:right w:val="single" w:sz="4" w:space="0" w:color="090C0E"/>
                            </w:tcBorders>
                            <w:vAlign w:val="center"/>
                          </w:tcPr>
                          <w:p w14:paraId="477758E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 cm </w:t>
                            </w:r>
                          </w:p>
                        </w:tc>
                      </w:tr>
                      <w:tr w:rsidR="00000000" w14:paraId="06A4783C" w14:textId="77777777">
                        <w:tblPrEx>
                          <w:tblCellMar>
                            <w:top w:w="0" w:type="dxa"/>
                            <w:bottom w:w="0" w:type="dxa"/>
                          </w:tblCellMar>
                        </w:tblPrEx>
                        <w:trPr>
                          <w:gridAfter w:val="4"/>
                          <w:wAfter w:w="2825" w:type="dxa"/>
                          <w:trHeight w:val="212"/>
                        </w:trPr>
                        <w:tc>
                          <w:tcPr>
                            <w:tcW w:w="2280" w:type="dxa"/>
                            <w:gridSpan w:val="17"/>
                            <w:tcBorders>
                              <w:left w:val="single" w:sz="4" w:space="0" w:color="090C0E"/>
                              <w:bottom w:val="single" w:sz="4" w:space="0" w:color="000000"/>
                              <w:right w:val="single" w:sz="4" w:space="0" w:color="12191B"/>
                            </w:tcBorders>
                            <w:shd w:val="clear" w:color="auto" w:fill="DFF3F8"/>
                            <w:vAlign w:val="center"/>
                          </w:tcPr>
                          <w:p w14:paraId="104A042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 GHz </w:t>
                            </w:r>
                          </w:p>
                        </w:tc>
                        <w:tc>
                          <w:tcPr>
                            <w:tcW w:w="1750" w:type="dxa"/>
                            <w:gridSpan w:val="18"/>
                            <w:tcBorders>
                              <w:left w:val="single" w:sz="4" w:space="0" w:color="12191B"/>
                              <w:bottom w:val="single" w:sz="4" w:space="0" w:color="000000"/>
                            </w:tcBorders>
                            <w:shd w:val="clear" w:color="auto" w:fill="DFF3F8"/>
                            <w:vAlign w:val="center"/>
                          </w:tcPr>
                          <w:p w14:paraId="028E296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2900 3100 MHz </w:t>
                            </w:r>
                          </w:p>
                        </w:tc>
                        <w:tc>
                          <w:tcPr>
                            <w:tcW w:w="517" w:type="dxa"/>
                            <w:gridSpan w:val="7"/>
                            <w:tcBorders>
                              <w:bottom w:val="single" w:sz="4" w:space="0" w:color="000000"/>
                              <w:right w:val="single" w:sz="4" w:space="0" w:color="000000"/>
                            </w:tcBorders>
                            <w:shd w:val="clear" w:color="auto" w:fill="DFF3F8"/>
                          </w:tcPr>
                          <w:p w14:paraId="22D64695" w14:textId="77777777" w:rsidR="00000000" w:rsidRDefault="00A450E1">
                            <w:pPr>
                              <w:pStyle w:val="Default"/>
                              <w:jc w:val="center"/>
                              <w:rPr>
                                <w:rFonts w:cs="Times New Roman"/>
                                <w:color w:val="auto"/>
                              </w:rPr>
                            </w:pPr>
                          </w:p>
                        </w:tc>
                        <w:tc>
                          <w:tcPr>
                            <w:tcW w:w="1442" w:type="dxa"/>
                            <w:gridSpan w:val="9"/>
                            <w:tcBorders>
                              <w:left w:val="single" w:sz="4" w:space="0" w:color="000000"/>
                              <w:bottom w:val="single" w:sz="4" w:space="0" w:color="000000"/>
                              <w:right w:val="single" w:sz="4" w:space="0" w:color="000000"/>
                            </w:tcBorders>
                            <w:shd w:val="clear" w:color="auto" w:fill="DFF3F8"/>
                            <w:vAlign w:val="center"/>
                          </w:tcPr>
                          <w:p w14:paraId="115E7B8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 - Band </w:t>
                            </w:r>
                          </w:p>
                        </w:tc>
                        <w:tc>
                          <w:tcPr>
                            <w:tcW w:w="1440" w:type="dxa"/>
                            <w:gridSpan w:val="6"/>
                            <w:tcBorders>
                              <w:left w:val="single" w:sz="4" w:space="0" w:color="000000"/>
                              <w:bottom w:val="single" w:sz="4" w:space="0" w:color="000000"/>
                              <w:right w:val="single" w:sz="4" w:space="0" w:color="090C0E"/>
                            </w:tcBorders>
                            <w:shd w:val="clear" w:color="auto" w:fill="DFF3F8"/>
                            <w:vAlign w:val="center"/>
                          </w:tcPr>
                          <w:p w14:paraId="70B5B9C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10 cm </w:t>
                            </w:r>
                          </w:p>
                        </w:tc>
                      </w:tr>
                    </w:tbl>
                  </w:txbxContent>
                </v:textbox>
                <w10:wrap type="through" anchorx="page" anchory="page"/>
              </v:shape>
            </w:pict>
          </mc:Fallback>
        </mc:AlternateContent>
      </w:r>
    </w:p>
    <w:p w14:paraId="45690DAF"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4.13.6 Performance Criteria </w:t>
      </w:r>
    </w:p>
    <w:p w14:paraId="6A3ED374" w14:textId="77777777" w:rsidR="00541A14" w:rsidRDefault="00A450E1">
      <w:pPr>
        <w:pStyle w:val="Default"/>
        <w:rPr>
          <w:rFonts w:ascii="Palatino" w:hAnsi="Palatino" w:cs="Palatino"/>
          <w:sz w:val="20"/>
          <w:szCs w:val="20"/>
        </w:rPr>
      </w:pPr>
      <w:r>
        <w:rPr>
          <w:rFonts w:ascii="Palatino" w:hAnsi="Palatino" w:cs="Palatino"/>
          <w:sz w:val="20"/>
          <w:szCs w:val="20"/>
        </w:rPr>
        <w:t xml:space="preserve">The availability of a racon is the principal measure of performance determined by IALA. In the </w:t>
      </w:r>
    </w:p>
    <w:p w14:paraId="07430407" w14:textId="77777777" w:rsidR="00541A14" w:rsidRDefault="00A450E1">
      <w:pPr>
        <w:pStyle w:val="Default"/>
        <w:rPr>
          <w:rFonts w:ascii="Palatino" w:hAnsi="Palatino" w:cs="Palatino"/>
          <w:sz w:val="20"/>
          <w:szCs w:val="20"/>
        </w:rPr>
      </w:pPr>
      <w:r>
        <w:rPr>
          <w:rFonts w:ascii="Palatino" w:hAnsi="Palatino" w:cs="Palatino"/>
          <w:sz w:val="20"/>
          <w:szCs w:val="20"/>
        </w:rPr>
        <w:t xml:space="preserve">absence of any specific considerations, IALA recommends that the availability of a racon should be at </w:t>
      </w:r>
    </w:p>
    <w:p w14:paraId="30FE2FD3"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least 99.6%. </w:t>
      </w:r>
    </w:p>
    <w:p w14:paraId="227D7CBC" w14:textId="77777777" w:rsidR="00541A14" w:rsidRDefault="00A450E1">
      <w:pPr>
        <w:pStyle w:val="CM165"/>
        <w:spacing w:after="85"/>
        <w:ind w:left="302"/>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4326EBEC" w14:textId="77777777" w:rsidR="00541A14" w:rsidRDefault="009E3F25">
      <w:pPr>
        <w:pStyle w:val="CM169"/>
        <w:spacing w:after="65"/>
        <w:ind w:left="302"/>
        <w:rPr>
          <w:rFonts w:ascii="Palatino" w:hAnsi="Palatino" w:cs="Palatino"/>
          <w:color w:val="000000"/>
          <w:sz w:val="20"/>
          <w:szCs w:val="20"/>
        </w:rPr>
      </w:pPr>
      <w:hyperlink r:id="rId227" w:history="1">
        <w:r w:rsidR="00A450E1">
          <w:rPr>
            <w:rFonts w:ascii="Palatino" w:hAnsi="Palatino" w:cs="Palatino"/>
            <w:i/>
            <w:iCs/>
            <w:color w:val="000000"/>
            <w:sz w:val="20"/>
            <w:szCs w:val="20"/>
          </w:rPr>
          <w:t xml:space="preserve">IALA Guideline 1010 on racon range performance. </w:t>
        </w:r>
      </w:hyperlink>
    </w:p>
    <w:p w14:paraId="47359C58" w14:textId="77777777" w:rsidR="00541A14" w:rsidRDefault="009E3F25">
      <w:pPr>
        <w:pStyle w:val="CM174"/>
        <w:spacing w:after="437" w:line="356" w:lineRule="atLeast"/>
        <w:ind w:left="320"/>
        <w:rPr>
          <w:rFonts w:ascii="Palatino" w:hAnsi="Palatino" w:cs="Palatino"/>
          <w:color w:val="000000"/>
          <w:sz w:val="20"/>
          <w:szCs w:val="20"/>
        </w:rPr>
      </w:pPr>
      <w:hyperlink r:id="rId228" w:history="1">
        <w:r w:rsidR="00A450E1">
          <w:rPr>
            <w:rFonts w:ascii="Palatino" w:hAnsi="Palatino" w:cs="Palatino"/>
            <w:i/>
            <w:iCs/>
            <w:color w:val="000000"/>
            <w:sz w:val="20"/>
            <w:szCs w:val="20"/>
          </w:rPr>
          <w:t xml:space="preserve">IALA Recommendation R-101 on maritime radar beacons (Racons). </w:t>
        </w:r>
      </w:hyperlink>
      <w:hyperlink r:id="rId229" w:history="1">
        <w:r w:rsidR="00A450E1">
          <w:rPr>
            <w:rFonts w:ascii="Palatino" w:hAnsi="Palatino" w:cs="Palatino"/>
            <w:i/>
            <w:iCs/>
            <w:color w:val="000000"/>
            <w:sz w:val="20"/>
            <w:szCs w:val="20"/>
          </w:rPr>
          <w:t xml:space="preserve">IALA Recommendation O-113 for the marking of fixed bridges over navigable waters. </w:t>
        </w:r>
      </w:hyperlink>
    </w:p>
    <w:p w14:paraId="6EBBAD1D" w14:textId="77777777" w:rsidR="00541A14" w:rsidRDefault="00A450E1">
      <w:pPr>
        <w:pStyle w:val="Default"/>
        <w:rPr>
          <w:rFonts w:ascii="Futura Book" w:hAnsi="Futura Book" w:cs="Futura Book"/>
          <w:color w:val="2C5062"/>
          <w:sz w:val="22"/>
          <w:szCs w:val="22"/>
        </w:rPr>
      </w:pPr>
      <w:r>
        <w:rPr>
          <w:rFonts w:ascii="Futura Book" w:hAnsi="Futura Book" w:cs="Futura Book"/>
          <w:b/>
          <w:bCs/>
          <w:color w:val="2C5062"/>
          <w:sz w:val="22"/>
          <w:szCs w:val="22"/>
        </w:rPr>
        <w:t xml:space="preserve">4.13.7 Technical Considerations </w:t>
      </w:r>
    </w:p>
    <w:p w14:paraId="30ED26E0" w14:textId="77777777" w:rsidR="00541A14" w:rsidRDefault="00A450E1">
      <w:pPr>
        <w:pStyle w:val="CM45"/>
        <w:rPr>
          <w:rFonts w:ascii="Palatino" w:hAnsi="Palatino" w:cs="Palatino"/>
          <w:color w:val="000000"/>
          <w:sz w:val="20"/>
          <w:szCs w:val="20"/>
        </w:rPr>
      </w:pPr>
      <w:r>
        <w:rPr>
          <w:rFonts w:ascii="Palatino" w:hAnsi="Palatino" w:cs="Palatino"/>
          <w:color w:val="000000"/>
          <w:sz w:val="20"/>
          <w:szCs w:val="20"/>
        </w:rPr>
        <w:t xml:space="preserve">There are a number of technical considerations in the use of racons to assist the navigation of a ship: </w:t>
      </w:r>
    </w:p>
    <w:p w14:paraId="14F9243D" w14:textId="77777777" w:rsidR="00541A14" w:rsidRDefault="00A450E1">
      <w:pPr>
        <w:pStyle w:val="CM45"/>
        <w:rPr>
          <w:rFonts w:ascii="Palatino" w:hAnsi="Palatino" w:cs="Palatino"/>
          <w:color w:val="000000"/>
          <w:sz w:val="20"/>
          <w:szCs w:val="20"/>
        </w:rPr>
      </w:pPr>
      <w:r>
        <w:rPr>
          <w:rFonts w:ascii="Palatino" w:hAnsi="Palatino" w:cs="Palatino"/>
          <w:color w:val="000000"/>
          <w:sz w:val="20"/>
          <w:szCs w:val="20"/>
        </w:rPr>
        <w:t xml:space="preserve">• The angular accuracy of the bearing between the ship and racon depends entirely on the </w:t>
      </w:r>
    </w:p>
    <w:p w14:paraId="34EFE8DD" w14:textId="77777777" w:rsidR="00541A14" w:rsidRDefault="00A450E1">
      <w:pPr>
        <w:pStyle w:val="CM191"/>
        <w:spacing w:after="825" w:line="286" w:lineRule="atLeast"/>
        <w:ind w:left="300" w:right="95"/>
        <w:rPr>
          <w:rFonts w:ascii="Palatino" w:hAnsi="Palatino" w:cs="Palatino"/>
          <w:color w:val="000000"/>
          <w:sz w:val="20"/>
          <w:szCs w:val="20"/>
        </w:rPr>
      </w:pPr>
      <w:r>
        <w:rPr>
          <w:rFonts w:ascii="Palatino" w:hAnsi="Palatino" w:cs="Palatino"/>
          <w:color w:val="000000"/>
          <w:sz w:val="20"/>
          <w:szCs w:val="20"/>
        </w:rPr>
        <w:t xml:space="preserve">interrogating radar, while the accuracy of the range measurement depends on both the radar and racon. </w:t>
      </w:r>
    </w:p>
    <w:p w14:paraId="72C542AB" w14:textId="77777777" w:rsidR="00541A14" w:rsidRDefault="00541A14">
      <w:pPr>
        <w:pStyle w:val="CM100"/>
        <w:ind w:left="8357"/>
        <w:rPr>
          <w:rFonts w:ascii="Palatino" w:hAnsi="Palatino" w:cs="Palatino"/>
          <w:color w:val="000000"/>
          <w:sz w:val="20"/>
          <w:szCs w:val="20"/>
        </w:rPr>
      </w:pPr>
    </w:p>
    <w:p w14:paraId="149B98E7"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00106910" wp14:editId="109B378C">
            <wp:extent cx="227330" cy="113665"/>
            <wp:effectExtent l="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30459648"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2DAEBA32" wp14:editId="2329EA79">
            <wp:extent cx="823595" cy="11366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78A3231E" w14:textId="77777777" w:rsidR="00541A14" w:rsidRDefault="00DD420F">
      <w:pPr>
        <w:pStyle w:val="Default"/>
        <w:pageBreakBefore/>
        <w:framePr w:w="12865" w:wrap="auto" w:vAnchor="page" w:hAnchor="page" w:x="101" w:y="1"/>
        <w:spacing w:after="860"/>
        <w:rPr>
          <w:rFonts w:ascii="Palatino" w:hAnsi="Palatino" w:cs="Palatino"/>
          <w:sz w:val="20"/>
          <w:szCs w:val="20"/>
        </w:rPr>
      </w:pPr>
      <w:r>
        <w:rPr>
          <w:rFonts w:ascii="Palatino" w:hAnsi="Palatino" w:cs="Palatino"/>
          <w:noProof/>
          <w:sz w:val="20"/>
          <w:szCs w:val="20"/>
        </w:rPr>
        <w:drawing>
          <wp:inline distT="0" distB="0" distL="0" distR="0" wp14:anchorId="1A14F136" wp14:editId="30766282">
            <wp:extent cx="7553960" cy="1056640"/>
            <wp:effectExtent l="0" t="0" r="0" b="1016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2587235F"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When racons are used in leading line applications, an alignment accuracy of about 0.3 degrees can </w:t>
      </w:r>
    </w:p>
    <w:p w14:paraId="4C64B586" w14:textId="77777777" w:rsidR="00541A14" w:rsidRDefault="00A450E1">
      <w:pPr>
        <w:pStyle w:val="CM172"/>
        <w:spacing w:after="202"/>
        <w:ind w:left="302"/>
        <w:rPr>
          <w:rFonts w:ascii="Palatino" w:hAnsi="Palatino" w:cs="Palatino"/>
          <w:color w:val="000000"/>
          <w:sz w:val="20"/>
          <w:szCs w:val="20"/>
        </w:rPr>
      </w:pPr>
      <w:r>
        <w:rPr>
          <w:rFonts w:ascii="Palatino" w:hAnsi="Palatino" w:cs="Palatino"/>
          <w:color w:val="000000"/>
          <w:sz w:val="20"/>
          <w:szCs w:val="20"/>
        </w:rPr>
        <w:t xml:space="preserve">be expected. </w:t>
      </w:r>
    </w:p>
    <w:p w14:paraId="4E94B07E"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When the ship is very close to the racon, side-lobes from the radar antenna can trigger the racon. </w:t>
      </w:r>
    </w:p>
    <w:p w14:paraId="3943B14F"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 xml:space="preserve">The resulting multiple responses on the radar display may be a distraction and can mask other </w:t>
      </w:r>
    </w:p>
    <w:p w14:paraId="74F5EDE0" w14:textId="77777777" w:rsidR="00541A14" w:rsidRDefault="00A450E1">
      <w:pPr>
        <w:pStyle w:val="CM175"/>
        <w:spacing w:after="267"/>
        <w:ind w:left="302"/>
        <w:rPr>
          <w:rFonts w:ascii="Palatino" w:hAnsi="Palatino" w:cs="Palatino"/>
          <w:color w:val="000000"/>
          <w:sz w:val="20"/>
          <w:szCs w:val="20"/>
        </w:rPr>
      </w:pPr>
      <w:r>
        <w:rPr>
          <w:rFonts w:ascii="Palatino" w:hAnsi="Palatino" w:cs="Palatino"/>
          <w:color w:val="000000"/>
          <w:sz w:val="20"/>
          <w:szCs w:val="20"/>
        </w:rPr>
        <w:t xml:space="preserve">targets. Side-lobe suppression techniques are standard features of frequency agile racons. </w:t>
      </w:r>
    </w:p>
    <w:p w14:paraId="19B3A3D6"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4.13.8 Use with New Technology Radars </w:t>
      </w:r>
    </w:p>
    <w:p w14:paraId="1BA10D27"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All currently available and installed racons are designed for use with high power pulse radars. In comparison, NT radars use low power transmissions with long pulses. Because of the low received signal strength and long pulse at the racon, current racons may not detect NT radars and may not transmit a response usable by NT radars. </w:t>
      </w:r>
    </w:p>
    <w:p w14:paraId="0C8264CB"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Currently installed 3 GHz high power pulse radars are not expected to be replaced by NT radars in the near future and racons with 3 GHz capability will continue to be useful. At some point there may be a requirement to replace all high power pulse radars, at which time present racons with 3 GHz pulse capability may need replacement. </w:t>
      </w:r>
    </w:p>
    <w:p w14:paraId="01616823"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4.13.9 Non-radio positioning (Inertial) </w:t>
      </w:r>
    </w:p>
    <w:p w14:paraId="10E4B686"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Many studies have been carried out on the integration of GNSS with Inertial Measurement Units (IMU) for marine navigation. </w:t>
      </w:r>
    </w:p>
    <w:p w14:paraId="313AE1D0"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There are different grades of IMU, ranging from the very expensive navigation grade, costing many tens of thousands of dollars; through tactical grade to low cost units based on MEMS (Micro Electro Mechanics System) technology. They give different rates of drift and are therefore capable of covering various lengths of GNSS outage. </w:t>
      </w:r>
    </w:p>
    <w:p w14:paraId="3AF5B135" w14:textId="77777777" w:rsidR="00541A14" w:rsidRDefault="00A450E1">
      <w:pPr>
        <w:pStyle w:val="CM16"/>
        <w:ind w:right="327"/>
        <w:rPr>
          <w:rFonts w:ascii="Palatino" w:hAnsi="Palatino" w:cs="Palatino"/>
          <w:color w:val="000000"/>
          <w:sz w:val="20"/>
          <w:szCs w:val="20"/>
        </w:rPr>
      </w:pPr>
      <w:r>
        <w:rPr>
          <w:rFonts w:ascii="Palatino" w:hAnsi="Palatino" w:cs="Palatino"/>
          <w:color w:val="000000"/>
          <w:sz w:val="20"/>
          <w:szCs w:val="20"/>
        </w:rPr>
        <w:t xml:space="preserve">None of the systems available at present is capable of maintaining all levels of navigation accuracy during a lengthy outage of GNSS. For ocean areas, both navigation and tactical-grade IMUs will give protection for appreciable outages (over 1 hour and 15 minutes respectively). For coastal areas, 15 minutes of good accuracy would be maintained using a navigation-grade IMU. For the harbour approach phase, accuracy to 10 metres could be obtained for 3.5 minutes with a navigation-grade IMU-based system. For docking and where sub-10 metre accuracy is required, coupling inertial </w:t>
      </w:r>
    </w:p>
    <w:p w14:paraId="7E9C08C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systems with GNSS does not appear to offer any benefit in the event of a GNSS failure. In the future </w:t>
      </w:r>
    </w:p>
    <w:p w14:paraId="43094CE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low cost MEMS based IMUs could be a useful addition to a ship’s navigation system. </w:t>
      </w:r>
    </w:p>
    <w:p w14:paraId="56D70903"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MEMS is an enabling technology with a global market. The major growth opportunities will come from automotive and consumer applications. The idea of an IMU on a chip with unit cost as low as a GPS module is anticipated in the near future. </w:t>
      </w:r>
    </w:p>
    <w:p w14:paraId="1281978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Nearly all MEMS accelerometers work by measuring the motion of a proof mass against a fixed frame. </w:t>
      </w:r>
    </w:p>
    <w:p w14:paraId="109FBF70"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 main sensing approaches are capacitive or piezoresistive. The power requirement of such sensors is in the range 1-10 mW. </w:t>
      </w:r>
    </w:p>
    <w:p w14:paraId="5B7FDC8A" w14:textId="77777777" w:rsidR="00541A14" w:rsidRDefault="00A450E1">
      <w:pPr>
        <w:pStyle w:val="CM180"/>
        <w:spacing w:after="732" w:line="291" w:lineRule="atLeast"/>
        <w:rPr>
          <w:rFonts w:ascii="Palatino" w:hAnsi="Palatino" w:cs="Palatino"/>
          <w:color w:val="000000"/>
          <w:sz w:val="20"/>
          <w:szCs w:val="20"/>
        </w:rPr>
      </w:pPr>
      <w:r>
        <w:rPr>
          <w:rFonts w:ascii="Palatino" w:hAnsi="Palatino" w:cs="Palatino"/>
          <w:color w:val="000000"/>
          <w:sz w:val="20"/>
          <w:szCs w:val="20"/>
        </w:rPr>
        <w:t xml:space="preserve">The navigation performance of a MEMS based inertial system depends mostly on the gyro error behaviour, the position error can grow up to more than 80 m during a GNSS outage of 60 sec. Nevertheless MEMS based INS could make a useful contribution by providing a stable heading output during GNSS outages and could help to stabilise position even when GNSS is available, therefore the development of MEMS based IMUs should be kept under observation. </w:t>
      </w:r>
    </w:p>
    <w:p w14:paraId="533C8475"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53B24CAD" w14:textId="77777777" w:rsidR="00541A14" w:rsidRDefault="00A450E1">
      <w:pPr>
        <w:pStyle w:val="CM101"/>
        <w:ind w:left="9640"/>
        <w:rPr>
          <w:rFonts w:ascii="Palatino" w:hAnsi="Palatino" w:cs="Palatino"/>
          <w:color w:val="000000"/>
          <w:sz w:val="23"/>
          <w:szCs w:val="23"/>
        </w:rPr>
      </w:pPr>
      <w:r>
        <w:rPr>
          <w:rFonts w:ascii="Palatino" w:hAnsi="Palatino" w:cs="Palatino"/>
          <w:b/>
          <w:bCs/>
          <w:i/>
          <w:iCs/>
          <w:color w:val="000000"/>
          <w:sz w:val="23"/>
          <w:szCs w:val="23"/>
        </w:rPr>
        <w:t xml:space="preserve">99 </w:t>
      </w:r>
    </w:p>
    <w:p w14:paraId="7A347052" w14:textId="77777777" w:rsidR="00541A14" w:rsidRDefault="00A450E1">
      <w:pPr>
        <w:pStyle w:val="CM178"/>
        <w:pageBreakBefore/>
        <w:spacing w:after="1397"/>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48C5F412" w14:textId="77777777" w:rsidR="00541A14" w:rsidRDefault="00A450E1">
      <w:pPr>
        <w:pStyle w:val="CM172"/>
        <w:spacing w:after="202"/>
        <w:rPr>
          <w:rFonts w:ascii="Futura Book" w:hAnsi="Futura Book" w:cs="Futura Book"/>
          <w:color w:val="2C5062"/>
          <w:sz w:val="28"/>
          <w:szCs w:val="28"/>
        </w:rPr>
      </w:pPr>
      <w:r>
        <w:rPr>
          <w:rFonts w:ascii="Futura Book" w:hAnsi="Futura Book" w:cs="Futura Book"/>
          <w:b/>
          <w:bCs/>
          <w:color w:val="2C5062"/>
          <w:sz w:val="28"/>
          <w:szCs w:val="28"/>
        </w:rPr>
        <w:t xml:space="preserve">COMMUNICATIONS </w:t>
      </w:r>
    </w:p>
    <w:p w14:paraId="6D314129"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4.14 Maritime Radio Communications Plan </w:t>
      </w:r>
    </w:p>
    <w:p w14:paraId="159DADF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IALA has prepared a Maritime Radio Communications Plan (MRCP) for the communications required to support e-Navigation. The MRCP is intended to meet the key strategy element of identifying communications technology and information systems to meet user needs. This may involve the enhancement of existing systems or the development of new systems. The IALA work starts by </w:t>
      </w:r>
    </w:p>
    <w:p w14:paraId="5D26CDB1" w14:textId="77777777" w:rsidR="00541A14" w:rsidRDefault="00A450E1">
      <w:pPr>
        <w:pStyle w:val="CM175"/>
        <w:spacing w:after="267" w:line="293" w:lineRule="atLeast"/>
        <w:ind w:right="245"/>
        <w:rPr>
          <w:rFonts w:ascii="Palatino" w:hAnsi="Palatino" w:cs="Palatino"/>
          <w:color w:val="000000"/>
          <w:sz w:val="20"/>
          <w:szCs w:val="20"/>
        </w:rPr>
      </w:pPr>
      <w:r>
        <w:rPr>
          <w:rFonts w:ascii="Palatino" w:hAnsi="Palatino" w:cs="Palatino"/>
          <w:color w:val="000000"/>
          <w:sz w:val="20"/>
          <w:szCs w:val="20"/>
        </w:rPr>
        <w:t xml:space="preserve">identifying existing and future systems, then drawing on the user requirements already identified to assess the information flows and the data channels needed. </w:t>
      </w:r>
    </w:p>
    <w:p w14:paraId="34ADE2A8" w14:textId="77777777" w:rsidR="00541A14" w:rsidRDefault="00A450E1">
      <w:pPr>
        <w:pStyle w:val="CM172"/>
        <w:spacing w:after="202"/>
        <w:rPr>
          <w:rFonts w:ascii="Futura Book" w:hAnsi="Futura Book" w:cs="Futura Book"/>
          <w:color w:val="2C5062"/>
          <w:sz w:val="28"/>
          <w:szCs w:val="28"/>
        </w:rPr>
      </w:pPr>
      <w:r>
        <w:rPr>
          <w:rFonts w:ascii="Futura Book" w:hAnsi="Futura Book" w:cs="Futura Book"/>
          <w:b/>
          <w:bCs/>
          <w:color w:val="2C5062"/>
          <w:sz w:val="28"/>
          <w:szCs w:val="28"/>
        </w:rPr>
        <w:t xml:space="preserve">LONG RANGE IDENTIFICATION AND TRACkING </w:t>
      </w:r>
    </w:p>
    <w:p w14:paraId="0DDD1B54"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4.15 Introduction </w:t>
      </w:r>
    </w:p>
    <w:p w14:paraId="766E264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Competent authorities with responsibility for aids to navigation, port security and other shoreside activities are often faced with the requirement to maintain surveillance of maritime approaches to their ports and port facilities for safety, security, and environmental protection. </w:t>
      </w:r>
    </w:p>
    <w:p w14:paraId="7ABE630D" w14:textId="77777777" w:rsidR="00541A14" w:rsidRDefault="00A450E1">
      <w:pPr>
        <w:pStyle w:val="CM3"/>
        <w:ind w:right="402"/>
        <w:rPr>
          <w:rFonts w:ascii="Palatino" w:hAnsi="Palatino" w:cs="Palatino"/>
          <w:color w:val="000000"/>
          <w:sz w:val="20"/>
          <w:szCs w:val="20"/>
        </w:rPr>
      </w:pPr>
      <w:r>
        <w:rPr>
          <w:rFonts w:ascii="Palatino" w:hAnsi="Palatino" w:cs="Palatino"/>
          <w:color w:val="000000"/>
          <w:sz w:val="20"/>
          <w:szCs w:val="20"/>
        </w:rPr>
        <w:t xml:space="preserve">These authorities are pursuing vessel tracking technologies to assist in the detection, classification, identification, and tracking of vessels. Among these technologies, Long Range Identification and </w:t>
      </w:r>
    </w:p>
    <w:p w14:paraId="74EAE906" w14:textId="77777777" w:rsidR="00541A14" w:rsidRDefault="00A450E1">
      <w:pPr>
        <w:pStyle w:val="CM175"/>
        <w:spacing w:after="267" w:line="291" w:lineRule="atLeast"/>
        <w:rPr>
          <w:rFonts w:ascii="Palatino" w:hAnsi="Palatino" w:cs="Palatino"/>
          <w:color w:val="000000"/>
          <w:sz w:val="20"/>
          <w:szCs w:val="20"/>
        </w:rPr>
      </w:pPr>
      <w:r>
        <w:rPr>
          <w:rFonts w:ascii="Palatino" w:hAnsi="Palatino" w:cs="Palatino"/>
          <w:color w:val="000000"/>
          <w:sz w:val="20"/>
          <w:szCs w:val="20"/>
        </w:rPr>
        <w:t xml:space="preserve">Tracking (LRIT) is being implemented internationally for tracking ships globally. </w:t>
      </w:r>
    </w:p>
    <w:p w14:paraId="72FA7C65"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4.16 LRIT Concept </w:t>
      </w:r>
    </w:p>
    <w:p w14:paraId="0E831A3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Long range identification and tracking (LRIT) is a cooperative surveillance capability. In the simplified LRIT concept (Figure 19), a ship carries radio communications equipment that reports identification, position and time to authorities tracking that ship. However, the final implementation of LRIT is more </w:t>
      </w:r>
    </w:p>
    <w:p w14:paraId="56917CA2"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complicated as explained below. </w:t>
      </w:r>
    </w:p>
    <w:p w14:paraId="266725B9" w14:textId="77777777" w:rsidR="00541A14" w:rsidRDefault="00DD420F">
      <w:pPr>
        <w:pStyle w:val="Default"/>
        <w:framePr w:w="7991" w:wrap="auto" w:vAnchor="page" w:hAnchor="page" w:x="2225" w:y="10593"/>
        <w:spacing w:after="120"/>
        <w:rPr>
          <w:rFonts w:ascii="Palatino" w:hAnsi="Palatino" w:cs="Palatino"/>
          <w:sz w:val="20"/>
          <w:szCs w:val="20"/>
        </w:rPr>
      </w:pPr>
      <w:r>
        <w:rPr>
          <w:rFonts w:ascii="Palatino" w:hAnsi="Palatino" w:cs="Palatino"/>
          <w:noProof/>
          <w:sz w:val="20"/>
          <w:szCs w:val="20"/>
        </w:rPr>
        <w:drawing>
          <wp:inline distT="0" distB="0" distL="0" distR="0" wp14:anchorId="48ADF06A" wp14:editId="53ECEE85">
            <wp:extent cx="4572000" cy="290766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572000" cy="2907665"/>
                    </a:xfrm>
                    <a:prstGeom prst="rect">
                      <a:avLst/>
                    </a:prstGeom>
                    <a:noFill/>
                    <a:ln>
                      <a:noFill/>
                    </a:ln>
                  </pic:spPr>
                </pic:pic>
              </a:graphicData>
            </a:graphic>
          </wp:inline>
        </w:drawing>
      </w:r>
    </w:p>
    <w:p w14:paraId="5E1F0000" w14:textId="77777777" w:rsidR="00541A14" w:rsidRDefault="00A450E1">
      <w:pPr>
        <w:pStyle w:val="CM191"/>
        <w:spacing w:after="825"/>
        <w:jc w:val="center"/>
        <w:rPr>
          <w:rFonts w:ascii="Palatino" w:hAnsi="Palatino" w:cs="Palatino"/>
          <w:color w:val="000000"/>
          <w:sz w:val="20"/>
          <w:szCs w:val="20"/>
        </w:rPr>
      </w:pPr>
      <w:r>
        <w:rPr>
          <w:rFonts w:ascii="Palatino" w:hAnsi="Palatino" w:cs="Palatino"/>
          <w:i/>
          <w:iCs/>
          <w:color w:val="000000"/>
          <w:sz w:val="20"/>
          <w:szCs w:val="20"/>
        </w:rPr>
        <w:t xml:space="preserve">Figure 19 – Simplified LRIT Concept (courtesy of INMARSAT) </w:t>
      </w:r>
    </w:p>
    <w:p w14:paraId="664FD903" w14:textId="77777777" w:rsidR="00541A14" w:rsidRDefault="00541A14">
      <w:pPr>
        <w:pStyle w:val="CM100"/>
        <w:ind w:left="8357"/>
        <w:rPr>
          <w:rFonts w:ascii="Palatino" w:hAnsi="Palatino" w:cs="Palatino"/>
          <w:color w:val="000000"/>
          <w:sz w:val="20"/>
          <w:szCs w:val="20"/>
        </w:rPr>
      </w:pPr>
    </w:p>
    <w:p w14:paraId="20454034"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43874041" wp14:editId="36B8D295">
            <wp:extent cx="227330" cy="113665"/>
            <wp:effectExtent l="0" t="0" r="127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1BBCC4E3"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6B737737" wp14:editId="47B1780F">
            <wp:extent cx="823595" cy="11366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33DA0292" w14:textId="77777777" w:rsidR="00541A14" w:rsidRDefault="00A450E1">
      <w:pPr>
        <w:pStyle w:val="CM172"/>
        <w:pageBreakBefore/>
        <w:spacing w:after="202"/>
        <w:rPr>
          <w:rFonts w:ascii="Futura Book" w:hAnsi="Futura Book" w:cs="Futura Book"/>
          <w:color w:val="2C5062"/>
          <w:sz w:val="28"/>
          <w:szCs w:val="28"/>
        </w:rPr>
      </w:pPr>
      <w:r>
        <w:rPr>
          <w:rFonts w:ascii="Futura Book" w:hAnsi="Futura Book" w:cs="Futura Book"/>
          <w:b/>
          <w:bCs/>
          <w:color w:val="2C5062"/>
          <w:sz w:val="28"/>
          <w:szCs w:val="28"/>
        </w:rPr>
        <w:t xml:space="preserve">4.17 LRIT Performance Standards and Functional Requirements </w:t>
      </w:r>
    </w:p>
    <w:p w14:paraId="4DA1672A"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The approved performance standards and functional requirements for long-range identification </w:t>
      </w:r>
    </w:p>
    <w:p w14:paraId="43FFA514"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and tracking lay out the LRIT system architecture (Figure 20) and describe how the long-range </w:t>
      </w:r>
    </w:p>
    <w:p w14:paraId="416CBC8B" w14:textId="77777777" w:rsidR="00541A14" w:rsidRDefault="00A450E1">
      <w:pPr>
        <w:pStyle w:val="CM173"/>
        <w:spacing w:after="340"/>
        <w:rPr>
          <w:rFonts w:ascii="Palatino" w:hAnsi="Palatino" w:cs="Palatino"/>
          <w:color w:val="000000"/>
          <w:sz w:val="20"/>
          <w:szCs w:val="20"/>
        </w:rPr>
      </w:pPr>
      <w:r>
        <w:rPr>
          <w:rFonts w:ascii="Palatino" w:hAnsi="Palatino" w:cs="Palatino"/>
          <w:color w:val="000000"/>
          <w:sz w:val="20"/>
          <w:szCs w:val="20"/>
        </w:rPr>
        <w:t xml:space="preserve">identification and tracking system works. </w:t>
      </w:r>
    </w:p>
    <w:p w14:paraId="0389F6E4" w14:textId="77777777" w:rsidR="00541A14" w:rsidRDefault="00A450E1">
      <w:pPr>
        <w:pStyle w:val="CM165"/>
        <w:spacing w:after="85"/>
        <w:jc w:val="center"/>
        <w:rPr>
          <w:rFonts w:ascii="Trebuchet MS" w:hAnsi="Trebuchet MS" w:cs="Trebuchet MS"/>
          <w:color w:val="000000"/>
          <w:sz w:val="7"/>
          <w:szCs w:val="7"/>
        </w:rPr>
      </w:pPr>
      <w:r>
        <w:rPr>
          <w:rFonts w:ascii="Trebuchet MS" w:hAnsi="Trebuchet MS" w:cs="Trebuchet MS"/>
          <w:color w:val="000000"/>
          <w:sz w:val="9"/>
          <w:szCs w:val="9"/>
        </w:rPr>
        <w:t xml:space="preserve">Contracting Government </w:t>
      </w:r>
      <w:r>
        <w:rPr>
          <w:rFonts w:ascii="Trebuchet MS" w:hAnsi="Trebuchet MS" w:cs="Trebuchet MS"/>
          <w:color w:val="000000"/>
          <w:sz w:val="7"/>
          <w:szCs w:val="7"/>
        </w:rPr>
        <w:t xml:space="preserve">... </w:t>
      </w:r>
      <w:r>
        <w:rPr>
          <w:rFonts w:ascii="Trebuchet MS" w:hAnsi="Trebuchet MS" w:cs="Trebuchet MS"/>
          <w:color w:val="000000"/>
          <w:sz w:val="9"/>
          <w:szCs w:val="9"/>
        </w:rPr>
        <w:t xml:space="preserve">Contracting Government </w:t>
      </w:r>
      <w:r>
        <w:rPr>
          <w:rFonts w:ascii="Trebuchet MS" w:hAnsi="Trebuchet MS" w:cs="Trebuchet MS"/>
          <w:color w:val="000000"/>
          <w:sz w:val="7"/>
          <w:szCs w:val="7"/>
        </w:rPr>
        <w:t xml:space="preserve">... </w:t>
      </w:r>
      <w:r>
        <w:rPr>
          <w:rFonts w:ascii="Trebuchet MS" w:hAnsi="Trebuchet MS" w:cs="Trebuchet MS"/>
          <w:color w:val="000000"/>
          <w:sz w:val="9"/>
          <w:szCs w:val="9"/>
        </w:rPr>
        <w:t xml:space="preserve">Contracting Government </w:t>
      </w:r>
      <w:r>
        <w:rPr>
          <w:rFonts w:ascii="Trebuchet MS" w:hAnsi="Trebuchet MS" w:cs="Trebuchet MS"/>
          <w:color w:val="000000"/>
          <w:sz w:val="7"/>
          <w:szCs w:val="7"/>
        </w:rPr>
        <w:t xml:space="preserve">... </w:t>
      </w:r>
    </w:p>
    <w:p w14:paraId="5ED14CDD" w14:textId="77777777" w:rsidR="00541A14" w:rsidRDefault="00A450E1">
      <w:pPr>
        <w:pStyle w:val="CM169"/>
        <w:spacing w:after="65" w:line="116" w:lineRule="atLeast"/>
        <w:jc w:val="center"/>
        <w:rPr>
          <w:rFonts w:ascii="Trebuchet MS" w:hAnsi="Trebuchet MS" w:cs="Trebuchet MS"/>
          <w:color w:val="000000"/>
          <w:sz w:val="9"/>
          <w:szCs w:val="9"/>
        </w:rPr>
      </w:pPr>
      <w:r>
        <w:rPr>
          <w:rFonts w:ascii="Trebuchet MS" w:hAnsi="Trebuchet MS" w:cs="Trebuchet MS"/>
          <w:color w:val="000000"/>
          <w:sz w:val="9"/>
          <w:szCs w:val="9"/>
        </w:rPr>
        <w:t xml:space="preserve">flag State flag State flag State </w:t>
      </w:r>
    </w:p>
    <w:p w14:paraId="1E7E916E" w14:textId="77777777" w:rsidR="00541A14" w:rsidRDefault="00A450E1">
      <w:pPr>
        <w:pStyle w:val="CM169"/>
        <w:spacing w:after="65" w:line="126" w:lineRule="atLeast"/>
        <w:ind w:left="2787" w:right="1912" w:hanging="450"/>
        <w:rPr>
          <w:rFonts w:ascii="Trebuchet MS" w:hAnsi="Trebuchet MS" w:cs="Trebuchet MS"/>
          <w:color w:val="000000"/>
          <w:sz w:val="9"/>
          <w:szCs w:val="9"/>
        </w:rPr>
      </w:pPr>
      <w:r>
        <w:rPr>
          <w:rFonts w:ascii="Trebuchet MS" w:hAnsi="Trebuchet MS" w:cs="Trebuchet MS"/>
          <w:color w:val="000000"/>
          <w:sz w:val="9"/>
          <w:szCs w:val="9"/>
        </w:rPr>
        <w:t xml:space="preserve">Contracting Government H Contracting Government O Contracting Government W port State port State port State </w:t>
      </w:r>
    </w:p>
    <w:p w14:paraId="789DE5F3" w14:textId="77777777" w:rsidR="00541A14" w:rsidRDefault="00A450E1">
      <w:pPr>
        <w:pStyle w:val="CM169"/>
        <w:spacing w:after="65" w:line="116" w:lineRule="atLeast"/>
        <w:jc w:val="center"/>
        <w:rPr>
          <w:rFonts w:ascii="Trebuchet MS" w:hAnsi="Trebuchet MS" w:cs="Trebuchet MS"/>
          <w:color w:val="000000"/>
          <w:sz w:val="9"/>
          <w:szCs w:val="9"/>
        </w:rPr>
      </w:pPr>
      <w:r>
        <w:rPr>
          <w:rFonts w:ascii="Trebuchet MS" w:hAnsi="Trebuchet MS" w:cs="Trebuchet MS"/>
          <w:color w:val="000000"/>
          <w:sz w:val="9"/>
          <w:szCs w:val="9"/>
        </w:rPr>
        <w:t xml:space="preserve">flag State flag State flag State </w:t>
      </w:r>
    </w:p>
    <w:p w14:paraId="5C8B95EF" w14:textId="77777777" w:rsidR="00541A14" w:rsidRDefault="00A450E1">
      <w:pPr>
        <w:pStyle w:val="CM169"/>
        <w:spacing w:after="65" w:line="116" w:lineRule="atLeast"/>
        <w:jc w:val="center"/>
        <w:rPr>
          <w:rFonts w:ascii="Trebuchet MS" w:hAnsi="Trebuchet MS" w:cs="Trebuchet MS"/>
          <w:color w:val="000000"/>
          <w:sz w:val="9"/>
          <w:szCs w:val="9"/>
        </w:rPr>
      </w:pPr>
      <w:r>
        <w:rPr>
          <w:rFonts w:ascii="Trebuchet MS" w:hAnsi="Trebuchet MS" w:cs="Trebuchet MS"/>
          <w:color w:val="000000"/>
          <w:sz w:val="9"/>
          <w:szCs w:val="9"/>
        </w:rPr>
        <w:t xml:space="preserve">Contracting Government G Contracting Government M Contracting Government U </w:t>
      </w:r>
    </w:p>
    <w:p w14:paraId="7203D8FF" w14:textId="77777777" w:rsidR="00541A14" w:rsidRDefault="00A450E1">
      <w:pPr>
        <w:pStyle w:val="CM169"/>
        <w:spacing w:after="65" w:line="116" w:lineRule="atLeast"/>
        <w:jc w:val="center"/>
        <w:rPr>
          <w:rFonts w:ascii="Trebuchet MS" w:hAnsi="Trebuchet MS" w:cs="Trebuchet MS"/>
          <w:color w:val="000000"/>
          <w:sz w:val="9"/>
          <w:szCs w:val="9"/>
        </w:rPr>
      </w:pPr>
      <w:r>
        <w:rPr>
          <w:rFonts w:ascii="Trebuchet MS" w:hAnsi="Trebuchet MS" w:cs="Trebuchet MS"/>
          <w:color w:val="000000"/>
          <w:sz w:val="9"/>
          <w:szCs w:val="9"/>
        </w:rPr>
        <w:t xml:space="preserve">coastal State coastal State coastal State </w:t>
      </w:r>
    </w:p>
    <w:p w14:paraId="18A8B36A" w14:textId="77777777" w:rsidR="00541A14" w:rsidRDefault="00A450E1">
      <w:pPr>
        <w:pStyle w:val="CM169"/>
        <w:spacing w:after="65" w:line="116" w:lineRule="atLeast"/>
        <w:jc w:val="center"/>
        <w:rPr>
          <w:rFonts w:ascii="Trebuchet MS" w:hAnsi="Trebuchet MS" w:cs="Trebuchet MS"/>
          <w:color w:val="000000"/>
          <w:sz w:val="9"/>
          <w:szCs w:val="9"/>
        </w:rPr>
      </w:pPr>
      <w:r>
        <w:rPr>
          <w:rFonts w:ascii="Trebuchet MS" w:hAnsi="Trebuchet MS" w:cs="Trebuchet MS"/>
          <w:color w:val="000000"/>
          <w:sz w:val="9"/>
          <w:szCs w:val="9"/>
        </w:rPr>
        <w:t xml:space="preserve">port State port State port State </w:t>
      </w:r>
    </w:p>
    <w:p w14:paraId="1AF797E4" w14:textId="77777777" w:rsidR="00541A14" w:rsidRDefault="00A450E1">
      <w:pPr>
        <w:pStyle w:val="CM169"/>
        <w:spacing w:after="65" w:line="116" w:lineRule="atLeast"/>
        <w:jc w:val="center"/>
        <w:rPr>
          <w:rFonts w:ascii="Trebuchet MS" w:hAnsi="Trebuchet MS" w:cs="Trebuchet MS"/>
          <w:color w:val="000000"/>
          <w:sz w:val="9"/>
          <w:szCs w:val="9"/>
        </w:rPr>
      </w:pPr>
      <w:r>
        <w:rPr>
          <w:rFonts w:ascii="Trebuchet MS" w:hAnsi="Trebuchet MS" w:cs="Trebuchet MS"/>
          <w:color w:val="000000"/>
          <w:sz w:val="9"/>
          <w:szCs w:val="9"/>
        </w:rPr>
        <w:t xml:space="preserve">flag State flag State flag State </w:t>
      </w:r>
    </w:p>
    <w:p w14:paraId="278ACA04" w14:textId="77777777" w:rsidR="00541A14" w:rsidRDefault="00A450E1">
      <w:pPr>
        <w:pStyle w:val="Default"/>
        <w:spacing w:line="113" w:lineRule="atLeast"/>
        <w:ind w:left="2590" w:hanging="2100"/>
        <w:rPr>
          <w:rFonts w:ascii="Trebuchet MS" w:hAnsi="Trebuchet MS" w:cs="Trebuchet MS"/>
          <w:sz w:val="9"/>
          <w:szCs w:val="9"/>
        </w:rPr>
      </w:pPr>
      <w:r>
        <w:rPr>
          <w:rFonts w:ascii="Trebuchet MS" w:hAnsi="Trebuchet MS" w:cs="Trebuchet MS"/>
          <w:sz w:val="9"/>
          <w:szCs w:val="9"/>
        </w:rPr>
        <w:t xml:space="preserve">Contracting Government A Contracting Government F Contracting Government N Contracting Government T port State port State port State possible commands, security and user </w:t>
      </w:r>
      <w:r>
        <w:rPr>
          <w:rFonts w:ascii="Trebuchet MS" w:hAnsi="Trebuchet MS" w:cs="Trebuchet MS"/>
          <w:color w:val="272972"/>
          <w:sz w:val="9"/>
          <w:szCs w:val="9"/>
        </w:rPr>
        <w:t xml:space="preserve">SAR service SAR service SAR service </w:t>
      </w:r>
      <w:r>
        <w:rPr>
          <w:rFonts w:ascii="Trebuchet MS" w:hAnsi="Trebuchet MS" w:cs="Trebuchet MS"/>
          <w:sz w:val="9"/>
          <w:szCs w:val="9"/>
        </w:rPr>
        <w:t xml:space="preserve">The standard for data format, set of </w:t>
      </w:r>
    </w:p>
    <w:p w14:paraId="1274BA2C" w14:textId="77777777" w:rsidR="00541A14" w:rsidRDefault="00A450E1">
      <w:pPr>
        <w:pStyle w:val="Default"/>
        <w:spacing w:line="106" w:lineRule="atLeast"/>
        <w:ind w:left="845" w:firstLine="1785"/>
        <w:rPr>
          <w:rFonts w:ascii="Trebuchet MS" w:hAnsi="Trebuchet MS" w:cs="Trebuchet MS"/>
          <w:sz w:val="9"/>
          <w:szCs w:val="9"/>
        </w:rPr>
      </w:pPr>
      <w:r>
        <w:rPr>
          <w:rFonts w:ascii="Trebuchet MS" w:hAnsi="Trebuchet MS" w:cs="Trebuchet MS"/>
          <w:sz w:val="9"/>
          <w:szCs w:val="9"/>
        </w:rPr>
        <w:t xml:space="preserve">coastal State coastal State coastal State flag State flag State flag State flag State </w:t>
      </w:r>
    </w:p>
    <w:p w14:paraId="2316DEBC" w14:textId="77777777" w:rsidR="00541A14" w:rsidRDefault="00A450E1">
      <w:pPr>
        <w:pStyle w:val="CM172"/>
        <w:spacing w:after="202" w:line="106" w:lineRule="atLeast"/>
        <w:ind w:left="7402"/>
        <w:rPr>
          <w:rFonts w:ascii="Trebuchet MS" w:hAnsi="Trebuchet MS" w:cs="Trebuchet MS"/>
          <w:color w:val="000000"/>
          <w:sz w:val="9"/>
          <w:szCs w:val="9"/>
        </w:rPr>
      </w:pPr>
      <w:r>
        <w:rPr>
          <w:rFonts w:ascii="Trebuchet MS" w:hAnsi="Trebuchet MS" w:cs="Trebuchet MS"/>
          <w:color w:val="000000"/>
          <w:sz w:val="9"/>
          <w:szCs w:val="9"/>
        </w:rPr>
        <w:t xml:space="preserve">interface may vary from place to place </w:t>
      </w:r>
    </w:p>
    <w:p w14:paraId="3F6BA757" w14:textId="77777777" w:rsidR="00541A14" w:rsidRDefault="00A450E1">
      <w:pPr>
        <w:pStyle w:val="CM169"/>
        <w:spacing w:after="65" w:line="116" w:lineRule="atLeast"/>
        <w:jc w:val="center"/>
        <w:rPr>
          <w:rFonts w:ascii="Trebuchet MS" w:hAnsi="Trebuchet MS" w:cs="Trebuchet MS"/>
          <w:color w:val="272972"/>
          <w:sz w:val="9"/>
          <w:szCs w:val="9"/>
        </w:rPr>
      </w:pPr>
      <w:r>
        <w:rPr>
          <w:rFonts w:ascii="Trebuchet MS" w:hAnsi="Trebuchet MS" w:cs="Trebuchet MS"/>
          <w:color w:val="272972"/>
          <w:sz w:val="9"/>
          <w:szCs w:val="9"/>
        </w:rPr>
        <w:t xml:space="preserve">SAR service SAR service SAR service </w:t>
      </w:r>
    </w:p>
    <w:p w14:paraId="1FFF94AA" w14:textId="77777777" w:rsidR="00541A14" w:rsidRDefault="00A450E1">
      <w:pPr>
        <w:pStyle w:val="CM169"/>
        <w:spacing w:after="65" w:line="116" w:lineRule="atLeast"/>
        <w:jc w:val="center"/>
        <w:rPr>
          <w:rFonts w:ascii="Trebuchet MS" w:hAnsi="Trebuchet MS" w:cs="Trebuchet MS"/>
          <w:color w:val="000000"/>
          <w:sz w:val="9"/>
          <w:szCs w:val="9"/>
        </w:rPr>
      </w:pPr>
      <w:r>
        <w:rPr>
          <w:rFonts w:ascii="Trebuchet MS" w:hAnsi="Trebuchet MS" w:cs="Trebuchet MS"/>
          <w:color w:val="000000"/>
          <w:sz w:val="9"/>
          <w:szCs w:val="9"/>
        </w:rPr>
        <w:t xml:space="preserve">coastal State coastal State coastal State </w:t>
      </w:r>
    </w:p>
    <w:p w14:paraId="2AF7125A" w14:textId="77777777" w:rsidR="00541A14" w:rsidRDefault="00A450E1">
      <w:pPr>
        <w:pStyle w:val="CM107"/>
        <w:ind w:left="822"/>
        <w:rPr>
          <w:rFonts w:ascii="Trebuchet MS" w:hAnsi="Trebuchet MS" w:cs="Trebuchet MS"/>
          <w:color w:val="000000"/>
          <w:sz w:val="9"/>
          <w:szCs w:val="9"/>
        </w:rPr>
      </w:pPr>
      <w:r>
        <w:rPr>
          <w:rFonts w:ascii="Trebuchet MS" w:hAnsi="Trebuchet MS" w:cs="Trebuchet MS"/>
          <w:color w:val="000000"/>
          <w:sz w:val="9"/>
          <w:szCs w:val="9"/>
        </w:rPr>
        <w:t xml:space="preserve">port State port State port State port State </w:t>
      </w:r>
    </w:p>
    <w:p w14:paraId="6387E34E" w14:textId="77777777" w:rsidR="00541A14" w:rsidRDefault="00A450E1">
      <w:pPr>
        <w:pStyle w:val="CM169"/>
        <w:spacing w:after="65" w:line="116" w:lineRule="atLeast"/>
        <w:jc w:val="center"/>
        <w:rPr>
          <w:rFonts w:ascii="Trebuchet MS" w:hAnsi="Trebuchet MS" w:cs="Trebuchet MS"/>
          <w:color w:val="272972"/>
          <w:sz w:val="9"/>
          <w:szCs w:val="9"/>
        </w:rPr>
      </w:pPr>
      <w:r>
        <w:rPr>
          <w:rFonts w:ascii="Trebuchet MS" w:hAnsi="Trebuchet MS" w:cs="Trebuchet MS"/>
          <w:color w:val="272972"/>
          <w:sz w:val="9"/>
          <w:szCs w:val="9"/>
        </w:rPr>
        <w:t xml:space="preserve">SAR service SAR service SAR service </w:t>
      </w:r>
    </w:p>
    <w:p w14:paraId="6F2814A7" w14:textId="77777777" w:rsidR="00541A14" w:rsidRDefault="00A450E1">
      <w:pPr>
        <w:pStyle w:val="CM165"/>
        <w:spacing w:after="85" w:line="106" w:lineRule="atLeast"/>
        <w:ind w:left="775"/>
        <w:rPr>
          <w:rFonts w:ascii="Trebuchet MS" w:hAnsi="Trebuchet MS" w:cs="Trebuchet MS"/>
          <w:color w:val="000000"/>
          <w:sz w:val="9"/>
          <w:szCs w:val="9"/>
        </w:rPr>
      </w:pPr>
      <w:r>
        <w:rPr>
          <w:rFonts w:ascii="Trebuchet MS" w:hAnsi="Trebuchet MS" w:cs="Trebuchet MS"/>
          <w:color w:val="000000"/>
          <w:sz w:val="9"/>
          <w:szCs w:val="9"/>
        </w:rPr>
        <w:t xml:space="preserve">coastal State coastal State coastal State coastal State </w:t>
      </w:r>
    </w:p>
    <w:p w14:paraId="6FAD4B64" w14:textId="77777777" w:rsidR="00541A14" w:rsidRDefault="00A450E1">
      <w:pPr>
        <w:pStyle w:val="CM107"/>
        <w:ind w:left="822"/>
        <w:rPr>
          <w:rFonts w:ascii="Trebuchet MS" w:hAnsi="Trebuchet MS" w:cs="Trebuchet MS"/>
          <w:color w:val="000000"/>
          <w:sz w:val="9"/>
          <w:szCs w:val="9"/>
        </w:rPr>
      </w:pPr>
      <w:r>
        <w:rPr>
          <w:rFonts w:ascii="Trebuchet MS" w:hAnsi="Trebuchet MS" w:cs="Trebuchet MS"/>
          <w:color w:val="000000"/>
          <w:sz w:val="9"/>
          <w:szCs w:val="9"/>
        </w:rPr>
        <w:t xml:space="preserve">SAR service SAR service SAR service SAR service </w:t>
      </w:r>
    </w:p>
    <w:p w14:paraId="66323DED" w14:textId="77777777" w:rsidR="00541A14" w:rsidRDefault="00A450E1">
      <w:pPr>
        <w:pStyle w:val="Default"/>
        <w:spacing w:line="113" w:lineRule="atLeast"/>
        <w:ind w:left="8405" w:right="110"/>
        <w:jc w:val="center"/>
        <w:rPr>
          <w:rFonts w:ascii="Trebuchet MS" w:hAnsi="Trebuchet MS" w:cs="Trebuchet MS"/>
          <w:sz w:val="9"/>
          <w:szCs w:val="9"/>
        </w:rPr>
      </w:pPr>
      <w:r>
        <w:rPr>
          <w:rFonts w:ascii="Trebuchet MS" w:hAnsi="Trebuchet MS" w:cs="Trebuchet MS"/>
          <w:sz w:val="9"/>
          <w:szCs w:val="9"/>
        </w:rPr>
        <w:t xml:space="preserve">International routeing rules </w:t>
      </w:r>
    </w:p>
    <w:p w14:paraId="307E9E04" w14:textId="77777777" w:rsidR="00541A14" w:rsidRDefault="00A450E1">
      <w:pPr>
        <w:pStyle w:val="CM175"/>
        <w:spacing w:after="267"/>
        <w:ind w:left="302"/>
        <w:rPr>
          <w:rFonts w:ascii="Trebuchet MS" w:hAnsi="Trebuchet MS" w:cs="Trebuchet MS"/>
          <w:color w:val="000000"/>
          <w:sz w:val="11"/>
          <w:szCs w:val="11"/>
        </w:rPr>
      </w:pPr>
      <w:r>
        <w:rPr>
          <w:rFonts w:ascii="Trebuchet MS" w:hAnsi="Trebuchet MS" w:cs="Trebuchet MS"/>
          <w:color w:val="000000"/>
          <w:sz w:val="11"/>
          <w:szCs w:val="11"/>
        </w:rPr>
        <w:t xml:space="preserve">National Regional Cooperative International </w:t>
      </w:r>
    </w:p>
    <w:p w14:paraId="0480CF08" w14:textId="77777777" w:rsidR="00541A14" w:rsidRDefault="00A450E1">
      <w:pPr>
        <w:pStyle w:val="Default"/>
        <w:spacing w:line="103" w:lineRule="atLeast"/>
        <w:ind w:left="755" w:firstLine="165"/>
        <w:rPr>
          <w:rFonts w:ascii="Trebuchet MS" w:hAnsi="Trebuchet MS" w:cs="Trebuchet MS"/>
          <w:sz w:val="9"/>
          <w:szCs w:val="9"/>
        </w:rPr>
      </w:pPr>
      <w:r>
        <w:rPr>
          <w:rFonts w:ascii="Trebuchet MS" w:hAnsi="Trebuchet MS" w:cs="Trebuchet MS"/>
          <w:b/>
          <w:bCs/>
          <w:sz w:val="9"/>
          <w:szCs w:val="9"/>
        </w:rPr>
        <w:t xml:space="preserve">LRIT LRIT LRIT LRIT Data Centre </w:t>
      </w:r>
    </w:p>
    <w:p w14:paraId="5C9315A2" w14:textId="77777777" w:rsidR="00541A14" w:rsidRDefault="00A450E1">
      <w:pPr>
        <w:pStyle w:val="CM172"/>
        <w:spacing w:after="202" w:line="103" w:lineRule="atLeast"/>
        <w:ind w:left="8127"/>
        <w:rPr>
          <w:rFonts w:ascii="Trebuchet MS" w:hAnsi="Trebuchet MS" w:cs="Trebuchet MS"/>
          <w:color w:val="000000"/>
          <w:sz w:val="9"/>
          <w:szCs w:val="9"/>
        </w:rPr>
      </w:pPr>
      <w:r>
        <w:rPr>
          <w:rFonts w:ascii="Trebuchet MS" w:hAnsi="Trebuchet MS" w:cs="Trebuchet MS"/>
          <w:color w:val="000000"/>
          <w:sz w:val="9"/>
          <w:szCs w:val="9"/>
        </w:rPr>
        <w:t xml:space="preserve">LRIT </w:t>
      </w:r>
    </w:p>
    <w:p w14:paraId="11B1DCBE" w14:textId="77777777" w:rsidR="00541A14" w:rsidRDefault="00A450E1">
      <w:pPr>
        <w:pStyle w:val="CM172"/>
        <w:spacing w:after="202" w:line="103" w:lineRule="atLeast"/>
        <w:ind w:left="2565"/>
        <w:rPr>
          <w:rFonts w:ascii="Trebuchet MS" w:hAnsi="Trebuchet MS" w:cs="Trebuchet MS"/>
          <w:color w:val="000000"/>
          <w:sz w:val="9"/>
          <w:szCs w:val="9"/>
        </w:rPr>
      </w:pPr>
      <w:r>
        <w:rPr>
          <w:rFonts w:ascii="Trebuchet MS" w:hAnsi="Trebuchet MS" w:cs="Trebuchet MS"/>
          <w:b/>
          <w:bCs/>
          <w:color w:val="000000"/>
          <w:sz w:val="9"/>
          <w:szCs w:val="9"/>
        </w:rPr>
        <w:t xml:space="preserve">Data Centre </w:t>
      </w:r>
    </w:p>
    <w:p w14:paraId="6F6E2649" w14:textId="77777777" w:rsidR="00541A14" w:rsidRDefault="00A450E1">
      <w:pPr>
        <w:pStyle w:val="CM172"/>
        <w:spacing w:after="202" w:line="116" w:lineRule="atLeast"/>
        <w:jc w:val="center"/>
        <w:rPr>
          <w:rFonts w:ascii="Trebuchet MS" w:hAnsi="Trebuchet MS" w:cs="Trebuchet MS"/>
          <w:color w:val="000000"/>
          <w:sz w:val="9"/>
          <w:szCs w:val="9"/>
        </w:rPr>
      </w:pPr>
      <w:r>
        <w:rPr>
          <w:rFonts w:ascii="Trebuchet MS" w:hAnsi="Trebuchet MS" w:cs="Trebuchet MS"/>
          <w:b/>
          <w:bCs/>
          <w:color w:val="000000"/>
          <w:sz w:val="9"/>
          <w:szCs w:val="9"/>
        </w:rPr>
        <w:t xml:space="preserve">Data Centre </w:t>
      </w:r>
    </w:p>
    <w:p w14:paraId="6FBFA060" w14:textId="77777777" w:rsidR="00541A14" w:rsidRDefault="00A450E1">
      <w:pPr>
        <w:pStyle w:val="CM172"/>
        <w:spacing w:after="202" w:line="103" w:lineRule="atLeast"/>
        <w:ind w:left="6142"/>
        <w:rPr>
          <w:rFonts w:ascii="Trebuchet MS" w:hAnsi="Trebuchet MS" w:cs="Trebuchet MS"/>
          <w:color w:val="000000"/>
          <w:sz w:val="9"/>
          <w:szCs w:val="9"/>
        </w:rPr>
      </w:pPr>
      <w:r>
        <w:rPr>
          <w:rFonts w:ascii="Trebuchet MS" w:hAnsi="Trebuchet MS" w:cs="Trebuchet MS"/>
          <w:b/>
          <w:bCs/>
          <w:color w:val="000000"/>
          <w:sz w:val="9"/>
          <w:szCs w:val="9"/>
        </w:rPr>
        <w:t xml:space="preserve">Data Centre </w:t>
      </w:r>
    </w:p>
    <w:p w14:paraId="25786568" w14:textId="77777777" w:rsidR="00541A14" w:rsidRDefault="00A450E1">
      <w:pPr>
        <w:pStyle w:val="CM172"/>
        <w:spacing w:after="202" w:line="108" w:lineRule="atLeast"/>
        <w:ind w:left="7790"/>
        <w:rPr>
          <w:rFonts w:ascii="Trebuchet MS" w:hAnsi="Trebuchet MS" w:cs="Trebuchet MS"/>
          <w:color w:val="000000"/>
          <w:sz w:val="9"/>
          <w:szCs w:val="9"/>
        </w:rPr>
      </w:pPr>
      <w:r>
        <w:rPr>
          <w:rFonts w:ascii="Trebuchet MS" w:hAnsi="Trebuchet MS" w:cs="Trebuchet MS"/>
          <w:color w:val="000000"/>
          <w:sz w:val="9"/>
          <w:szCs w:val="9"/>
        </w:rPr>
        <w:t xml:space="preserve">Data Distribution Plan </w:t>
      </w:r>
    </w:p>
    <w:p w14:paraId="16D71B3A" w14:textId="77777777" w:rsidR="00541A14" w:rsidRDefault="00A450E1">
      <w:pPr>
        <w:pStyle w:val="CM172"/>
        <w:spacing w:after="202" w:line="103" w:lineRule="atLeast"/>
        <w:ind w:left="952"/>
        <w:rPr>
          <w:rFonts w:ascii="Trebuchet MS" w:hAnsi="Trebuchet MS" w:cs="Trebuchet MS"/>
          <w:color w:val="000000"/>
          <w:sz w:val="9"/>
          <w:szCs w:val="9"/>
        </w:rPr>
      </w:pPr>
      <w:r>
        <w:rPr>
          <w:rFonts w:ascii="Trebuchet MS" w:hAnsi="Trebuchet MS" w:cs="Trebuchet MS"/>
          <w:b/>
          <w:bCs/>
          <w:color w:val="000000"/>
          <w:sz w:val="9"/>
          <w:szCs w:val="9"/>
        </w:rPr>
        <w:t xml:space="preserve">or or </w:t>
      </w:r>
    </w:p>
    <w:p w14:paraId="553C4EBE" w14:textId="77777777" w:rsidR="00541A14" w:rsidRDefault="00A450E1">
      <w:pPr>
        <w:pStyle w:val="CM172"/>
        <w:spacing w:after="202" w:line="116" w:lineRule="atLeast"/>
        <w:jc w:val="center"/>
        <w:rPr>
          <w:rFonts w:ascii="Trebuchet MS" w:hAnsi="Trebuchet MS" w:cs="Trebuchet MS"/>
          <w:color w:val="000000"/>
          <w:sz w:val="9"/>
          <w:szCs w:val="9"/>
        </w:rPr>
      </w:pPr>
      <w:r>
        <w:rPr>
          <w:rFonts w:ascii="Trebuchet MS" w:hAnsi="Trebuchet MS" w:cs="Trebuchet MS"/>
          <w:b/>
          <w:bCs/>
          <w:color w:val="000000"/>
          <w:sz w:val="9"/>
          <w:szCs w:val="9"/>
        </w:rPr>
        <w:t xml:space="preserve">or </w:t>
      </w:r>
    </w:p>
    <w:p w14:paraId="05A5C497" w14:textId="77777777" w:rsidR="00541A14" w:rsidRDefault="00A450E1">
      <w:pPr>
        <w:pStyle w:val="CM172"/>
        <w:spacing w:after="202" w:line="103" w:lineRule="atLeast"/>
        <w:ind w:left="6357"/>
        <w:rPr>
          <w:rFonts w:ascii="Trebuchet MS" w:hAnsi="Trebuchet MS" w:cs="Trebuchet MS"/>
          <w:color w:val="000000"/>
          <w:sz w:val="9"/>
          <w:szCs w:val="9"/>
        </w:rPr>
      </w:pPr>
      <w:r>
        <w:rPr>
          <w:rFonts w:ascii="Trebuchet MS" w:hAnsi="Trebuchet MS" w:cs="Trebuchet MS"/>
          <w:b/>
          <w:bCs/>
          <w:color w:val="000000"/>
          <w:sz w:val="9"/>
          <w:szCs w:val="9"/>
        </w:rPr>
        <w:t xml:space="preserve">or </w:t>
      </w:r>
    </w:p>
    <w:p w14:paraId="4373881B" w14:textId="77777777" w:rsidR="00541A14" w:rsidRDefault="00A450E1">
      <w:pPr>
        <w:pStyle w:val="CM172"/>
        <w:spacing w:after="202" w:line="103" w:lineRule="atLeast"/>
        <w:ind w:left="8127"/>
        <w:rPr>
          <w:rFonts w:ascii="Trebuchet MS" w:hAnsi="Trebuchet MS" w:cs="Trebuchet MS"/>
          <w:color w:val="000000"/>
          <w:sz w:val="9"/>
          <w:szCs w:val="9"/>
        </w:rPr>
      </w:pPr>
      <w:r>
        <w:rPr>
          <w:rFonts w:ascii="Trebuchet MS" w:hAnsi="Trebuchet MS" w:cs="Trebuchet MS"/>
          <w:color w:val="000000"/>
          <w:sz w:val="9"/>
          <w:szCs w:val="9"/>
        </w:rPr>
        <w:t>server</w:t>
      </w:r>
    </w:p>
    <w:p w14:paraId="423956F0" w14:textId="77777777" w:rsidR="00541A14" w:rsidRDefault="00A450E1">
      <w:pPr>
        <w:pStyle w:val="CM172"/>
        <w:spacing w:after="202" w:line="103" w:lineRule="atLeast"/>
        <w:ind w:left="952"/>
        <w:rPr>
          <w:rFonts w:ascii="Trebuchet MS" w:hAnsi="Trebuchet MS" w:cs="Trebuchet MS"/>
          <w:color w:val="000000"/>
          <w:sz w:val="9"/>
          <w:szCs w:val="9"/>
        </w:rPr>
      </w:pPr>
      <w:r>
        <w:rPr>
          <w:rFonts w:ascii="Trebuchet MS" w:hAnsi="Trebuchet MS" w:cs="Trebuchet MS"/>
          <w:b/>
          <w:bCs/>
          <w:color w:val="000000"/>
          <w:sz w:val="9"/>
          <w:szCs w:val="9"/>
        </w:rPr>
        <w:t xml:space="preserve">VMS VMS VMS VMS </w:t>
      </w:r>
    </w:p>
    <w:p w14:paraId="2CC91AF1" w14:textId="77777777" w:rsidR="00541A14" w:rsidRDefault="00A450E1">
      <w:pPr>
        <w:pStyle w:val="CM198"/>
        <w:spacing w:after="1092" w:line="103" w:lineRule="atLeast"/>
        <w:ind w:left="1547"/>
        <w:rPr>
          <w:rFonts w:ascii="Trebuchet MS" w:hAnsi="Trebuchet MS" w:cs="Trebuchet MS"/>
          <w:color w:val="000000"/>
          <w:sz w:val="9"/>
          <w:szCs w:val="9"/>
        </w:rPr>
      </w:pPr>
      <w:r>
        <w:rPr>
          <w:rFonts w:ascii="Trebuchet MS" w:hAnsi="Trebuchet MS" w:cs="Trebuchet MS"/>
          <w:b/>
          <w:bCs/>
          <w:color w:val="000000"/>
          <w:sz w:val="9"/>
          <w:szCs w:val="9"/>
        </w:rPr>
        <w:t xml:space="preserve">D/B D/B D/B D/B </w:t>
      </w:r>
    </w:p>
    <w:p w14:paraId="3A1B5CA7" w14:textId="77777777" w:rsidR="00541A14" w:rsidRDefault="00A450E1">
      <w:pPr>
        <w:pStyle w:val="Default"/>
        <w:spacing w:line="111" w:lineRule="atLeast"/>
        <w:ind w:left="7700" w:right="175"/>
        <w:rPr>
          <w:rFonts w:ascii="Trebuchet MS" w:hAnsi="Trebuchet MS" w:cs="Trebuchet MS"/>
          <w:sz w:val="9"/>
          <w:szCs w:val="9"/>
        </w:rPr>
      </w:pPr>
      <w:r>
        <w:rPr>
          <w:rFonts w:ascii="Trebuchet MS" w:hAnsi="Trebuchet MS" w:cs="Trebuchet MS"/>
          <w:sz w:val="9"/>
          <w:szCs w:val="9"/>
        </w:rPr>
        <w:t xml:space="preserve">One standard for data format, set of commands, security </w:t>
      </w:r>
    </w:p>
    <w:p w14:paraId="46BE48FC" w14:textId="77777777" w:rsidR="00541A14" w:rsidRDefault="00A450E1">
      <w:pPr>
        <w:pStyle w:val="CM172"/>
        <w:spacing w:after="202" w:line="111" w:lineRule="atLeast"/>
        <w:ind w:left="3270"/>
        <w:rPr>
          <w:rFonts w:ascii="Trebuchet MS" w:hAnsi="Trebuchet MS" w:cs="Trebuchet MS"/>
          <w:color w:val="000000"/>
          <w:sz w:val="9"/>
          <w:szCs w:val="9"/>
        </w:rPr>
      </w:pPr>
      <w:r>
        <w:rPr>
          <w:rFonts w:ascii="Trebuchet MS" w:hAnsi="Trebuchet MS" w:cs="Trebuchet MS"/>
          <w:b/>
          <w:bCs/>
          <w:color w:val="000000"/>
          <w:sz w:val="9"/>
          <w:szCs w:val="9"/>
        </w:rPr>
        <w:t xml:space="preserve">International LRIT Data Exchange </w:t>
      </w:r>
    </w:p>
    <w:p w14:paraId="0D02CEFB" w14:textId="77777777" w:rsidR="00541A14" w:rsidRDefault="00A450E1">
      <w:pPr>
        <w:pStyle w:val="CM173"/>
        <w:spacing w:after="340" w:line="108" w:lineRule="atLeast"/>
        <w:ind w:left="7790"/>
        <w:rPr>
          <w:rFonts w:ascii="Trebuchet MS" w:hAnsi="Trebuchet MS" w:cs="Trebuchet MS"/>
          <w:color w:val="000000"/>
          <w:sz w:val="9"/>
          <w:szCs w:val="9"/>
        </w:rPr>
      </w:pPr>
      <w:r>
        <w:rPr>
          <w:rFonts w:ascii="Trebuchet MS" w:hAnsi="Trebuchet MS" w:cs="Trebuchet MS"/>
          <w:color w:val="000000"/>
          <w:sz w:val="9"/>
          <w:szCs w:val="9"/>
        </w:rPr>
        <w:t xml:space="preserve">and quality of service Journal </w:t>
      </w:r>
    </w:p>
    <w:p w14:paraId="3FCB2815" w14:textId="77777777" w:rsidR="00541A14" w:rsidRDefault="00A450E1">
      <w:pPr>
        <w:pStyle w:val="CM180"/>
        <w:spacing w:after="732"/>
        <w:jc w:val="center"/>
        <w:rPr>
          <w:rFonts w:ascii="Palatino" w:hAnsi="Palatino" w:cs="Palatino"/>
          <w:color w:val="000000"/>
          <w:sz w:val="20"/>
          <w:szCs w:val="20"/>
        </w:rPr>
      </w:pPr>
      <w:r>
        <w:rPr>
          <w:rFonts w:ascii="Palatino" w:hAnsi="Palatino" w:cs="Palatino"/>
          <w:i/>
          <w:iCs/>
          <w:color w:val="000000"/>
          <w:sz w:val="20"/>
          <w:szCs w:val="20"/>
        </w:rPr>
        <w:t xml:space="preserve">Figure 20 - LRIT system architecture </w:t>
      </w:r>
    </w:p>
    <w:p w14:paraId="6FCD909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In this architecture, the Administration determines whether its ships will report to a national, regional/cooperative, or the international LRIT data centre. Each of these types of centres may use multiple communications service providers. The architecture is also designed to accommodate multiple application service providers.  Building on the basic concept noted above, a ship carries radio </w:t>
      </w:r>
    </w:p>
    <w:p w14:paraId="3C31887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communications equipment that reports identification, position and time to the national, regional/ </w:t>
      </w:r>
    </w:p>
    <w:p w14:paraId="534DF8C1" w14:textId="77777777" w:rsidR="00541A14" w:rsidRDefault="00A450E1">
      <w:pPr>
        <w:pStyle w:val="CM4"/>
        <w:spacing w:after="2667"/>
        <w:rPr>
          <w:rFonts w:ascii="Palatino" w:hAnsi="Palatino" w:cs="Palatino"/>
          <w:color w:val="000000"/>
          <w:sz w:val="20"/>
          <w:szCs w:val="20"/>
        </w:rPr>
      </w:pPr>
      <w:r>
        <w:rPr>
          <w:rFonts w:ascii="Palatino" w:hAnsi="Palatino" w:cs="Palatino"/>
          <w:color w:val="000000"/>
          <w:sz w:val="20"/>
          <w:szCs w:val="20"/>
        </w:rPr>
        <w:t xml:space="preserve">cooperative, or international LRIT data centre tracking that ship. The Administration of the ship can access the LRIT information directly from the data centre.  Other Contracting Governments that are entitled to that information (i.e., port and coastal states) can request the information through their data centre and thence through the international LRIT Data Exchange.  The LRIT information is routed to the requesting data centre through the data exchange. </w:t>
      </w:r>
    </w:p>
    <w:p w14:paraId="714CD9AE" w14:textId="77777777" w:rsidR="00541A14" w:rsidRDefault="00A450E1">
      <w:pPr>
        <w:pStyle w:val="Default"/>
        <w:rPr>
          <w:rFonts w:ascii="Palatino" w:hAnsi="Palatino" w:cs="Palatino"/>
          <w:sz w:val="20"/>
          <w:szCs w:val="20"/>
        </w:rPr>
      </w:pPr>
      <w:r>
        <w:rPr>
          <w:rFonts w:ascii="Palatino" w:hAnsi="Palatino" w:cs="Palatino"/>
          <w:i/>
          <w:iCs/>
          <w:sz w:val="20"/>
          <w:szCs w:val="20"/>
        </w:rPr>
        <w:t xml:space="preserve">NAVGUIDE 2010 </w:t>
      </w:r>
    </w:p>
    <w:p w14:paraId="2C47D2B0" w14:textId="77777777" w:rsidR="00541A14" w:rsidRDefault="00A450E1">
      <w:pPr>
        <w:pStyle w:val="CM198"/>
        <w:pageBreakBefore/>
        <w:spacing w:after="1092"/>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5A6A61C2" w14:textId="77777777" w:rsidR="00541A14" w:rsidRDefault="00A450E1">
      <w:pPr>
        <w:pStyle w:val="CM172"/>
        <w:spacing w:after="202"/>
        <w:rPr>
          <w:rFonts w:ascii="Futura Book" w:hAnsi="Futura Book" w:cs="Futura Book"/>
          <w:color w:val="2C5062"/>
          <w:sz w:val="28"/>
          <w:szCs w:val="28"/>
        </w:rPr>
      </w:pPr>
      <w:r>
        <w:rPr>
          <w:rFonts w:ascii="Futura Book" w:hAnsi="Futura Book" w:cs="Futura Book"/>
          <w:b/>
          <w:bCs/>
          <w:color w:val="2C5062"/>
          <w:sz w:val="28"/>
          <w:szCs w:val="28"/>
        </w:rPr>
        <w:t xml:space="preserve">AUTOMATIC IDENTIFICATION SYSTEM </w:t>
      </w:r>
    </w:p>
    <w:p w14:paraId="3E3535AE"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4.18 Overview </w:t>
      </w:r>
    </w:p>
    <w:p w14:paraId="1A5924C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Automatic Identification System (AIS) is a ship and shore-based data broadcast and interrogation </w:t>
      </w:r>
    </w:p>
    <w:p w14:paraId="68E40A6E"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technology, operating in the VHF maritime band, that makes it possible to monitor and track ships from suitably equipped ships, and shore stations. </w:t>
      </w:r>
    </w:p>
    <w:p w14:paraId="0F7103A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AIS characteristics and capability make it a powerful tool for enhancing situational awareness, thereby </w:t>
      </w:r>
    </w:p>
    <w:p w14:paraId="7DA570B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contributing to the safety of navigation and efficiency of shipping traffic management. Shipboard </w:t>
      </w:r>
    </w:p>
    <w:p w14:paraId="4EE1D08E"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AIS enables the provision of fast, automatic and accurate information regarding risk of collision allowing the Closest Point of Approach (CPA) &amp; Time to Closest Point of Approach (TCPA) to be calculated from the positional information transmitted by target vessels. AIS increases the possibility of detecting other ships, even if they are behind a bend in a channel or river or behind an island in an </w:t>
      </w:r>
    </w:p>
    <w:p w14:paraId="480ABAB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archipelago. AIS also solves the problem inherent with radars, by detecting smaller craft, fitted with </w:t>
      </w:r>
    </w:p>
    <w:p w14:paraId="5EA9E43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AIS, in sea and rain clutter. </w:t>
      </w:r>
    </w:p>
    <w:p w14:paraId="36A59EE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An AIS unit is a VHF radio transceiver capable of exchanging information such as station identity, position, course over ground, speed, length, ship type and cargo information etc., with other ships and suitable receivers ashore within VHF range. Figure 21 gives an overview of the system. </w:t>
      </w:r>
    </w:p>
    <w:p w14:paraId="0ACDB3E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Once set up correctly, information from an operational shipboard AIS unit is transmitted continuously and automatically, without any intervention by the ship’s staff. AIS transmissions consist of bursts of digital data ‘packets’ from individual stations, according to a pre-determined time sequence. </w:t>
      </w:r>
    </w:p>
    <w:p w14:paraId="107A557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Therefore, AIS is an important supplement to existing systems, including radar. In general, data </w:t>
      </w:r>
    </w:p>
    <w:p w14:paraId="402CAB50"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received via AIS will enhance the information available to the Officer of the Watch and the Vessel Traffic Service Operator (VTSO). </w:t>
      </w:r>
    </w:p>
    <w:p w14:paraId="0CB4FF0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International Maritime Organization (IMO) has established carriage requirements for merchant </w:t>
      </w:r>
    </w:p>
    <w:p w14:paraId="16A920D1"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ships. The International Telecommunication Union (ITU) has defined the technical characteristics and ratified the global frequencies. In addition, the International Electrotechnical Commission (IEC) has </w:t>
      </w:r>
    </w:p>
    <w:p w14:paraId="715CA0E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developed methods for testing AIS for global interoperability. </w:t>
      </w:r>
    </w:p>
    <w:p w14:paraId="0995B9DA" w14:textId="77777777" w:rsidR="00541A14" w:rsidRDefault="00A450E1">
      <w:pPr>
        <w:pStyle w:val="CM173"/>
        <w:spacing w:after="340" w:line="293" w:lineRule="atLeast"/>
        <w:ind w:right="570"/>
        <w:rPr>
          <w:rFonts w:ascii="Palatino" w:hAnsi="Palatino" w:cs="Palatino"/>
          <w:color w:val="000000"/>
          <w:sz w:val="20"/>
          <w:szCs w:val="20"/>
        </w:rPr>
      </w:pPr>
      <w:r>
        <w:rPr>
          <w:rFonts w:ascii="Palatino" w:hAnsi="Palatino" w:cs="Palatino"/>
          <w:b/>
          <w:bCs/>
          <w:i/>
          <w:iCs/>
          <w:color w:val="000000"/>
          <w:sz w:val="20"/>
          <w:szCs w:val="20"/>
        </w:rPr>
        <w:t xml:space="preserve">Note: This section aims to provide a broad overview of AIS. The reference list at the end of this section assists the reader seeking amplifying information on various aspects of AIS. </w:t>
      </w:r>
    </w:p>
    <w:p w14:paraId="5007A474"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4.19 Purpose and Function </w:t>
      </w:r>
    </w:p>
    <w:p w14:paraId="503CE230" w14:textId="77777777" w:rsidR="00541A14" w:rsidRDefault="00A450E1">
      <w:pPr>
        <w:pStyle w:val="CM185"/>
        <w:spacing w:after="140" w:line="291" w:lineRule="atLeast"/>
        <w:ind w:right="107"/>
        <w:rPr>
          <w:rFonts w:ascii="Palatino" w:hAnsi="Palatino" w:cs="Palatino"/>
          <w:color w:val="000000"/>
          <w:sz w:val="20"/>
          <w:szCs w:val="20"/>
        </w:rPr>
      </w:pPr>
      <w:r>
        <w:rPr>
          <w:rFonts w:ascii="Palatino" w:hAnsi="Palatino" w:cs="Palatino"/>
          <w:color w:val="000000"/>
          <w:sz w:val="20"/>
          <w:szCs w:val="20"/>
        </w:rPr>
        <w:t xml:space="preserve">The purpose of AIS is to positively identify vessels, provide additional information in order to assist in collision avoidance and assist in vessel tracking. It also aims to simplify and promote the exchange of information automatically, thereby reducing the need for doing so verbally (e.g. mandatory ship reporting by radiotelephony). </w:t>
      </w:r>
    </w:p>
    <w:p w14:paraId="4ABE226E"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AIS satisfies the following functional requirements, as laid down by IMO</w:t>
      </w:r>
      <w:r>
        <w:rPr>
          <w:rFonts w:ascii="Palatino" w:hAnsi="Palatino" w:cs="Palatino"/>
          <w:color w:val="000000"/>
          <w:position w:val="7"/>
          <w:sz w:val="11"/>
          <w:szCs w:val="11"/>
          <w:vertAlign w:val="superscript"/>
        </w:rPr>
        <w:t>29</w:t>
      </w:r>
      <w:r>
        <w:rPr>
          <w:rFonts w:ascii="Palatino" w:hAnsi="Palatino" w:cs="Palatino"/>
          <w:color w:val="000000"/>
          <w:sz w:val="20"/>
          <w:szCs w:val="20"/>
        </w:rPr>
        <w:t xml:space="preserve">: </w:t>
      </w:r>
    </w:p>
    <w:p w14:paraId="7B3BAB60" w14:textId="77777777" w:rsidR="00541A14" w:rsidRDefault="00A450E1">
      <w:pPr>
        <w:pStyle w:val="Default"/>
        <w:numPr>
          <w:ilvl w:val="0"/>
          <w:numId w:val="104"/>
        </w:numPr>
        <w:rPr>
          <w:rFonts w:ascii="Palatino" w:hAnsi="Palatino" w:cs="Palatino"/>
          <w:sz w:val="20"/>
          <w:szCs w:val="20"/>
        </w:rPr>
      </w:pPr>
      <w:r>
        <w:rPr>
          <w:rFonts w:ascii="Palatino" w:hAnsi="Palatino" w:cs="Palatino"/>
          <w:sz w:val="20"/>
          <w:szCs w:val="20"/>
        </w:rPr>
        <w:t xml:space="preserve">in a ship-to-ship mode for collision avoidance; </w:t>
      </w:r>
    </w:p>
    <w:p w14:paraId="3B2A84C6" w14:textId="77777777" w:rsidR="00541A14" w:rsidRDefault="00A450E1">
      <w:pPr>
        <w:pStyle w:val="Default"/>
        <w:numPr>
          <w:ilvl w:val="0"/>
          <w:numId w:val="104"/>
        </w:numPr>
        <w:rPr>
          <w:rFonts w:ascii="Palatino" w:hAnsi="Palatino" w:cs="Palatino"/>
          <w:sz w:val="20"/>
          <w:szCs w:val="20"/>
        </w:rPr>
      </w:pPr>
      <w:r>
        <w:rPr>
          <w:rFonts w:ascii="Palatino" w:hAnsi="Palatino" w:cs="Palatino"/>
          <w:sz w:val="20"/>
          <w:szCs w:val="20"/>
        </w:rPr>
        <w:t xml:space="preserve">as a means for littoral States to obtain information about a ship and its cargo; and </w:t>
      </w:r>
    </w:p>
    <w:p w14:paraId="6934865B" w14:textId="77777777" w:rsidR="00541A14" w:rsidRDefault="00A450E1">
      <w:pPr>
        <w:pStyle w:val="Default"/>
        <w:numPr>
          <w:ilvl w:val="0"/>
          <w:numId w:val="104"/>
        </w:numPr>
        <w:rPr>
          <w:rFonts w:ascii="Palatino" w:hAnsi="Palatino" w:cs="Palatino"/>
          <w:sz w:val="20"/>
          <w:szCs w:val="20"/>
        </w:rPr>
      </w:pPr>
      <w:r>
        <w:rPr>
          <w:rFonts w:ascii="Palatino" w:hAnsi="Palatino" w:cs="Palatino"/>
          <w:sz w:val="20"/>
          <w:szCs w:val="20"/>
        </w:rPr>
        <w:t xml:space="preserve">as a VTS tool, i.e. ship-to-shore (traffic management). </w:t>
      </w:r>
    </w:p>
    <w:p w14:paraId="1F133684" w14:textId="77777777" w:rsidR="00541A14" w:rsidRDefault="00541A14">
      <w:pPr>
        <w:pStyle w:val="Default"/>
        <w:rPr>
          <w:rFonts w:ascii="Palatino" w:hAnsi="Palatino" w:cs="Palatino"/>
          <w:sz w:val="20"/>
          <w:szCs w:val="20"/>
        </w:rPr>
      </w:pPr>
    </w:p>
    <w:p w14:paraId="3F1F172E"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AIS automatically exchanges shipboard information (provided by shipboard sensors), between vessels and between a vessel and a shore station(s). </w:t>
      </w:r>
    </w:p>
    <w:p w14:paraId="26C92684" w14:textId="77777777" w:rsidR="00541A14" w:rsidRDefault="00A450E1">
      <w:pPr>
        <w:pStyle w:val="CM163"/>
        <w:spacing w:after="642"/>
        <w:ind w:left="850"/>
        <w:jc w:val="both"/>
        <w:rPr>
          <w:rFonts w:ascii="Palatino" w:hAnsi="Palatino" w:cs="Palatino"/>
          <w:color w:val="000000"/>
          <w:sz w:val="20"/>
          <w:szCs w:val="20"/>
        </w:rPr>
      </w:pPr>
      <w:r>
        <w:rPr>
          <w:rFonts w:ascii="Palatino" w:hAnsi="Palatino" w:cs="Palatino"/>
          <w:color w:val="000000"/>
          <w:position w:val="6"/>
          <w:sz w:val="20"/>
          <w:szCs w:val="20"/>
          <w:vertAlign w:val="superscript"/>
        </w:rPr>
        <w:t>29</w:t>
      </w:r>
      <w:r>
        <w:rPr>
          <w:rFonts w:ascii="Palatino" w:hAnsi="Palatino" w:cs="Palatino"/>
          <w:color w:val="000000"/>
          <w:sz w:val="20"/>
          <w:szCs w:val="20"/>
        </w:rPr>
        <w:t xml:space="preserve">IMO Resolution MSC.74 (69) Annex 3 refers. </w:t>
      </w:r>
    </w:p>
    <w:p w14:paraId="0DD75186" w14:textId="77777777" w:rsidR="00541A14" w:rsidRDefault="00541A14">
      <w:pPr>
        <w:pStyle w:val="CM100"/>
        <w:ind w:left="8357"/>
        <w:rPr>
          <w:rFonts w:ascii="Palatino" w:hAnsi="Palatino" w:cs="Palatino"/>
          <w:color w:val="000000"/>
          <w:sz w:val="20"/>
          <w:szCs w:val="20"/>
        </w:rPr>
      </w:pPr>
    </w:p>
    <w:p w14:paraId="185F44AB"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7E57B3AF" wp14:editId="0595316C">
            <wp:extent cx="227330" cy="113665"/>
            <wp:effectExtent l="0" t="0" r="127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19DA166F"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47959EA0" wp14:editId="51F34846">
            <wp:extent cx="823595" cy="11366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5E9B70A5" w14:textId="77777777" w:rsidR="00541A14" w:rsidRDefault="00DD420F">
      <w:pPr>
        <w:pStyle w:val="Default"/>
        <w:pageBreakBefore/>
        <w:framePr w:w="12865" w:wrap="auto" w:vAnchor="page" w:hAnchor="page" w:x="101" w:y="1"/>
        <w:spacing w:after="840"/>
        <w:rPr>
          <w:rFonts w:ascii="Palatino" w:hAnsi="Palatino" w:cs="Palatino"/>
          <w:sz w:val="20"/>
          <w:szCs w:val="20"/>
        </w:rPr>
      </w:pPr>
      <w:r>
        <w:rPr>
          <w:rFonts w:ascii="Palatino" w:hAnsi="Palatino" w:cs="Palatino"/>
          <w:noProof/>
          <w:sz w:val="20"/>
          <w:szCs w:val="20"/>
        </w:rPr>
        <w:drawing>
          <wp:inline distT="0" distB="0" distL="0" distR="0" wp14:anchorId="7D2891B3" wp14:editId="186A6BED">
            <wp:extent cx="7553960" cy="1056640"/>
            <wp:effectExtent l="0" t="0" r="0" b="1016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0C3D5F5C" w14:textId="77777777" w:rsidR="00541A14" w:rsidRDefault="00A450E1">
      <w:pPr>
        <w:pStyle w:val="CM175"/>
        <w:spacing w:after="267"/>
        <w:rPr>
          <w:rFonts w:ascii="Futura Book" w:hAnsi="Futura Book" w:cs="Futura Book"/>
          <w:color w:val="2C5062"/>
          <w:sz w:val="28"/>
          <w:szCs w:val="28"/>
        </w:rPr>
      </w:pPr>
      <w:r>
        <w:rPr>
          <w:rFonts w:ascii="Futura Book" w:hAnsi="Futura Book" w:cs="Futura Book"/>
          <w:b/>
          <w:bCs/>
          <w:color w:val="2C5062"/>
          <w:sz w:val="28"/>
          <w:szCs w:val="28"/>
        </w:rPr>
        <w:t xml:space="preserve">4.20 System Characteristics </w:t>
      </w:r>
    </w:p>
    <w:p w14:paraId="297FF1BD"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Frequencies and Capacity </w:t>
      </w:r>
    </w:p>
    <w:p w14:paraId="2C69A4A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AIS operates on two dedicated VHF FM radio frequencies AIS1 (channel 87B – 161.975 MHz) and AIS2 (channel 88B– 162.025 MHz) in the maritime mobile band. </w:t>
      </w:r>
    </w:p>
    <w:p w14:paraId="6BDF191F"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Transmissions consist of bursts of ‘data packets’ from individual stations, according to an automatically determined time-ordered sequence.  Stations organize themselves on the common frequencies (AIS 1 and AIS 2) based on the knowledge of their own transmissions and that of other stations. This method of operation is known as Self Organizing Time Division Multiple Access (SOTDMA). The time slots for AIS transmissions are all precisely aligned to Coordinated Universal Time (UTC), provided for by a Global Navigation Satellite System (GNSS) receiver.  This avoids the possibility of two stations transmitting at the same time, in the same slot. </w:t>
      </w:r>
    </w:p>
    <w:p w14:paraId="68D3B4C4" w14:textId="77777777" w:rsidR="00541A14" w:rsidRDefault="00A450E1">
      <w:pPr>
        <w:pStyle w:val="CM180"/>
        <w:spacing w:after="732" w:line="296" w:lineRule="atLeast"/>
        <w:ind w:right="402"/>
        <w:rPr>
          <w:rFonts w:ascii="Palatino" w:hAnsi="Palatino" w:cs="Palatino"/>
          <w:color w:val="000000"/>
          <w:sz w:val="20"/>
          <w:szCs w:val="20"/>
        </w:rPr>
      </w:pPr>
      <w:r>
        <w:rPr>
          <w:rFonts w:ascii="Palatino" w:hAnsi="Palatino" w:cs="Palatino"/>
          <w:color w:val="000000"/>
          <w:sz w:val="20"/>
          <w:szCs w:val="20"/>
        </w:rPr>
        <w:t xml:space="preserve">There are 2250 time slots available on each frequency per minute, making the total number of slots equal to 4500. </w:t>
      </w:r>
    </w:p>
    <w:p w14:paraId="1CCAC2CF" w14:textId="77777777" w:rsidR="00541A14" w:rsidRDefault="00DD420F">
      <w:pPr>
        <w:pStyle w:val="Default"/>
        <w:framePr w:w="9899" w:wrap="auto" w:vAnchor="page" w:hAnchor="page" w:x="1412" w:y="7667"/>
        <w:spacing w:after="140"/>
        <w:rPr>
          <w:rFonts w:ascii="Palatino" w:hAnsi="Palatino" w:cs="Palatino"/>
          <w:sz w:val="20"/>
          <w:szCs w:val="20"/>
        </w:rPr>
      </w:pPr>
      <w:r>
        <w:rPr>
          <w:rFonts w:ascii="Palatino" w:hAnsi="Palatino" w:cs="Palatino"/>
          <w:noProof/>
          <w:sz w:val="20"/>
          <w:szCs w:val="20"/>
        </w:rPr>
        <w:drawing>
          <wp:inline distT="0" distB="0" distL="0" distR="0" wp14:anchorId="45BB2C27" wp14:editId="3899B1D4">
            <wp:extent cx="5764530" cy="4827270"/>
            <wp:effectExtent l="0" t="0" r="127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764530" cy="4827270"/>
                    </a:xfrm>
                    <a:prstGeom prst="rect">
                      <a:avLst/>
                    </a:prstGeom>
                    <a:noFill/>
                    <a:ln>
                      <a:noFill/>
                    </a:ln>
                  </pic:spPr>
                </pic:pic>
              </a:graphicData>
            </a:graphic>
          </wp:inline>
        </w:drawing>
      </w:r>
    </w:p>
    <w:p w14:paraId="29A03F7D" w14:textId="77777777" w:rsidR="00541A14" w:rsidRDefault="00A450E1">
      <w:pPr>
        <w:pStyle w:val="CM180"/>
        <w:spacing w:after="732"/>
        <w:ind w:left="2885" w:right="3727"/>
        <w:rPr>
          <w:rFonts w:ascii="Palatino" w:hAnsi="Palatino" w:cs="Palatino"/>
          <w:color w:val="000000"/>
          <w:sz w:val="20"/>
          <w:szCs w:val="20"/>
        </w:rPr>
      </w:pPr>
      <w:r>
        <w:rPr>
          <w:rFonts w:ascii="Palatino" w:hAnsi="Palatino" w:cs="Palatino"/>
          <w:i/>
          <w:iCs/>
          <w:color w:val="000000"/>
          <w:sz w:val="20"/>
          <w:szCs w:val="20"/>
        </w:rPr>
        <w:t xml:space="preserve">Figure 21 – Overview of the AIS System </w:t>
      </w:r>
    </w:p>
    <w:p w14:paraId="03B07269"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2321CB03" w14:textId="77777777" w:rsidR="00541A14" w:rsidRDefault="00A450E1">
      <w:pPr>
        <w:pStyle w:val="CM111"/>
        <w:ind w:left="9522"/>
        <w:rPr>
          <w:rFonts w:ascii="Palatino" w:hAnsi="Palatino" w:cs="Palatino"/>
          <w:color w:val="000000"/>
          <w:sz w:val="23"/>
          <w:szCs w:val="23"/>
        </w:rPr>
      </w:pPr>
      <w:r>
        <w:rPr>
          <w:rFonts w:ascii="Palatino" w:hAnsi="Palatino" w:cs="Palatino"/>
          <w:b/>
          <w:bCs/>
          <w:i/>
          <w:iCs/>
          <w:color w:val="000000"/>
          <w:sz w:val="23"/>
          <w:szCs w:val="23"/>
        </w:rPr>
        <w:t xml:space="preserve">103 </w:t>
      </w:r>
    </w:p>
    <w:p w14:paraId="6275F3A6" w14:textId="77777777" w:rsidR="00541A14" w:rsidRDefault="00A450E1">
      <w:pPr>
        <w:pStyle w:val="CM178"/>
        <w:pageBreakBefore/>
        <w:spacing w:after="1397"/>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62112508"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4.21 Shipboard AIS </w:t>
      </w:r>
    </w:p>
    <w:p w14:paraId="46C69C2B"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A shipboard AIS unit transmits its own data to other vessels and to AIS equipped stations continuously and autonomously. It also receives AIS data of other stations (ship and shore) and can display this data textually and graphically, as required. </w:t>
      </w:r>
    </w:p>
    <w:p w14:paraId="4C61E58D"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Each AIS station consists of a VHF transmitter, two VHF SOTDMA receivers, a VHF DSC receiver, a GNSS receiver (to provide timing for slot synchronisation), and a marine electronic communications link to shipboard display and sensor systems. </w:t>
      </w:r>
    </w:p>
    <w:p w14:paraId="62B03A7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Positional information can be derived form the internal GNSS or an external electronic position fixing </w:t>
      </w:r>
    </w:p>
    <w:p w14:paraId="1DBF1AA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system. </w:t>
      </w:r>
    </w:p>
    <w:p w14:paraId="476E607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display panel with the unit is often the only means of showing received AIS data. Together with a </w:t>
      </w:r>
    </w:p>
    <w:p w14:paraId="7076BED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keypad, this basic configuration is known as a Minimum Keyboard and Display (MKD). </w:t>
      </w:r>
    </w:p>
    <w:p w14:paraId="16843E9C"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 display part of a MKD, as a minimum, consists of three lines of data, each showing bearing, range and identity of the target. In practice, most MKDs display more lines of data and may also have a simple graphical display, showing the relative location of targets, rather like the Plan Position Indicator of a radar. </w:t>
      </w:r>
    </w:p>
    <w:p w14:paraId="6A62ADED" w14:textId="77777777" w:rsidR="00541A14" w:rsidRDefault="00A450E1">
      <w:pPr>
        <w:pStyle w:val="CM175"/>
        <w:spacing w:after="267" w:line="291" w:lineRule="atLeast"/>
        <w:rPr>
          <w:rFonts w:ascii="Palatino" w:hAnsi="Palatino" w:cs="Palatino"/>
          <w:color w:val="000000"/>
          <w:sz w:val="20"/>
          <w:szCs w:val="20"/>
        </w:rPr>
      </w:pPr>
      <w:r>
        <w:rPr>
          <w:rFonts w:ascii="Palatino" w:hAnsi="Palatino" w:cs="Palatino"/>
          <w:color w:val="000000"/>
          <w:sz w:val="20"/>
          <w:szCs w:val="20"/>
        </w:rPr>
        <w:t xml:space="preserve">Ideally, AIS information should to be displayed graphically on a radar, ECDIS or on its own dedicated display. </w:t>
      </w:r>
    </w:p>
    <w:p w14:paraId="66B75355" w14:textId="77777777" w:rsidR="00541A14" w:rsidRDefault="00A450E1">
      <w:pPr>
        <w:pStyle w:val="CM165"/>
        <w:spacing w:after="85" w:line="286" w:lineRule="atLeast"/>
        <w:ind w:left="57"/>
        <w:rPr>
          <w:rFonts w:ascii="Futura Book" w:hAnsi="Futura Book" w:cs="Futura Book"/>
          <w:color w:val="2C5062"/>
          <w:sz w:val="20"/>
          <w:szCs w:val="20"/>
        </w:rPr>
      </w:pPr>
      <w:r>
        <w:rPr>
          <w:rFonts w:ascii="Futura Book" w:hAnsi="Futura Book" w:cs="Futura Book"/>
          <w:b/>
          <w:bCs/>
          <w:color w:val="2C5062"/>
          <w:sz w:val="20"/>
          <w:szCs w:val="20"/>
        </w:rPr>
        <w:t xml:space="preserve">Information available </w:t>
      </w:r>
    </w:p>
    <w:p w14:paraId="2204D5D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AIS information transmitted by a ship station includes four different data sets: </w:t>
      </w:r>
    </w:p>
    <w:p w14:paraId="2E8CA3E0" w14:textId="77777777" w:rsidR="00541A14" w:rsidRDefault="00A450E1">
      <w:pPr>
        <w:pStyle w:val="Default"/>
        <w:numPr>
          <w:ilvl w:val="0"/>
          <w:numId w:val="105"/>
        </w:numPr>
        <w:spacing w:after="47"/>
        <w:rPr>
          <w:rFonts w:ascii="Palatino" w:hAnsi="Palatino" w:cs="Palatino"/>
          <w:sz w:val="20"/>
          <w:szCs w:val="20"/>
        </w:rPr>
      </w:pPr>
      <w:r>
        <w:rPr>
          <w:rFonts w:ascii="Palatino" w:hAnsi="Palatino" w:cs="Palatino"/>
          <w:b/>
          <w:bCs/>
          <w:sz w:val="20"/>
          <w:szCs w:val="20"/>
        </w:rPr>
        <w:t>Fixed or static information</w:t>
      </w:r>
      <w:r>
        <w:rPr>
          <w:rFonts w:ascii="Palatino" w:hAnsi="Palatino" w:cs="Palatino"/>
          <w:sz w:val="20"/>
          <w:szCs w:val="20"/>
        </w:rPr>
        <w:t xml:space="preserve"> is entered into the AIS unit on installation and need only be changed if the ship changes its name, call sign etc. This information is broadcast every six minutes or on request by a shore authority. </w:t>
      </w:r>
    </w:p>
    <w:p w14:paraId="64778B22" w14:textId="77777777" w:rsidR="00541A14" w:rsidRDefault="00A450E1">
      <w:pPr>
        <w:pStyle w:val="Default"/>
        <w:numPr>
          <w:ilvl w:val="0"/>
          <w:numId w:val="105"/>
        </w:numPr>
        <w:spacing w:after="47"/>
        <w:rPr>
          <w:rFonts w:ascii="Palatino" w:hAnsi="Palatino" w:cs="Palatino"/>
          <w:sz w:val="20"/>
          <w:szCs w:val="20"/>
        </w:rPr>
      </w:pPr>
      <w:r>
        <w:rPr>
          <w:rFonts w:ascii="Palatino" w:hAnsi="Palatino" w:cs="Palatino"/>
          <w:b/>
          <w:bCs/>
          <w:sz w:val="20"/>
          <w:szCs w:val="20"/>
        </w:rPr>
        <w:t>Voyage related information</w:t>
      </w:r>
      <w:r>
        <w:rPr>
          <w:rFonts w:ascii="Palatino" w:hAnsi="Palatino" w:cs="Palatino"/>
          <w:sz w:val="20"/>
          <w:szCs w:val="20"/>
        </w:rPr>
        <w:t xml:space="preserve"> (destination, ETA etc) is manually entered and updated during the voyage. This information is also broadcast every six minutes. In order that correct AIS information is broadcast to other vessels and shore authorities, mariners are reminded to enter current voyage related data such as draught, type of hazardous cargo, destination and ETA properly at the beginning of each voyage and whenever changes occur. </w:t>
      </w:r>
    </w:p>
    <w:p w14:paraId="5921917C" w14:textId="77777777" w:rsidR="00541A14" w:rsidRDefault="00A450E1">
      <w:pPr>
        <w:pStyle w:val="Default"/>
        <w:numPr>
          <w:ilvl w:val="0"/>
          <w:numId w:val="105"/>
        </w:numPr>
        <w:rPr>
          <w:rFonts w:ascii="Palatino" w:hAnsi="Palatino" w:cs="Palatino"/>
          <w:sz w:val="20"/>
          <w:szCs w:val="20"/>
        </w:rPr>
      </w:pPr>
      <w:r>
        <w:rPr>
          <w:rFonts w:ascii="Palatino" w:hAnsi="Palatino" w:cs="Palatino"/>
          <w:b/>
          <w:bCs/>
          <w:sz w:val="20"/>
          <w:szCs w:val="20"/>
        </w:rPr>
        <w:t>Dynamic information</w:t>
      </w:r>
      <w:r>
        <w:rPr>
          <w:rFonts w:ascii="Palatino" w:hAnsi="Palatino" w:cs="Palatino"/>
          <w:sz w:val="20"/>
          <w:szCs w:val="20"/>
        </w:rPr>
        <w:t xml:space="preserve"> is automatically updated from the ship sensors connected to the AIS. This includes COG, SOG, position (with accuracy and integrity flag), time and navigation status </w:t>
      </w:r>
    </w:p>
    <w:p w14:paraId="77D71EBB" w14:textId="77777777" w:rsidR="00541A14" w:rsidRDefault="00541A14">
      <w:pPr>
        <w:pStyle w:val="Default"/>
        <w:rPr>
          <w:rFonts w:ascii="Palatino" w:hAnsi="Palatino" w:cs="Palatino"/>
          <w:sz w:val="20"/>
          <w:szCs w:val="20"/>
        </w:rPr>
      </w:pPr>
    </w:p>
    <w:p w14:paraId="12C2E03A" w14:textId="77777777" w:rsidR="00541A14" w:rsidRDefault="00A450E1">
      <w:pPr>
        <w:pStyle w:val="CM165"/>
        <w:spacing w:after="85" w:line="303" w:lineRule="atLeast"/>
        <w:ind w:firstLine="300"/>
        <w:rPr>
          <w:rFonts w:ascii="Palatino" w:hAnsi="Palatino" w:cs="Palatino"/>
          <w:color w:val="000000"/>
          <w:sz w:val="20"/>
          <w:szCs w:val="20"/>
        </w:rPr>
      </w:pPr>
      <w:r>
        <w:rPr>
          <w:rFonts w:ascii="Palatino" w:hAnsi="Palatino" w:cs="Palatino"/>
          <w:color w:val="000000"/>
          <w:sz w:val="20"/>
          <w:szCs w:val="20"/>
        </w:rPr>
        <w:t xml:space="preserve">(e.g., underway). </w:t>
      </w:r>
    </w:p>
    <w:p w14:paraId="5920C0F3" w14:textId="77777777" w:rsidR="00541A14" w:rsidRDefault="00A450E1">
      <w:pPr>
        <w:pStyle w:val="CM172"/>
        <w:spacing w:after="202" w:line="296" w:lineRule="atLeast"/>
        <w:ind w:left="300" w:hanging="300"/>
        <w:rPr>
          <w:rFonts w:ascii="Palatino" w:hAnsi="Palatino" w:cs="Palatino"/>
          <w:color w:val="000000"/>
          <w:sz w:val="20"/>
          <w:szCs w:val="20"/>
        </w:rPr>
      </w:pPr>
      <w:r>
        <w:rPr>
          <w:rFonts w:ascii="Palatino" w:hAnsi="Palatino" w:cs="Palatino"/>
          <w:color w:val="000000"/>
          <w:sz w:val="20"/>
          <w:szCs w:val="20"/>
        </w:rPr>
        <w:t xml:space="preserve">• Broadcast or addressed </w:t>
      </w:r>
      <w:r>
        <w:rPr>
          <w:rFonts w:ascii="Palatino" w:hAnsi="Palatino" w:cs="Palatino"/>
          <w:b/>
          <w:bCs/>
          <w:color w:val="000000"/>
          <w:sz w:val="20"/>
          <w:szCs w:val="20"/>
        </w:rPr>
        <w:t>short safety related messages</w:t>
      </w:r>
      <w:r>
        <w:rPr>
          <w:rFonts w:ascii="Palatino" w:hAnsi="Palatino" w:cs="Palatino"/>
          <w:color w:val="000000"/>
          <w:sz w:val="20"/>
          <w:szCs w:val="20"/>
        </w:rPr>
        <w:t xml:space="preserve">, as required. </w:t>
      </w:r>
    </w:p>
    <w:p w14:paraId="589706BD"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34EA600B" w14:textId="77777777" w:rsidR="00541A14" w:rsidRDefault="009E3F25">
      <w:pPr>
        <w:pStyle w:val="CM18"/>
        <w:ind w:left="300"/>
        <w:rPr>
          <w:rFonts w:ascii="Palatino" w:hAnsi="Palatino" w:cs="Palatino"/>
          <w:color w:val="000000"/>
          <w:sz w:val="20"/>
          <w:szCs w:val="20"/>
        </w:rPr>
      </w:pPr>
      <w:hyperlink r:id="rId232" w:history="1">
        <w:r w:rsidR="00A450E1">
          <w:rPr>
            <w:rFonts w:ascii="Palatino" w:hAnsi="Palatino" w:cs="Palatino"/>
            <w:i/>
            <w:iCs/>
            <w:color w:val="000000"/>
            <w:sz w:val="20"/>
            <w:szCs w:val="20"/>
          </w:rPr>
          <w:t xml:space="preserve">IALA Guideline 1028 on the Universal Automatic Identification (AIS) – Volume 1, Part 1 – </w:t>
        </w:r>
      </w:hyperlink>
    </w:p>
    <w:p w14:paraId="1E73689B" w14:textId="77777777" w:rsidR="00541A14" w:rsidRDefault="009E3F25">
      <w:pPr>
        <w:pStyle w:val="CM18"/>
        <w:ind w:left="300"/>
        <w:rPr>
          <w:rFonts w:ascii="Palatino" w:hAnsi="Palatino" w:cs="Palatino"/>
          <w:color w:val="000000"/>
          <w:sz w:val="20"/>
          <w:szCs w:val="20"/>
        </w:rPr>
      </w:pPr>
      <w:hyperlink r:id="rId233" w:history="1">
        <w:r w:rsidR="00A450E1">
          <w:rPr>
            <w:rFonts w:ascii="Palatino" w:hAnsi="Palatino" w:cs="Palatino"/>
            <w:i/>
            <w:iCs/>
            <w:color w:val="000000"/>
            <w:sz w:val="20"/>
            <w:szCs w:val="20"/>
          </w:rPr>
          <w:t xml:space="preserve">Operational Issues. </w:t>
        </w:r>
      </w:hyperlink>
    </w:p>
    <w:p w14:paraId="4C80B748" w14:textId="77777777" w:rsidR="00541A14" w:rsidRDefault="009E3F25">
      <w:pPr>
        <w:pStyle w:val="CM18"/>
        <w:ind w:left="300"/>
        <w:rPr>
          <w:rFonts w:ascii="Palatino" w:hAnsi="Palatino" w:cs="Palatino"/>
          <w:color w:val="000000"/>
          <w:sz w:val="20"/>
          <w:szCs w:val="20"/>
        </w:rPr>
      </w:pPr>
      <w:hyperlink r:id="rId234" w:history="1">
        <w:r w:rsidR="00A450E1">
          <w:rPr>
            <w:rFonts w:ascii="Palatino" w:hAnsi="Palatino" w:cs="Palatino"/>
            <w:i/>
            <w:iCs/>
            <w:color w:val="000000"/>
            <w:sz w:val="20"/>
            <w:szCs w:val="20"/>
          </w:rPr>
          <w:t xml:space="preserve">IALA Guideline 1029 on the Universal Automatic Identification System (AIS) – Volume 1, Part 2 – </w:t>
        </w:r>
      </w:hyperlink>
    </w:p>
    <w:p w14:paraId="01042F1C" w14:textId="77777777" w:rsidR="00541A14" w:rsidRDefault="009E3F25">
      <w:pPr>
        <w:pStyle w:val="CM176"/>
        <w:spacing w:after="1320" w:line="293" w:lineRule="atLeast"/>
        <w:ind w:left="300"/>
        <w:rPr>
          <w:rFonts w:ascii="Palatino" w:hAnsi="Palatino" w:cs="Palatino"/>
          <w:color w:val="000000"/>
          <w:sz w:val="20"/>
          <w:szCs w:val="20"/>
        </w:rPr>
      </w:pPr>
      <w:hyperlink r:id="rId235" w:history="1">
        <w:r w:rsidR="00A450E1">
          <w:rPr>
            <w:rFonts w:ascii="Palatino" w:hAnsi="Palatino" w:cs="Palatino"/>
            <w:i/>
            <w:iCs/>
            <w:color w:val="000000"/>
            <w:sz w:val="20"/>
            <w:szCs w:val="20"/>
          </w:rPr>
          <w:t xml:space="preserve">Technical Issues. </w:t>
        </w:r>
      </w:hyperlink>
    </w:p>
    <w:p w14:paraId="188FF282" w14:textId="77777777" w:rsidR="00541A14" w:rsidRDefault="00541A14">
      <w:pPr>
        <w:pStyle w:val="CM100"/>
        <w:ind w:left="8357"/>
        <w:rPr>
          <w:rFonts w:ascii="Palatino" w:hAnsi="Palatino" w:cs="Palatino"/>
          <w:color w:val="000000"/>
          <w:sz w:val="20"/>
          <w:szCs w:val="20"/>
        </w:rPr>
      </w:pPr>
    </w:p>
    <w:p w14:paraId="65571495"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7B47EDCD" wp14:editId="117ABEDF">
            <wp:extent cx="227330" cy="113665"/>
            <wp:effectExtent l="0" t="0" r="127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58BD75AD"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2CF92BFB" wp14:editId="6E191426">
            <wp:extent cx="823595" cy="1136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77585266" w14:textId="77777777" w:rsidR="00541A14" w:rsidRDefault="00DD420F">
      <w:pPr>
        <w:pStyle w:val="Default"/>
        <w:pageBreakBefore/>
        <w:framePr w:w="12865" w:wrap="auto" w:vAnchor="page" w:hAnchor="page" w:x="101" w:y="1"/>
        <w:spacing w:after="840"/>
        <w:rPr>
          <w:rFonts w:ascii="Palatino" w:hAnsi="Palatino" w:cs="Palatino"/>
          <w:sz w:val="20"/>
          <w:szCs w:val="20"/>
        </w:rPr>
      </w:pPr>
      <w:r>
        <w:rPr>
          <w:rFonts w:ascii="Palatino" w:hAnsi="Palatino" w:cs="Palatino"/>
          <w:noProof/>
          <w:sz w:val="20"/>
          <w:szCs w:val="20"/>
        </w:rPr>
        <w:drawing>
          <wp:inline distT="0" distB="0" distL="0" distR="0" wp14:anchorId="5326D915" wp14:editId="1462EE65">
            <wp:extent cx="7553960" cy="1056640"/>
            <wp:effectExtent l="0" t="0" r="0" b="1016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125E0A1E"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4.22 Shore based AIS </w:t>
      </w:r>
    </w:p>
    <w:p w14:paraId="3CB6EC80"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SOLAS Chapter V, Regulation 19, 2.4 refers to the carriage requirements for AIS.  The regulation states that AIS shall provide and receive information from appropriately equipped shore stations. The </w:t>
      </w:r>
    </w:p>
    <w:p w14:paraId="509BCEE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provision of shore based AIS will be necessary to attain the full benefit of the 1974 SOLAS Convention </w:t>
      </w:r>
    </w:p>
    <w:p w14:paraId="045D5D0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(as amended). </w:t>
      </w:r>
    </w:p>
    <w:p w14:paraId="0CC742C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Competent authorities should therefore consider the provision of an AIS shore infrastructure so that the </w:t>
      </w:r>
    </w:p>
    <w:p w14:paraId="535935E3"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full benefit of the system can be realised in terms of navigation safety and protection of the environment. </w:t>
      </w:r>
    </w:p>
    <w:p w14:paraId="207539C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As AIS can be seen as a tool related to Vessel Traffic Services (VTS), Competent Authorities should </w:t>
      </w:r>
    </w:p>
    <w:p w14:paraId="4C35775B"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consider implementing AIS into existing VTS Centres. Information on the use of AIS in VTS operations is contained in Sections 1015-1027 of the IALA VTS Manual. </w:t>
      </w:r>
    </w:p>
    <w:p w14:paraId="3A30BA85"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7A705FB2" w14:textId="77777777" w:rsidR="00541A14" w:rsidRDefault="009E3F25">
      <w:pPr>
        <w:pStyle w:val="CM175"/>
        <w:spacing w:after="267" w:line="293" w:lineRule="atLeast"/>
        <w:ind w:left="300"/>
        <w:rPr>
          <w:rFonts w:ascii="Palatino" w:hAnsi="Palatino" w:cs="Palatino"/>
          <w:color w:val="000000"/>
          <w:sz w:val="20"/>
          <w:szCs w:val="20"/>
        </w:rPr>
      </w:pPr>
      <w:hyperlink r:id="rId236" w:history="1">
        <w:r w:rsidR="00A450E1">
          <w:rPr>
            <w:rFonts w:ascii="Palatino" w:hAnsi="Palatino" w:cs="Palatino"/>
            <w:i/>
            <w:iCs/>
            <w:color w:val="000000"/>
            <w:sz w:val="20"/>
            <w:szCs w:val="20"/>
          </w:rPr>
          <w:t xml:space="preserve">IALA Recommendation A-123 on the provision of shore based automatic identification systems. </w:t>
        </w:r>
      </w:hyperlink>
      <w:hyperlink r:id="rId237" w:history="1">
        <w:r w:rsidR="00A450E1">
          <w:rPr>
            <w:rFonts w:ascii="Palatino" w:hAnsi="Palatino" w:cs="Palatino"/>
            <w:i/>
            <w:iCs/>
            <w:color w:val="000000"/>
            <w:sz w:val="20"/>
            <w:szCs w:val="20"/>
          </w:rPr>
          <w:t xml:space="preserve">IALA Recommendation A-124 on the Automatic Identification System (AIS) Shore Station and </w:t>
        </w:r>
      </w:hyperlink>
      <w:hyperlink r:id="rId238" w:history="1">
        <w:r w:rsidR="00A450E1">
          <w:rPr>
            <w:rFonts w:ascii="Palatino" w:hAnsi="Palatino" w:cs="Palatino"/>
            <w:i/>
            <w:iCs/>
            <w:color w:val="000000"/>
            <w:sz w:val="20"/>
            <w:szCs w:val="20"/>
          </w:rPr>
          <w:t xml:space="preserve">Networking Aspects relating to the AIS Service. </w:t>
        </w:r>
      </w:hyperlink>
    </w:p>
    <w:p w14:paraId="441438A2"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4.23 AIS as an aid to navigation </w:t>
      </w:r>
    </w:p>
    <w:p w14:paraId="56CD7A3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 special type of AIS station fitted to an aid to navigation provides positive identification of the </w:t>
      </w:r>
    </w:p>
    <w:p w14:paraId="23D56D63" w14:textId="77777777" w:rsidR="00541A14" w:rsidRDefault="00A450E1">
      <w:pPr>
        <w:pStyle w:val="CM27"/>
        <w:ind w:right="777"/>
        <w:rPr>
          <w:rFonts w:ascii="Palatino" w:hAnsi="Palatino" w:cs="Palatino"/>
          <w:color w:val="000000"/>
          <w:sz w:val="20"/>
          <w:szCs w:val="20"/>
        </w:rPr>
      </w:pPr>
      <w:r>
        <w:rPr>
          <w:rFonts w:ascii="Palatino" w:hAnsi="Palatino" w:cs="Palatino"/>
          <w:color w:val="000000"/>
          <w:sz w:val="20"/>
          <w:szCs w:val="20"/>
        </w:rPr>
        <w:t xml:space="preserve">aid without the need for a special ship-borne display.  In addition, AIS as an AtoN can provide information and data that will: </w:t>
      </w:r>
    </w:p>
    <w:p w14:paraId="4DD242A9"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complement or replace an existing aid to navigation, providing identity, state of ‘health’ and other </w:t>
      </w:r>
    </w:p>
    <w:p w14:paraId="1654231E" w14:textId="77777777" w:rsidR="00541A14" w:rsidRDefault="00A450E1">
      <w:pPr>
        <w:pStyle w:val="CM165"/>
        <w:spacing w:after="85" w:line="260" w:lineRule="atLeast"/>
        <w:ind w:left="295"/>
        <w:rPr>
          <w:rFonts w:ascii="Palatino" w:hAnsi="Palatino" w:cs="Palatino"/>
          <w:color w:val="000000"/>
          <w:sz w:val="20"/>
          <w:szCs w:val="20"/>
        </w:rPr>
      </w:pPr>
      <w:r>
        <w:rPr>
          <w:rFonts w:ascii="Palatino" w:hAnsi="Palatino" w:cs="Palatino"/>
          <w:color w:val="000000"/>
          <w:sz w:val="20"/>
          <w:szCs w:val="20"/>
        </w:rPr>
        <w:t xml:space="preserve">information such as real time tidal height and local weather to surrounding ships or back to a shore authority; </w:t>
      </w:r>
    </w:p>
    <w:p w14:paraId="34D3E195" w14:textId="77777777" w:rsidR="00541A14" w:rsidRDefault="00A450E1">
      <w:pPr>
        <w:pStyle w:val="CM71"/>
        <w:ind w:left="302" w:hanging="303"/>
        <w:rPr>
          <w:rFonts w:ascii="Palatino" w:hAnsi="Palatino" w:cs="Palatino"/>
          <w:color w:val="000000"/>
          <w:sz w:val="20"/>
          <w:szCs w:val="20"/>
        </w:rPr>
      </w:pPr>
      <w:r>
        <w:rPr>
          <w:rFonts w:ascii="Palatino" w:hAnsi="Palatino" w:cs="Palatino"/>
          <w:color w:val="000000"/>
          <w:sz w:val="20"/>
          <w:szCs w:val="20"/>
        </w:rPr>
        <w:t xml:space="preserve">• provide the position of floating aids (mainly buoys) by transmitting an accurate position (corrected </w:t>
      </w:r>
    </w:p>
    <w:p w14:paraId="3F81E6FF" w14:textId="77777777" w:rsidR="00541A14" w:rsidRDefault="00A450E1">
      <w:pPr>
        <w:pStyle w:val="CM165"/>
        <w:spacing w:after="85" w:line="260" w:lineRule="atLeast"/>
        <w:ind w:left="295"/>
        <w:rPr>
          <w:rFonts w:ascii="Palatino" w:hAnsi="Palatino" w:cs="Palatino"/>
          <w:color w:val="000000"/>
          <w:sz w:val="20"/>
          <w:szCs w:val="20"/>
        </w:rPr>
      </w:pPr>
      <w:r>
        <w:rPr>
          <w:rFonts w:ascii="Palatino" w:hAnsi="Palatino" w:cs="Palatino"/>
          <w:color w:val="000000"/>
          <w:sz w:val="20"/>
          <w:szCs w:val="20"/>
        </w:rPr>
        <w:t xml:space="preserve">by DGNSS) to monitor if they are on station; </w:t>
      </w:r>
    </w:p>
    <w:p w14:paraId="7587A49E" w14:textId="77777777" w:rsidR="00541A14" w:rsidRDefault="00A450E1">
      <w:pPr>
        <w:pStyle w:val="CM71"/>
        <w:ind w:left="302" w:hanging="303"/>
        <w:rPr>
          <w:rFonts w:ascii="Palatino" w:hAnsi="Palatino" w:cs="Palatino"/>
          <w:color w:val="000000"/>
          <w:sz w:val="20"/>
          <w:szCs w:val="20"/>
        </w:rPr>
      </w:pPr>
      <w:r>
        <w:rPr>
          <w:rFonts w:ascii="Palatino" w:hAnsi="Palatino" w:cs="Palatino"/>
          <w:color w:val="000000"/>
          <w:sz w:val="20"/>
          <w:szCs w:val="20"/>
        </w:rPr>
        <w:t xml:space="preserve">• provide real-time information for performance monitoring, with the connecting data link serving </w:t>
      </w:r>
    </w:p>
    <w:p w14:paraId="6FC33563" w14:textId="77777777" w:rsidR="00541A14" w:rsidRDefault="00A450E1">
      <w:pPr>
        <w:pStyle w:val="CM165"/>
        <w:spacing w:after="85" w:line="260" w:lineRule="atLeast"/>
        <w:ind w:left="295"/>
        <w:rPr>
          <w:rFonts w:ascii="Palatino" w:hAnsi="Palatino" w:cs="Palatino"/>
          <w:color w:val="000000"/>
          <w:sz w:val="20"/>
          <w:szCs w:val="20"/>
        </w:rPr>
      </w:pPr>
      <w:r>
        <w:rPr>
          <w:rFonts w:ascii="Palatino" w:hAnsi="Palatino" w:cs="Palatino"/>
          <w:color w:val="000000"/>
          <w:sz w:val="20"/>
          <w:szCs w:val="20"/>
        </w:rPr>
        <w:t xml:space="preserve">to remotely control changes in AtoN parameters or switching on back-up equipment; </w:t>
      </w:r>
    </w:p>
    <w:p w14:paraId="2EE3F7B3" w14:textId="77777777" w:rsidR="00541A14" w:rsidRDefault="00A450E1">
      <w:pPr>
        <w:pStyle w:val="Default"/>
        <w:numPr>
          <w:ilvl w:val="0"/>
          <w:numId w:val="106"/>
        </w:numPr>
        <w:rPr>
          <w:rFonts w:ascii="Palatino" w:hAnsi="Palatino" w:cs="Palatino"/>
          <w:sz w:val="20"/>
          <w:szCs w:val="20"/>
        </w:rPr>
      </w:pPr>
      <w:r>
        <w:rPr>
          <w:rFonts w:ascii="Palatino" w:hAnsi="Palatino" w:cs="Palatino"/>
          <w:sz w:val="20"/>
          <w:szCs w:val="20"/>
        </w:rPr>
        <w:t xml:space="preserve">provide local hydrological (hydrographical) and meteorological information; </w:t>
      </w:r>
    </w:p>
    <w:p w14:paraId="7AA254AE" w14:textId="77777777" w:rsidR="00541A14" w:rsidRDefault="00A450E1">
      <w:pPr>
        <w:pStyle w:val="Default"/>
        <w:numPr>
          <w:ilvl w:val="0"/>
          <w:numId w:val="106"/>
        </w:numPr>
        <w:rPr>
          <w:rFonts w:ascii="Palatino" w:hAnsi="Palatino" w:cs="Palatino"/>
          <w:sz w:val="20"/>
          <w:szCs w:val="20"/>
        </w:rPr>
      </w:pPr>
      <w:r>
        <w:rPr>
          <w:rFonts w:ascii="Palatino" w:hAnsi="Palatino" w:cs="Palatino"/>
          <w:sz w:val="20"/>
          <w:szCs w:val="20"/>
        </w:rPr>
        <w:t xml:space="preserve">possibly replace radar beacons (racons) in the future, providing longer range detection and identification in all weather conditions; and </w:t>
      </w:r>
    </w:p>
    <w:p w14:paraId="4097A26E" w14:textId="77777777" w:rsidR="00541A14" w:rsidRDefault="00A450E1">
      <w:pPr>
        <w:pStyle w:val="Default"/>
        <w:numPr>
          <w:ilvl w:val="0"/>
          <w:numId w:val="106"/>
        </w:numPr>
        <w:rPr>
          <w:rFonts w:ascii="Palatino" w:hAnsi="Palatino" w:cs="Palatino"/>
          <w:sz w:val="20"/>
          <w:szCs w:val="20"/>
        </w:rPr>
      </w:pPr>
      <w:r>
        <w:rPr>
          <w:rFonts w:ascii="Palatino" w:hAnsi="Palatino" w:cs="Palatino"/>
          <w:sz w:val="20"/>
          <w:szCs w:val="20"/>
        </w:rPr>
        <w:t xml:space="preserve">gather shipping traffic data on AIS fitted ships for future aid to navigation planning purposes. </w:t>
      </w:r>
    </w:p>
    <w:p w14:paraId="143F1C52" w14:textId="77777777" w:rsidR="00541A14" w:rsidRDefault="00541A14">
      <w:pPr>
        <w:pStyle w:val="Default"/>
        <w:rPr>
          <w:rFonts w:ascii="Palatino" w:hAnsi="Palatino" w:cs="Palatino"/>
          <w:sz w:val="20"/>
          <w:szCs w:val="20"/>
        </w:rPr>
      </w:pPr>
    </w:p>
    <w:p w14:paraId="542E3EC5" w14:textId="77777777" w:rsidR="00541A14" w:rsidRDefault="00A450E1">
      <w:pPr>
        <w:pStyle w:val="CM36"/>
        <w:rPr>
          <w:rFonts w:ascii="Palatino" w:hAnsi="Palatino" w:cs="Palatino"/>
          <w:color w:val="000000"/>
          <w:sz w:val="20"/>
          <w:szCs w:val="20"/>
        </w:rPr>
      </w:pPr>
      <w:r>
        <w:rPr>
          <w:rFonts w:ascii="Palatino" w:hAnsi="Palatino" w:cs="Palatino"/>
          <w:color w:val="000000"/>
          <w:sz w:val="20"/>
          <w:szCs w:val="20"/>
        </w:rPr>
        <w:t xml:space="preserve">For practical or economic reasons it may not be appropriate to fit an AIS to an AtoN.  In this case, </w:t>
      </w:r>
    </w:p>
    <w:p w14:paraId="0D2AE243" w14:textId="77777777" w:rsidR="00541A14" w:rsidRDefault="00A450E1">
      <w:pPr>
        <w:pStyle w:val="CM24"/>
        <w:ind w:right="507"/>
        <w:rPr>
          <w:rFonts w:ascii="Palatino" w:hAnsi="Palatino" w:cs="Palatino"/>
          <w:color w:val="000000"/>
          <w:sz w:val="20"/>
          <w:szCs w:val="20"/>
        </w:rPr>
      </w:pPr>
      <w:r>
        <w:rPr>
          <w:rFonts w:ascii="Palatino" w:hAnsi="Palatino" w:cs="Palatino"/>
          <w:color w:val="000000"/>
          <w:sz w:val="20"/>
          <w:szCs w:val="20"/>
        </w:rPr>
        <w:t xml:space="preserve">the ‘Synthetic’ or Virtual AIS approach may be taken.  There are two types of synthetic AIS AtoN, ‘Monitored’ and ‘Predicted’. </w:t>
      </w:r>
    </w:p>
    <w:p w14:paraId="4136DDE3"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A ‘Monitored Synthetic AIS AtoN’ is transmitted from an AIS Station that is located remotely.  </w:t>
      </w:r>
    </w:p>
    <w:p w14:paraId="70EB141F"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The AtoN physically exists and there is a communication link between the AIS Station and the </w:t>
      </w:r>
    </w:p>
    <w:p w14:paraId="056FCE1E"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AtoN. The communication between the AtoN and AIS shall confirm the location and status of </w:t>
      </w:r>
    </w:p>
    <w:p w14:paraId="2D431B42"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the AtoN. </w:t>
      </w:r>
    </w:p>
    <w:p w14:paraId="02797BF6"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A ‘Predicted Synthetic AIS AtoN’ is transmitted from an AIS Station that is located remotely.  </w:t>
      </w:r>
    </w:p>
    <w:p w14:paraId="09953CB3"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The AtoN physically exists but the AtoN is not monitored to confirm its location or status.  It should not be used for floating aids to navigation. </w:t>
      </w:r>
    </w:p>
    <w:p w14:paraId="3D465893" w14:textId="77777777" w:rsidR="00541A14" w:rsidRDefault="00A450E1">
      <w:pPr>
        <w:pStyle w:val="CM191"/>
        <w:spacing w:after="825" w:line="293" w:lineRule="atLeast"/>
        <w:ind w:right="327"/>
        <w:rPr>
          <w:rFonts w:ascii="Palatino" w:hAnsi="Palatino" w:cs="Palatino"/>
          <w:color w:val="000000"/>
          <w:sz w:val="20"/>
          <w:szCs w:val="20"/>
        </w:rPr>
      </w:pPr>
      <w:r>
        <w:rPr>
          <w:rFonts w:ascii="Palatino" w:hAnsi="Palatino" w:cs="Palatino"/>
          <w:color w:val="000000"/>
          <w:sz w:val="20"/>
          <w:szCs w:val="20"/>
        </w:rPr>
        <w:t xml:space="preserve">A Virtual AIS toN is transmitted from an AIS station to establish an aid to navigation that does not physically exist. In this case, a digital information object will appear on the navigational system for </w:t>
      </w:r>
    </w:p>
    <w:p w14:paraId="4EC0DD0E"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57ED2E96" w14:textId="77777777" w:rsidR="00541A14" w:rsidRDefault="00A450E1">
      <w:pPr>
        <w:pStyle w:val="CM111"/>
        <w:ind w:left="9522"/>
        <w:rPr>
          <w:rFonts w:ascii="Palatino" w:hAnsi="Palatino" w:cs="Palatino"/>
          <w:color w:val="000000"/>
          <w:sz w:val="23"/>
          <w:szCs w:val="23"/>
        </w:rPr>
      </w:pPr>
      <w:r>
        <w:rPr>
          <w:rFonts w:ascii="Palatino" w:hAnsi="Palatino" w:cs="Palatino"/>
          <w:b/>
          <w:bCs/>
          <w:i/>
          <w:iCs/>
          <w:color w:val="000000"/>
          <w:sz w:val="23"/>
          <w:szCs w:val="23"/>
        </w:rPr>
        <w:t xml:space="preserve">105 </w:t>
      </w:r>
    </w:p>
    <w:p w14:paraId="41211BCA" w14:textId="77777777" w:rsidR="00541A14" w:rsidRDefault="00A450E1">
      <w:pPr>
        <w:pStyle w:val="CM178"/>
        <w:pageBreakBefore/>
        <w:spacing w:after="1397"/>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2E33F26B" w14:textId="77777777" w:rsidR="00541A14" w:rsidRDefault="00A450E1">
      <w:pPr>
        <w:pStyle w:val="Default"/>
        <w:rPr>
          <w:rFonts w:ascii="Palatino" w:hAnsi="Palatino" w:cs="Palatino"/>
          <w:sz w:val="20"/>
          <w:szCs w:val="20"/>
        </w:rPr>
      </w:pPr>
      <w:r>
        <w:rPr>
          <w:rFonts w:ascii="Palatino" w:hAnsi="Palatino" w:cs="Palatino"/>
          <w:sz w:val="20"/>
          <w:szCs w:val="20"/>
        </w:rPr>
        <w:t xml:space="preserve">a specified location, even though there is no physical AtoN. A nearby base station or AtoN station </w:t>
      </w:r>
    </w:p>
    <w:p w14:paraId="19E7CB24" w14:textId="77777777" w:rsidR="00541A14" w:rsidRDefault="00541A14">
      <w:pPr>
        <w:pStyle w:val="Default"/>
        <w:rPr>
          <w:rFonts w:ascii="Palatino" w:hAnsi="Palatino" w:cs="Palatino"/>
          <w:sz w:val="20"/>
          <w:szCs w:val="20"/>
        </w:rPr>
      </w:pPr>
    </w:p>
    <w:p w14:paraId="6C68D681"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could broadcast this message. The AIS message will clearly identify this as a Virtual AIS AtoN. </w:t>
      </w:r>
    </w:p>
    <w:p w14:paraId="0CF9F612" w14:textId="77777777" w:rsidR="00541A14" w:rsidRDefault="00A450E1">
      <w:pPr>
        <w:pStyle w:val="CM172"/>
        <w:spacing w:after="202" w:line="293" w:lineRule="atLeast"/>
        <w:ind w:right="327"/>
        <w:rPr>
          <w:rFonts w:ascii="Palatino" w:hAnsi="Palatino" w:cs="Palatino"/>
          <w:color w:val="000000"/>
          <w:sz w:val="20"/>
          <w:szCs w:val="20"/>
        </w:rPr>
      </w:pPr>
      <w:r>
        <w:rPr>
          <w:rFonts w:ascii="Palatino" w:hAnsi="Palatino" w:cs="Palatino"/>
          <w:color w:val="000000"/>
          <w:sz w:val="20"/>
          <w:szCs w:val="20"/>
        </w:rPr>
        <w:t xml:space="preserve">A new Recommendation and Guideline on the use of Virtual AtoN is expected to be available from April 2010. </w:t>
      </w:r>
    </w:p>
    <w:p w14:paraId="6C61D6E5"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007DFE8A" w14:textId="77777777" w:rsidR="00541A14" w:rsidRDefault="009E3F25">
      <w:pPr>
        <w:pStyle w:val="CM18"/>
        <w:ind w:left="300"/>
        <w:rPr>
          <w:rFonts w:ascii="Palatino" w:hAnsi="Palatino" w:cs="Palatino"/>
          <w:color w:val="000000"/>
          <w:sz w:val="20"/>
          <w:szCs w:val="20"/>
        </w:rPr>
      </w:pPr>
      <w:hyperlink r:id="rId239" w:history="1">
        <w:r w:rsidR="00A450E1">
          <w:rPr>
            <w:rFonts w:ascii="Palatino" w:hAnsi="Palatino" w:cs="Palatino"/>
            <w:i/>
            <w:iCs/>
            <w:color w:val="000000"/>
            <w:sz w:val="20"/>
            <w:szCs w:val="20"/>
          </w:rPr>
          <w:t>IALA Recommendation A-126 on the use of the automatic identification system (AIS) in marine aids to</w:t>
        </w:r>
      </w:hyperlink>
    </w:p>
    <w:p w14:paraId="7C9AA49C" w14:textId="77777777" w:rsidR="00541A14" w:rsidRDefault="009E3F25">
      <w:pPr>
        <w:pStyle w:val="CM18"/>
        <w:ind w:left="300"/>
        <w:rPr>
          <w:rFonts w:ascii="Palatino" w:hAnsi="Palatino" w:cs="Palatino"/>
          <w:color w:val="000000"/>
          <w:sz w:val="20"/>
          <w:szCs w:val="20"/>
        </w:rPr>
      </w:pPr>
      <w:hyperlink r:id="rId240" w:history="1">
        <w:r w:rsidR="00A450E1">
          <w:rPr>
            <w:rFonts w:ascii="Palatino" w:hAnsi="Palatino" w:cs="Palatino"/>
            <w:i/>
            <w:iCs/>
            <w:color w:val="000000"/>
            <w:sz w:val="20"/>
            <w:szCs w:val="20"/>
          </w:rPr>
          <w:t xml:space="preserve">navigation. </w:t>
        </w:r>
      </w:hyperlink>
    </w:p>
    <w:p w14:paraId="53A9E284" w14:textId="77777777" w:rsidR="00541A14" w:rsidRDefault="009E3F25">
      <w:pPr>
        <w:pStyle w:val="CM173"/>
        <w:spacing w:after="340" w:line="293" w:lineRule="atLeast"/>
        <w:ind w:left="300"/>
        <w:rPr>
          <w:rFonts w:ascii="Palatino" w:hAnsi="Palatino" w:cs="Palatino"/>
          <w:color w:val="000000"/>
          <w:sz w:val="20"/>
          <w:szCs w:val="20"/>
        </w:rPr>
      </w:pPr>
      <w:hyperlink r:id="rId241" w:history="1">
        <w:r w:rsidR="00A450E1">
          <w:rPr>
            <w:rFonts w:ascii="Palatino" w:hAnsi="Palatino" w:cs="Palatino"/>
            <w:i/>
            <w:iCs/>
            <w:color w:val="000000"/>
            <w:sz w:val="20"/>
            <w:szCs w:val="20"/>
          </w:rPr>
          <w:t xml:space="preserve">IALA Guideline 1050 on the Management and Monitoring of AIS Information. </w:t>
        </w:r>
      </w:hyperlink>
    </w:p>
    <w:p w14:paraId="3763D245"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4.24 Carriage Requirements </w:t>
      </w:r>
    </w:p>
    <w:p w14:paraId="0B8685A0" w14:textId="77777777" w:rsidR="00541A14" w:rsidRDefault="00A450E1">
      <w:pPr>
        <w:pStyle w:val="CM16"/>
        <w:ind w:right="327"/>
        <w:rPr>
          <w:rFonts w:ascii="Palatino" w:hAnsi="Palatino" w:cs="Palatino"/>
          <w:color w:val="000000"/>
          <w:sz w:val="20"/>
          <w:szCs w:val="20"/>
        </w:rPr>
      </w:pPr>
      <w:r>
        <w:rPr>
          <w:rFonts w:ascii="Palatino" w:hAnsi="Palatino" w:cs="Palatino"/>
          <w:color w:val="000000"/>
          <w:sz w:val="20"/>
          <w:szCs w:val="20"/>
        </w:rPr>
        <w:t xml:space="preserve">There are two ‘types’ of AIS units for ship stations. These are termed Class A and Class B units. Class A ship-borne mobile units must comply with ITU-R M. 1371-1, and are required to be carried on board those vessels to which Regulation 19 of SOLAS Chapter V applies and meet the IMO </w:t>
      </w:r>
    </w:p>
    <w:p w14:paraId="42C0F57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performance standard. All these ships were to have AIS fitted by 31 December 2004. </w:t>
      </w:r>
    </w:p>
    <w:p w14:paraId="7F957B6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Class B ship-borne mobile equipment, while also complying with ITU-R M.1371-1, is designed for </w:t>
      </w:r>
    </w:p>
    <w:p w14:paraId="24ABAF2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vessels such as pleasure craft and fishing vessels. These units are provides with less functionality than </w:t>
      </w:r>
    </w:p>
    <w:p w14:paraId="696A4BF1" w14:textId="77777777" w:rsidR="00541A14" w:rsidRDefault="00A450E1">
      <w:pPr>
        <w:pStyle w:val="CM173"/>
        <w:spacing w:after="340" w:line="320" w:lineRule="atLeast"/>
        <w:rPr>
          <w:rFonts w:ascii="Palatino" w:hAnsi="Palatino" w:cs="Palatino"/>
          <w:color w:val="000000"/>
          <w:sz w:val="20"/>
          <w:szCs w:val="20"/>
        </w:rPr>
      </w:pPr>
      <w:r>
        <w:rPr>
          <w:rFonts w:ascii="Palatino" w:hAnsi="Palatino" w:cs="Palatino"/>
          <w:color w:val="000000"/>
          <w:sz w:val="20"/>
          <w:szCs w:val="20"/>
        </w:rPr>
        <w:t xml:space="preserve">Class A units, and do not necessarily meet all the IMO performance requirements. They are designed to operate co-operatively with Class A units. Administrations can require the carriage of Class B units as part of their domestic requirements. </w:t>
      </w:r>
    </w:p>
    <w:p w14:paraId="2DF05D47"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4.25 Cautions when using AIS </w:t>
      </w:r>
    </w:p>
    <w:p w14:paraId="793748E0"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 Officer of the Watch (OOW) should always be aware that other ships, in particular pleasure craft, fishing vessels, warships and some shore stations including VTS centres, may not be fitted with AIS. </w:t>
      </w:r>
    </w:p>
    <w:p w14:paraId="58F3C2A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OOW should always be aware that AIS fitted on other ships as a mandatory carriage requirement, </w:t>
      </w:r>
    </w:p>
    <w:p w14:paraId="1A7F04CB" w14:textId="77777777" w:rsidR="00541A14" w:rsidRDefault="00A450E1">
      <w:pPr>
        <w:pStyle w:val="CM165"/>
        <w:spacing w:after="85" w:line="273" w:lineRule="atLeast"/>
        <w:ind w:right="487"/>
        <w:rPr>
          <w:rFonts w:ascii="Palatino" w:hAnsi="Palatino" w:cs="Palatino"/>
          <w:color w:val="000000"/>
          <w:sz w:val="20"/>
          <w:szCs w:val="20"/>
        </w:rPr>
      </w:pPr>
      <w:r>
        <w:rPr>
          <w:rFonts w:ascii="Palatino" w:hAnsi="Palatino" w:cs="Palatino"/>
          <w:color w:val="000000"/>
          <w:sz w:val="20"/>
          <w:szCs w:val="20"/>
        </w:rPr>
        <w:t>might, under certain circumstances, be switched off, particularly where international agreements, rules or standards provide for the protection of navigational information. AIS</w:t>
      </w:r>
      <w:r>
        <w:rPr>
          <w:rFonts w:ascii="Palatino" w:hAnsi="Palatino" w:cs="Palatino"/>
          <w:color w:val="000000"/>
          <w:position w:val="7"/>
          <w:sz w:val="11"/>
          <w:szCs w:val="11"/>
          <w:vertAlign w:val="superscript"/>
        </w:rPr>
        <w:t>30</w:t>
      </w:r>
      <w:r>
        <w:rPr>
          <w:rFonts w:ascii="Palatino" w:hAnsi="Palatino" w:cs="Palatino"/>
          <w:color w:val="000000"/>
          <w:sz w:val="20"/>
          <w:szCs w:val="20"/>
        </w:rPr>
        <w:t xml:space="preserve"> can also provide incorrect information if the input data is wrong. </w:t>
      </w:r>
    </w:p>
    <w:p w14:paraId="15E792D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Navigators should be aware of the limitations of AIS. In particular, government agencies and owners </w:t>
      </w:r>
    </w:p>
    <w:p w14:paraId="6FF9640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should ensure that watch-keeping officers are trained in the use of AIS . Because of these limitations </w:t>
      </w:r>
    </w:p>
    <w:p w14:paraId="4D7F282D"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navigators are advised that AIS should not be used as the primary means of collision avoidance. </w:t>
      </w:r>
    </w:p>
    <w:p w14:paraId="223512B4"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4.26Strategic Applications of AIS </w:t>
      </w:r>
    </w:p>
    <w:p w14:paraId="691B3A63"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From a number of maritime perspectives (such as VTS and regulatory compliance), the availability of comprehensive ship information, offers a mechanism for: </w:t>
      </w:r>
    </w:p>
    <w:p w14:paraId="549BCE3E" w14:textId="77777777" w:rsidR="00541A14" w:rsidRDefault="00A450E1">
      <w:pPr>
        <w:pStyle w:val="Default"/>
        <w:numPr>
          <w:ilvl w:val="0"/>
          <w:numId w:val="107"/>
        </w:numPr>
        <w:spacing w:after="475"/>
        <w:rPr>
          <w:rFonts w:ascii="Palatino" w:hAnsi="Palatino" w:cs="Palatino"/>
          <w:sz w:val="20"/>
          <w:szCs w:val="20"/>
        </w:rPr>
      </w:pPr>
      <w:r>
        <w:rPr>
          <w:rFonts w:ascii="Palatino" w:hAnsi="Palatino" w:cs="Palatino"/>
          <w:sz w:val="20"/>
          <w:szCs w:val="20"/>
        </w:rPr>
        <w:t xml:space="preserve">better monitoring of compliance with national and international regulations for mandatory </w:t>
      </w:r>
    </w:p>
    <w:p w14:paraId="7843F809" w14:textId="77777777" w:rsidR="00541A14" w:rsidRDefault="00A450E1">
      <w:pPr>
        <w:pStyle w:val="Default"/>
        <w:numPr>
          <w:ilvl w:val="0"/>
          <w:numId w:val="107"/>
        </w:numPr>
        <w:rPr>
          <w:rFonts w:ascii="Palatino" w:hAnsi="Palatino" w:cs="Palatino"/>
          <w:sz w:val="20"/>
          <w:szCs w:val="20"/>
        </w:rPr>
      </w:pPr>
      <w:r>
        <w:rPr>
          <w:rFonts w:ascii="Palatino" w:hAnsi="Palatino" w:cs="Palatino"/>
          <w:sz w:val="20"/>
          <w:szCs w:val="20"/>
        </w:rPr>
        <w:t>maritime logistics applications such as fleet management, cargo tracking and port facilities</w:t>
      </w:r>
    </w:p>
    <w:p w14:paraId="628F7777" w14:textId="77777777" w:rsidR="00541A14" w:rsidRDefault="00541A14">
      <w:pPr>
        <w:pStyle w:val="Default"/>
        <w:rPr>
          <w:rFonts w:ascii="Palatino" w:hAnsi="Palatino" w:cs="Palatino"/>
          <w:sz w:val="20"/>
          <w:szCs w:val="20"/>
        </w:rPr>
      </w:pPr>
    </w:p>
    <w:p w14:paraId="34E6F65C" w14:textId="77777777" w:rsidR="00541A14" w:rsidRDefault="00A450E1">
      <w:pPr>
        <w:pStyle w:val="CM165"/>
        <w:spacing w:after="85" w:line="260" w:lineRule="atLeast"/>
        <w:ind w:left="295"/>
        <w:rPr>
          <w:rFonts w:ascii="Palatino" w:hAnsi="Palatino" w:cs="Palatino"/>
          <w:color w:val="000000"/>
          <w:sz w:val="20"/>
          <w:szCs w:val="20"/>
        </w:rPr>
      </w:pPr>
      <w:r>
        <w:rPr>
          <w:rFonts w:ascii="Palatino" w:hAnsi="Palatino" w:cs="Palatino"/>
          <w:color w:val="000000"/>
          <w:sz w:val="20"/>
          <w:szCs w:val="20"/>
        </w:rPr>
        <w:t xml:space="preserve">routeing and reporting systems, Particularly Sensitive Sea Areas, discharging of oil, garbagedisposal etc; </w:t>
      </w:r>
    </w:p>
    <w:p w14:paraId="1B85F101" w14:textId="77777777" w:rsidR="00541A14" w:rsidRDefault="00A450E1">
      <w:pPr>
        <w:pStyle w:val="CM174"/>
        <w:spacing w:after="437" w:line="260" w:lineRule="atLeast"/>
        <w:ind w:left="295"/>
        <w:rPr>
          <w:rFonts w:ascii="Palatino" w:hAnsi="Palatino" w:cs="Palatino"/>
          <w:color w:val="000000"/>
          <w:sz w:val="20"/>
          <w:szCs w:val="20"/>
        </w:rPr>
      </w:pPr>
      <w:r>
        <w:rPr>
          <w:rFonts w:ascii="Palatino" w:hAnsi="Palatino" w:cs="Palatino"/>
          <w:color w:val="000000"/>
          <w:sz w:val="20"/>
          <w:szCs w:val="20"/>
        </w:rPr>
        <w:t xml:space="preserve">management (movement of pilot boats, tugs etc); </w:t>
      </w:r>
    </w:p>
    <w:p w14:paraId="7C7B7512" w14:textId="77777777" w:rsidR="00541A14" w:rsidRDefault="00A450E1">
      <w:pPr>
        <w:pStyle w:val="CM180"/>
        <w:spacing w:after="732"/>
        <w:ind w:left="847" w:right="2310"/>
        <w:rPr>
          <w:rFonts w:ascii="Palatino" w:hAnsi="Palatino" w:cs="Palatino"/>
          <w:color w:val="000000"/>
          <w:sz w:val="20"/>
          <w:szCs w:val="20"/>
        </w:rPr>
      </w:pPr>
      <w:r>
        <w:rPr>
          <w:rFonts w:ascii="Palatino" w:hAnsi="Palatino" w:cs="Palatino"/>
          <w:color w:val="000000"/>
          <w:position w:val="6"/>
          <w:sz w:val="20"/>
          <w:szCs w:val="20"/>
          <w:vertAlign w:val="superscript"/>
        </w:rPr>
        <w:t>30</w:t>
      </w:r>
      <w:hyperlink r:id="rId242" w:history="1">
        <w:r>
          <w:rPr>
            <w:rFonts w:ascii="Palatino" w:hAnsi="Palatino" w:cs="Palatino"/>
            <w:color w:val="000000"/>
            <w:sz w:val="20"/>
            <w:szCs w:val="20"/>
          </w:rPr>
          <w:t xml:space="preserve">Section 12 of the IALA Guideline 1028 on AIS Volume 1 Part 1 – Operational Issues. </w:t>
        </w:r>
      </w:hyperlink>
    </w:p>
    <w:p w14:paraId="27473F35" w14:textId="77777777" w:rsidR="00541A14" w:rsidRDefault="00541A14">
      <w:pPr>
        <w:pStyle w:val="CM100"/>
        <w:ind w:left="8357"/>
        <w:rPr>
          <w:rFonts w:ascii="Palatino" w:hAnsi="Palatino" w:cs="Palatino"/>
          <w:color w:val="000000"/>
          <w:sz w:val="20"/>
          <w:szCs w:val="20"/>
        </w:rPr>
      </w:pPr>
    </w:p>
    <w:p w14:paraId="73509DE8"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32606485" wp14:editId="36FD1543">
            <wp:extent cx="227330" cy="113665"/>
            <wp:effectExtent l="0" t="0" r="127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76C6BC52"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2625881A" wp14:editId="08E32258">
            <wp:extent cx="823595" cy="11366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41339D7C" w14:textId="77777777" w:rsidR="00541A14" w:rsidRDefault="00DD420F">
      <w:pPr>
        <w:pStyle w:val="Default"/>
        <w:pageBreakBefore/>
        <w:framePr w:w="12865" w:wrap="auto" w:vAnchor="page" w:hAnchor="page" w:x="101" w:y="1"/>
        <w:spacing w:after="920"/>
        <w:rPr>
          <w:rFonts w:ascii="Palatino" w:hAnsi="Palatino" w:cs="Palatino"/>
          <w:sz w:val="20"/>
          <w:szCs w:val="20"/>
        </w:rPr>
      </w:pPr>
      <w:r>
        <w:rPr>
          <w:rFonts w:ascii="Palatino" w:hAnsi="Palatino" w:cs="Palatino"/>
          <w:noProof/>
          <w:sz w:val="20"/>
          <w:szCs w:val="20"/>
        </w:rPr>
        <w:drawing>
          <wp:inline distT="0" distB="0" distL="0" distR="0" wp14:anchorId="0CA935BB" wp14:editId="527EFD68">
            <wp:extent cx="7553960" cy="1056640"/>
            <wp:effectExtent l="0" t="0" r="0" b="1016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742D7616" w14:textId="77777777" w:rsidR="00541A14" w:rsidRDefault="00A450E1">
      <w:pPr>
        <w:pStyle w:val="Default"/>
        <w:rPr>
          <w:rFonts w:ascii="Palatino" w:hAnsi="Palatino" w:cs="Palatino"/>
          <w:sz w:val="20"/>
          <w:szCs w:val="20"/>
        </w:rPr>
      </w:pPr>
      <w:r>
        <w:rPr>
          <w:rFonts w:ascii="Palatino" w:hAnsi="Palatino" w:cs="Palatino"/>
          <w:sz w:val="20"/>
          <w:szCs w:val="20"/>
        </w:rPr>
        <w:t xml:space="preserve">• better control, co-ordination and response in the event of marine incidents, such as SAR and </w:t>
      </w:r>
    </w:p>
    <w:p w14:paraId="0F18143E"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 xml:space="preserve">pollution; </w:t>
      </w:r>
    </w:p>
    <w:p w14:paraId="29CD57E1" w14:textId="77777777" w:rsidR="00541A14" w:rsidRDefault="00A450E1">
      <w:pPr>
        <w:pStyle w:val="Default"/>
        <w:numPr>
          <w:ilvl w:val="0"/>
          <w:numId w:val="108"/>
        </w:numPr>
        <w:rPr>
          <w:rFonts w:ascii="Palatino" w:hAnsi="Palatino" w:cs="Palatino"/>
          <w:sz w:val="20"/>
          <w:szCs w:val="20"/>
        </w:rPr>
      </w:pPr>
      <w:r>
        <w:rPr>
          <w:rFonts w:ascii="Palatino" w:hAnsi="Palatino" w:cs="Palatino"/>
          <w:sz w:val="20"/>
          <w:szCs w:val="20"/>
        </w:rPr>
        <w:t xml:space="preserve">shore -based navigational assistance; </w:t>
      </w:r>
    </w:p>
    <w:p w14:paraId="45B125E9" w14:textId="77777777" w:rsidR="00541A14" w:rsidRDefault="00A450E1">
      <w:pPr>
        <w:pStyle w:val="Default"/>
        <w:numPr>
          <w:ilvl w:val="0"/>
          <w:numId w:val="108"/>
        </w:numPr>
        <w:rPr>
          <w:rFonts w:ascii="Palatino" w:hAnsi="Palatino" w:cs="Palatino"/>
          <w:sz w:val="20"/>
          <w:szCs w:val="20"/>
        </w:rPr>
      </w:pPr>
      <w:r>
        <w:rPr>
          <w:rFonts w:ascii="Palatino" w:hAnsi="Palatino" w:cs="Palatino"/>
          <w:sz w:val="20"/>
          <w:szCs w:val="20"/>
        </w:rPr>
        <w:t xml:space="preserve">shipping information gathered from AIS can be channelled into a central repository of a local, </w:t>
      </w:r>
    </w:p>
    <w:p w14:paraId="380826F3" w14:textId="77777777" w:rsidR="00541A14" w:rsidRDefault="00541A14">
      <w:pPr>
        <w:pStyle w:val="Default"/>
        <w:rPr>
          <w:rFonts w:ascii="Palatino" w:hAnsi="Palatino" w:cs="Palatino"/>
          <w:sz w:val="20"/>
          <w:szCs w:val="20"/>
        </w:rPr>
      </w:pPr>
    </w:p>
    <w:p w14:paraId="2BCB00CF" w14:textId="77777777" w:rsidR="00541A14" w:rsidRDefault="00A450E1">
      <w:pPr>
        <w:pStyle w:val="CM185"/>
        <w:spacing w:after="140" w:line="260" w:lineRule="atLeast"/>
        <w:ind w:left="295"/>
        <w:rPr>
          <w:rFonts w:ascii="Palatino" w:hAnsi="Palatino" w:cs="Palatino"/>
          <w:color w:val="000000"/>
          <w:sz w:val="20"/>
          <w:szCs w:val="20"/>
        </w:rPr>
      </w:pPr>
      <w:r>
        <w:rPr>
          <w:rFonts w:ascii="Palatino" w:hAnsi="Palatino" w:cs="Palatino"/>
          <w:color w:val="000000"/>
          <w:sz w:val="20"/>
          <w:szCs w:val="20"/>
        </w:rPr>
        <w:t xml:space="preserve">national or regional network serving maritime administrations, port authorities, shipping agents, freight handlers, customs, immigration, etc. </w:t>
      </w:r>
    </w:p>
    <w:p w14:paraId="25EAD872" w14:textId="77777777" w:rsidR="00541A14" w:rsidRDefault="00A450E1">
      <w:pPr>
        <w:pStyle w:val="CM172"/>
        <w:spacing w:after="202" w:line="260" w:lineRule="atLeast"/>
        <w:ind w:left="47"/>
        <w:rPr>
          <w:rFonts w:ascii="Palatino" w:hAnsi="Palatino" w:cs="Palatino"/>
          <w:color w:val="000000"/>
          <w:sz w:val="20"/>
          <w:szCs w:val="20"/>
        </w:rPr>
      </w:pPr>
      <w:r>
        <w:rPr>
          <w:rFonts w:ascii="Palatino" w:hAnsi="Palatino" w:cs="Palatino"/>
          <w:color w:val="000000"/>
          <w:sz w:val="20"/>
          <w:szCs w:val="20"/>
        </w:rPr>
        <w:t xml:space="preserve">Further information on AIS can be found within IMO, IALA, ITU and IEC documentation. </w:t>
      </w:r>
    </w:p>
    <w:p w14:paraId="3D7E5FB0" w14:textId="77777777" w:rsidR="00541A14" w:rsidRDefault="00A450E1">
      <w:pPr>
        <w:pStyle w:val="CM114"/>
        <w:ind w:left="175"/>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3429A759" w14:textId="77777777" w:rsidR="00541A14" w:rsidRDefault="009E3F25">
      <w:pPr>
        <w:pStyle w:val="CM114"/>
        <w:ind w:left="175"/>
        <w:rPr>
          <w:rFonts w:ascii="Palatino" w:hAnsi="Palatino" w:cs="Palatino"/>
          <w:color w:val="000000"/>
          <w:sz w:val="20"/>
          <w:szCs w:val="20"/>
        </w:rPr>
      </w:pPr>
      <w:hyperlink r:id="rId243" w:history="1">
        <w:r w:rsidR="00A450E1">
          <w:rPr>
            <w:rFonts w:ascii="Palatino" w:hAnsi="Palatino" w:cs="Palatino"/>
            <w:i/>
            <w:iCs/>
            <w:color w:val="000000"/>
            <w:sz w:val="20"/>
            <w:szCs w:val="20"/>
          </w:rPr>
          <w:t xml:space="preserve">IALA Guideline 1026 on AIS as a VTS Tool </w:t>
        </w:r>
      </w:hyperlink>
      <w:hyperlink r:id="rId244" w:history="1">
        <w:r w:rsidR="00A450E1">
          <w:rPr>
            <w:rFonts w:ascii="Palatino" w:hAnsi="Palatino" w:cs="Palatino"/>
            <w:i/>
            <w:iCs/>
            <w:color w:val="000000"/>
            <w:sz w:val="20"/>
            <w:szCs w:val="20"/>
          </w:rPr>
          <w:t>IALA Guideline 1028 on AIS - Volume 1, Part I – Operational Issues,</w:t>
        </w:r>
      </w:hyperlink>
      <w:hyperlink r:id="rId245" w:history="1">
        <w:r w:rsidR="00A450E1">
          <w:rPr>
            <w:rFonts w:ascii="Palatino" w:hAnsi="Palatino" w:cs="Palatino"/>
            <w:i/>
            <w:iCs/>
            <w:color w:val="000000"/>
            <w:sz w:val="20"/>
            <w:szCs w:val="20"/>
          </w:rPr>
          <w:t xml:space="preserve">IALA Guideline 1029 on AIS - Volume 1 Part II – Technical Issues, Edition 1.1 </w:t>
        </w:r>
      </w:hyperlink>
    </w:p>
    <w:p w14:paraId="3D05D4F4" w14:textId="77777777" w:rsidR="00541A14" w:rsidRDefault="00A450E1">
      <w:pPr>
        <w:pStyle w:val="CM172"/>
        <w:spacing w:after="202" w:line="258" w:lineRule="atLeast"/>
        <w:ind w:left="175"/>
        <w:rPr>
          <w:rFonts w:ascii="Palatino" w:hAnsi="Palatino" w:cs="Palatino"/>
          <w:color w:val="000000"/>
          <w:sz w:val="20"/>
          <w:szCs w:val="20"/>
        </w:rPr>
      </w:pPr>
      <w:r>
        <w:rPr>
          <w:rFonts w:ascii="Palatino" w:hAnsi="Palatino" w:cs="Palatino"/>
          <w:i/>
          <w:iCs/>
          <w:color w:val="000000"/>
          <w:sz w:val="20"/>
          <w:szCs w:val="20"/>
        </w:rPr>
        <w:t xml:space="preserve">IALA Technical Clarifications on ITU Recommendation ITU-R M.1371-1 Edition 2.4 </w:t>
      </w:r>
    </w:p>
    <w:p w14:paraId="23C76364" w14:textId="77777777" w:rsidR="00541A14" w:rsidRDefault="00A450E1">
      <w:pPr>
        <w:pStyle w:val="CM114"/>
        <w:ind w:left="175"/>
        <w:rPr>
          <w:rFonts w:ascii="Palatino" w:hAnsi="Palatino" w:cs="Palatino"/>
          <w:color w:val="000000"/>
          <w:sz w:val="20"/>
          <w:szCs w:val="20"/>
        </w:rPr>
      </w:pPr>
      <w:r>
        <w:rPr>
          <w:rFonts w:ascii="Palatino" w:hAnsi="Palatino" w:cs="Palatino"/>
          <w:b/>
          <w:bCs/>
          <w:color w:val="000000"/>
          <w:sz w:val="20"/>
          <w:szCs w:val="20"/>
        </w:rPr>
        <w:t xml:space="preserve">Refer to ImO Publications: </w:t>
      </w:r>
    </w:p>
    <w:p w14:paraId="333CC97F"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Recommendation on Performance Standards for an Universal Shipborne Automatic Identification System(AIS) (MSC 74(69) Annex 3).Guidelines for the onboard operational use of shipborne Automatic Identification Systems (AIS) (Resolution</w:t>
      </w:r>
    </w:p>
    <w:p w14:paraId="3E0AE2A1"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A.917 (22), as amended by Resolution A.956 (23)).</w:t>
      </w:r>
    </w:p>
    <w:p w14:paraId="42A51DFE"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 xml:space="preserve">Performance Standards for the presentation of navigation-related information on shipborne navigational </w:t>
      </w:r>
    </w:p>
    <w:p w14:paraId="537C7B81"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displays (Resolution MSC. 191(79).SN/Circ. 227 Guidelines for the installation of a shipborne Automatic Identification System (amended by SN/Circ 245).</w:t>
      </w:r>
    </w:p>
    <w:p w14:paraId="699AE2B8"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SN/Circ. 236 Guidance on the application of AIS Binary Messages.SN/Circ. 243 Guidelines for the presentation of navigation-related symbols, terms and abbreviations.</w:t>
      </w:r>
    </w:p>
    <w:p w14:paraId="75F8AB65" w14:textId="77777777" w:rsidR="00541A14" w:rsidRDefault="00A450E1">
      <w:pPr>
        <w:pStyle w:val="CM172"/>
        <w:spacing w:after="202" w:line="258" w:lineRule="atLeast"/>
        <w:ind w:left="175"/>
        <w:rPr>
          <w:rFonts w:ascii="Palatino" w:hAnsi="Palatino" w:cs="Palatino"/>
          <w:color w:val="000000"/>
          <w:sz w:val="20"/>
          <w:szCs w:val="20"/>
        </w:rPr>
      </w:pPr>
      <w:r>
        <w:rPr>
          <w:rFonts w:ascii="Palatino" w:hAnsi="Palatino" w:cs="Palatino"/>
          <w:i/>
          <w:iCs/>
          <w:color w:val="000000"/>
          <w:sz w:val="20"/>
          <w:szCs w:val="20"/>
        </w:rPr>
        <w:t xml:space="preserve">SN/Circ. 244 Guidance on the use of UN/LOCODE in the destination field of AIS messages. </w:t>
      </w:r>
    </w:p>
    <w:p w14:paraId="5FD439E0" w14:textId="77777777" w:rsidR="00541A14" w:rsidRDefault="00A450E1">
      <w:pPr>
        <w:pStyle w:val="CM114"/>
        <w:ind w:left="175"/>
        <w:rPr>
          <w:rFonts w:ascii="Palatino" w:hAnsi="Palatino" w:cs="Palatino"/>
          <w:color w:val="000000"/>
          <w:sz w:val="20"/>
          <w:szCs w:val="20"/>
        </w:rPr>
      </w:pPr>
      <w:r>
        <w:rPr>
          <w:rFonts w:ascii="Palatino" w:hAnsi="Palatino" w:cs="Palatino"/>
          <w:b/>
          <w:bCs/>
          <w:color w:val="000000"/>
          <w:sz w:val="20"/>
          <w:szCs w:val="20"/>
        </w:rPr>
        <w:t xml:space="preserve">Refer to ItU Publications: </w:t>
      </w:r>
    </w:p>
    <w:p w14:paraId="6BBD2DB3"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 xml:space="preserve">ITU-R M.1371-1Recommendation on the Technical Characteristics for a Ship-borne Universal Automatic </w:t>
      </w:r>
    </w:p>
    <w:p w14:paraId="538F185F"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Identification System (AIS) Using Time Division Multiple Access in the Maritime Mobile Band.</w:t>
      </w:r>
    </w:p>
    <w:p w14:paraId="33A6E787" w14:textId="77777777" w:rsidR="00541A14" w:rsidRDefault="00A450E1">
      <w:pPr>
        <w:pStyle w:val="Default"/>
        <w:spacing w:line="258" w:lineRule="atLeast"/>
        <w:ind w:left="180" w:right="202"/>
        <w:rPr>
          <w:rFonts w:ascii="Palatino" w:hAnsi="Palatino" w:cs="Palatino"/>
          <w:sz w:val="20"/>
          <w:szCs w:val="20"/>
        </w:rPr>
      </w:pPr>
      <w:r>
        <w:rPr>
          <w:rFonts w:ascii="Palatino" w:hAnsi="Palatino" w:cs="Palatino"/>
          <w:i/>
          <w:iCs/>
          <w:sz w:val="20"/>
          <w:szCs w:val="20"/>
        </w:rPr>
        <w:t xml:space="preserve">Radio Regulations, Appendix S18, Table of Transmitting Frequencies in the VHF Maritime Mobile Band.ITU-R M.823-2 Recommendation on the technical characteristics of differential transmissions for global </w:t>
      </w:r>
    </w:p>
    <w:p w14:paraId="250CF8EA" w14:textId="77777777" w:rsidR="00541A14" w:rsidRDefault="00A450E1">
      <w:pPr>
        <w:pStyle w:val="CM172"/>
        <w:spacing w:after="202" w:line="231" w:lineRule="atLeast"/>
        <w:ind w:left="180" w:right="160"/>
        <w:rPr>
          <w:rFonts w:ascii="Palatino" w:hAnsi="Palatino" w:cs="Palatino"/>
          <w:color w:val="000000"/>
          <w:sz w:val="20"/>
          <w:szCs w:val="20"/>
        </w:rPr>
      </w:pPr>
      <w:r>
        <w:rPr>
          <w:rFonts w:ascii="Palatino" w:hAnsi="Palatino" w:cs="Palatino"/>
          <w:i/>
          <w:iCs/>
          <w:color w:val="000000"/>
          <w:sz w:val="20"/>
          <w:szCs w:val="20"/>
        </w:rPr>
        <w:t xml:space="preserve">navigation satellite systems from maritime radio beacons in the frequency band 283.5-315 kHz in region 1 and 285-325 kHz in regions 2 and 3. </w:t>
      </w:r>
    </w:p>
    <w:p w14:paraId="7DB5FECC" w14:textId="77777777" w:rsidR="00541A14" w:rsidRDefault="00A450E1">
      <w:pPr>
        <w:pStyle w:val="CM165"/>
        <w:spacing w:after="85" w:line="231" w:lineRule="atLeast"/>
        <w:ind w:left="180"/>
        <w:rPr>
          <w:rFonts w:ascii="Palatino" w:hAnsi="Palatino" w:cs="Palatino"/>
          <w:color w:val="000000"/>
          <w:sz w:val="20"/>
          <w:szCs w:val="20"/>
        </w:rPr>
      </w:pPr>
      <w:r>
        <w:rPr>
          <w:rFonts w:ascii="Palatino" w:hAnsi="Palatino" w:cs="Palatino"/>
          <w:b/>
          <w:bCs/>
          <w:color w:val="000000"/>
          <w:sz w:val="20"/>
          <w:szCs w:val="20"/>
        </w:rPr>
        <w:t xml:space="preserve">Refer to IEC standards: </w:t>
      </w:r>
    </w:p>
    <w:p w14:paraId="49FCD77D" w14:textId="77777777" w:rsidR="00541A14" w:rsidRDefault="00A450E1">
      <w:pPr>
        <w:pStyle w:val="CM115"/>
        <w:ind w:left="180"/>
        <w:rPr>
          <w:rFonts w:ascii="Palatino" w:hAnsi="Palatino" w:cs="Palatino"/>
          <w:color w:val="000000"/>
          <w:sz w:val="20"/>
          <w:szCs w:val="20"/>
        </w:rPr>
      </w:pPr>
      <w:r>
        <w:rPr>
          <w:rFonts w:ascii="Palatino" w:hAnsi="Palatino" w:cs="Palatino"/>
          <w:i/>
          <w:iCs/>
          <w:color w:val="000000"/>
          <w:sz w:val="20"/>
          <w:szCs w:val="20"/>
        </w:rPr>
        <w:t xml:space="preserve">61993 Part 2: Class A Ship-borne equipment of the Automatic Identification System (AIS) - Operational </w:t>
      </w:r>
    </w:p>
    <w:p w14:paraId="03E3A829" w14:textId="77777777" w:rsidR="00541A14" w:rsidRDefault="00A450E1">
      <w:pPr>
        <w:pStyle w:val="CM165"/>
        <w:spacing w:after="85" w:line="231" w:lineRule="atLeast"/>
        <w:ind w:left="180"/>
        <w:rPr>
          <w:rFonts w:ascii="Palatino" w:hAnsi="Palatino" w:cs="Palatino"/>
          <w:color w:val="000000"/>
          <w:sz w:val="20"/>
          <w:szCs w:val="20"/>
        </w:rPr>
      </w:pPr>
      <w:r>
        <w:rPr>
          <w:rFonts w:ascii="Palatino" w:hAnsi="Palatino" w:cs="Palatino"/>
          <w:i/>
          <w:iCs/>
          <w:color w:val="000000"/>
          <w:sz w:val="20"/>
          <w:szCs w:val="20"/>
        </w:rPr>
        <w:t xml:space="preserve">and Performance requirements, methods of testing and required test results. </w:t>
      </w:r>
    </w:p>
    <w:p w14:paraId="4FB6E6E3" w14:textId="77777777" w:rsidR="00541A14" w:rsidRDefault="00A450E1">
      <w:pPr>
        <w:pStyle w:val="CM115"/>
        <w:ind w:left="180"/>
        <w:rPr>
          <w:rFonts w:ascii="Palatino" w:hAnsi="Palatino" w:cs="Palatino"/>
          <w:color w:val="000000"/>
          <w:sz w:val="20"/>
          <w:szCs w:val="20"/>
        </w:rPr>
      </w:pPr>
      <w:r>
        <w:rPr>
          <w:rFonts w:ascii="Palatino" w:hAnsi="Palatino" w:cs="Palatino"/>
          <w:i/>
          <w:iCs/>
          <w:color w:val="000000"/>
          <w:sz w:val="20"/>
          <w:szCs w:val="20"/>
        </w:rPr>
        <w:t xml:space="preserve">61108-1 (2nd edition): navigation and radiocommunication equipment and systems – Global navigation </w:t>
      </w:r>
    </w:p>
    <w:p w14:paraId="36C482EF"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 xml:space="preserve">satellite systems (GNSS). 61162-1 (2nd edition) Maritime navigation and radiocommunication equipment and systems – Digital interfaces – Part 1: Single talker and multiple listeners. </w:t>
      </w:r>
    </w:p>
    <w:p w14:paraId="2BDFD6F4"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62320-1: Maritime Navigation and Radiocommunication equipment and systems – Automatic</w:t>
      </w:r>
    </w:p>
    <w:p w14:paraId="45461719"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 xml:space="preserve">Identification System. AIS base stations - Minimum operational and performance requirements - methods of </w:t>
      </w:r>
    </w:p>
    <w:p w14:paraId="2CF0E65C"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 xml:space="preserve">test and required test results. </w:t>
      </w:r>
    </w:p>
    <w:p w14:paraId="30C22DD1" w14:textId="77777777" w:rsidR="00541A14" w:rsidRDefault="00A450E1">
      <w:pPr>
        <w:pStyle w:val="CM114"/>
        <w:ind w:left="175"/>
        <w:rPr>
          <w:rFonts w:ascii="Palatino" w:hAnsi="Palatino" w:cs="Palatino"/>
          <w:color w:val="000000"/>
          <w:sz w:val="20"/>
          <w:szCs w:val="20"/>
        </w:rPr>
      </w:pPr>
      <w:r>
        <w:rPr>
          <w:rFonts w:ascii="Palatino" w:hAnsi="Palatino" w:cs="Palatino"/>
          <w:i/>
          <w:iCs/>
          <w:color w:val="000000"/>
          <w:sz w:val="20"/>
          <w:szCs w:val="20"/>
        </w:rPr>
        <w:t>62320-2 Maritime Navigation and Radiocommunication equipment and systems – Automatic Identification</w:t>
      </w:r>
    </w:p>
    <w:p w14:paraId="24646EF6" w14:textId="77777777" w:rsidR="00541A14" w:rsidRDefault="00A450E1">
      <w:pPr>
        <w:pStyle w:val="CM115"/>
        <w:ind w:left="180"/>
        <w:rPr>
          <w:rFonts w:ascii="Palatino" w:hAnsi="Palatino" w:cs="Palatino"/>
          <w:color w:val="000000"/>
          <w:sz w:val="20"/>
          <w:szCs w:val="20"/>
        </w:rPr>
      </w:pPr>
      <w:r>
        <w:rPr>
          <w:rFonts w:ascii="Palatino" w:hAnsi="Palatino" w:cs="Palatino"/>
          <w:i/>
          <w:iCs/>
          <w:color w:val="000000"/>
          <w:sz w:val="20"/>
          <w:szCs w:val="20"/>
        </w:rPr>
        <w:t xml:space="preserve">System. AIS aids to navigation - Minimum operational and performance requirements - methods of test and required test result. </w:t>
      </w:r>
    </w:p>
    <w:p w14:paraId="3C01AA82" w14:textId="77777777" w:rsidR="00541A14" w:rsidRDefault="00A450E1">
      <w:pPr>
        <w:pStyle w:val="CM191"/>
        <w:spacing w:after="825" w:line="258" w:lineRule="atLeast"/>
        <w:ind w:left="175"/>
        <w:rPr>
          <w:rFonts w:ascii="Palatino" w:hAnsi="Palatino" w:cs="Palatino"/>
          <w:color w:val="000000"/>
          <w:sz w:val="20"/>
          <w:szCs w:val="20"/>
        </w:rPr>
      </w:pPr>
      <w:r>
        <w:rPr>
          <w:rFonts w:ascii="Palatino" w:hAnsi="Palatino" w:cs="Palatino"/>
          <w:i/>
          <w:iCs/>
          <w:color w:val="000000"/>
          <w:sz w:val="20"/>
          <w:szCs w:val="20"/>
        </w:rPr>
        <w:t xml:space="preserve">62287-2 (Part A and B) Class B AIS (Part A – CSTDMA; Part B – SOTDMA) 61097-14 (pending) Global Maritime Distress and Safety System (GMDSS).  AIS search and rescue transmitter (AIS-SART) – Operational and performance requirements: methods of testing and required test results. </w:t>
      </w:r>
    </w:p>
    <w:p w14:paraId="26F72095"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71A9C86C" w14:textId="77777777" w:rsidR="00541A14" w:rsidRDefault="00A450E1">
      <w:pPr>
        <w:pStyle w:val="CM111"/>
        <w:ind w:left="9522"/>
        <w:rPr>
          <w:rFonts w:ascii="Palatino" w:hAnsi="Palatino" w:cs="Palatino"/>
          <w:color w:val="000000"/>
          <w:sz w:val="23"/>
          <w:szCs w:val="23"/>
        </w:rPr>
      </w:pPr>
      <w:r>
        <w:rPr>
          <w:rFonts w:ascii="Palatino" w:hAnsi="Palatino" w:cs="Palatino"/>
          <w:b/>
          <w:bCs/>
          <w:i/>
          <w:iCs/>
          <w:color w:val="000000"/>
          <w:sz w:val="23"/>
          <w:szCs w:val="23"/>
        </w:rPr>
        <w:t xml:space="preserve">107 </w:t>
      </w:r>
    </w:p>
    <w:p w14:paraId="197ABE57" w14:textId="77777777" w:rsidR="00541A14" w:rsidRDefault="00A450E1">
      <w:pPr>
        <w:pStyle w:val="CM178"/>
        <w:pageBreakBefore/>
        <w:spacing w:after="1397"/>
        <w:rPr>
          <w:rFonts w:ascii="Futura Book" w:hAnsi="Futura Book" w:cs="Futura Book"/>
          <w:color w:val="000000"/>
          <w:sz w:val="32"/>
          <w:szCs w:val="32"/>
        </w:rPr>
      </w:pPr>
      <w:r>
        <w:rPr>
          <w:rFonts w:ascii="Futura Book" w:hAnsi="Futura Book" w:cs="Futura Book"/>
          <w:b/>
          <w:bCs/>
          <w:color w:val="000000"/>
          <w:sz w:val="64"/>
          <w:szCs w:val="64"/>
        </w:rPr>
        <w:t xml:space="preserve">4 </w:t>
      </w:r>
      <w:r>
        <w:rPr>
          <w:rFonts w:ascii="Futura Book" w:hAnsi="Futura Book" w:cs="Futura Book"/>
          <w:b/>
          <w:bCs/>
          <w:color w:val="000000"/>
          <w:sz w:val="32"/>
          <w:szCs w:val="32"/>
        </w:rPr>
        <w:t xml:space="preserve">e-Navigation </w:t>
      </w:r>
    </w:p>
    <w:p w14:paraId="14E4C0B0"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4.27 IALA-NET </w:t>
      </w:r>
    </w:p>
    <w:p w14:paraId="26C0D271" w14:textId="77777777" w:rsidR="00541A14" w:rsidRDefault="00A450E1">
      <w:pPr>
        <w:pStyle w:val="CM172"/>
        <w:spacing w:after="202" w:line="286" w:lineRule="atLeast"/>
        <w:ind w:right="397" w:firstLine="47"/>
        <w:rPr>
          <w:rFonts w:ascii="Palatino" w:hAnsi="Palatino" w:cs="Palatino"/>
          <w:color w:val="000000"/>
          <w:sz w:val="20"/>
          <w:szCs w:val="20"/>
        </w:rPr>
      </w:pPr>
      <w:r>
        <w:rPr>
          <w:rFonts w:ascii="Palatino" w:hAnsi="Palatino" w:cs="Palatino"/>
          <w:color w:val="000000"/>
          <w:sz w:val="20"/>
          <w:szCs w:val="20"/>
        </w:rPr>
        <w:t xml:space="preserve">IALA-NET is a global government to government maritime data network being established by IALA. The network is multi-lateral, with freely shared data, and facilitates the exchange of maritime information between Competent Authorities. The content and capability of IALA-NET is envisaged to expand from the present AIS data up to and including e-Navigation data. It is the intent that IALA-NET facilitate the growth of value added services, such as global vessel tracking, risk analysis, marine incident analysis and near miss analysis, based upon the data it exchanges. </w:t>
      </w:r>
    </w:p>
    <w:p w14:paraId="4E55FCDC" w14:textId="77777777" w:rsidR="00541A14" w:rsidRDefault="00A450E1">
      <w:pPr>
        <w:pStyle w:val="CM87"/>
        <w:ind w:left="222"/>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53D26C85" w14:textId="77777777" w:rsidR="00541A14" w:rsidRDefault="009E3F25">
      <w:pPr>
        <w:pStyle w:val="CM173"/>
        <w:spacing w:after="340" w:line="296" w:lineRule="atLeast"/>
        <w:ind w:left="222"/>
        <w:rPr>
          <w:rFonts w:ascii="Palatino" w:hAnsi="Palatino" w:cs="Palatino"/>
          <w:color w:val="000000"/>
          <w:sz w:val="20"/>
          <w:szCs w:val="20"/>
        </w:rPr>
      </w:pPr>
      <w:hyperlink r:id="rId246" w:history="1">
        <w:r w:rsidR="00A450E1">
          <w:rPr>
            <w:rFonts w:ascii="Palatino" w:hAnsi="Palatino" w:cs="Palatino"/>
            <w:i/>
            <w:iCs/>
            <w:color w:val="000000"/>
            <w:sz w:val="20"/>
            <w:szCs w:val="20"/>
          </w:rPr>
          <w:t xml:space="preserve">IALA Recommendation E-142 on Maritime Data Sharing ‘IALA-NET’ </w:t>
        </w:r>
      </w:hyperlink>
    </w:p>
    <w:p w14:paraId="4A9A1A09"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4.28 Electronic Chart Display and Information System (ECDIS) </w:t>
      </w:r>
    </w:p>
    <w:p w14:paraId="14E59E7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Although ECDIS, as ship borne equipment, is not an “aid to navigation” as defined by IALA, </w:t>
      </w:r>
    </w:p>
    <w:p w14:paraId="47FC205B"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it deserves to be mentioned because it brings major changes to the manner in which vessels are navigated. ECDIS uses digital vector data in a way that replaces the traditional paper charts with a more versatile electronic product that can draw on a variety of positioning and data inputs, such as GNSS, DGNSS, AIS, radar, echo sounder, compass, an electronic chart, navigational publications, the chart amendments and tidal and meteorological information. </w:t>
      </w:r>
    </w:p>
    <w:p w14:paraId="2E720B97"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Performance Standards </w:t>
      </w:r>
    </w:p>
    <w:p w14:paraId="6833731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performance standards for ECDIS have been defined by the International Maritime Organization </w:t>
      </w:r>
    </w:p>
    <w:p w14:paraId="18D37EB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(IMO), in conjunction with the International Hydrographic Organization (IHO). </w:t>
      </w:r>
    </w:p>
    <w:p w14:paraId="04B11D4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IMO Resolution A.817(19) as amended by Resolution MSC.64(67) and by Resolution MSC.86(70) enables marine administrations to accept ECDIS as a legal equivalent to paper charts that are required to be carried for compliance with SOLAS Chapter V. </w:t>
      </w:r>
    </w:p>
    <w:p w14:paraId="19BC1A3C"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Performance Elements </w:t>
      </w:r>
    </w:p>
    <w:p w14:paraId="60473E8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There are two key performance elements to ECDIS: </w:t>
      </w:r>
    </w:p>
    <w:p w14:paraId="28375707" w14:textId="77777777" w:rsidR="00541A14" w:rsidRDefault="00A450E1">
      <w:pPr>
        <w:pStyle w:val="Default"/>
        <w:numPr>
          <w:ilvl w:val="0"/>
          <w:numId w:val="109"/>
        </w:numPr>
        <w:rPr>
          <w:rFonts w:ascii="Palatino" w:hAnsi="Palatino" w:cs="Palatino"/>
          <w:sz w:val="20"/>
          <w:szCs w:val="20"/>
        </w:rPr>
      </w:pPr>
      <w:r>
        <w:rPr>
          <w:rFonts w:ascii="Palatino" w:hAnsi="Palatino" w:cs="Palatino"/>
          <w:sz w:val="20"/>
          <w:szCs w:val="20"/>
        </w:rPr>
        <w:t xml:space="preserve">an approved processing system (or ‘box’): and </w:t>
      </w:r>
    </w:p>
    <w:p w14:paraId="6E127D09" w14:textId="77777777" w:rsidR="00541A14" w:rsidRDefault="00A450E1">
      <w:pPr>
        <w:pStyle w:val="Default"/>
        <w:numPr>
          <w:ilvl w:val="0"/>
          <w:numId w:val="109"/>
        </w:numPr>
        <w:rPr>
          <w:rFonts w:ascii="Palatino" w:hAnsi="Palatino" w:cs="Palatino"/>
          <w:sz w:val="20"/>
          <w:szCs w:val="20"/>
        </w:rPr>
      </w:pPr>
      <w:r>
        <w:rPr>
          <w:rFonts w:ascii="Palatino" w:hAnsi="Palatino" w:cs="Palatino"/>
          <w:sz w:val="20"/>
          <w:szCs w:val="20"/>
        </w:rPr>
        <w:t xml:space="preserve">Electronic Navigational Charts (ENCs) that have been prescribed by a national hydrographic office </w:t>
      </w:r>
    </w:p>
    <w:p w14:paraId="5653A5C6" w14:textId="77777777" w:rsidR="00541A14" w:rsidRDefault="00541A14">
      <w:pPr>
        <w:pStyle w:val="Default"/>
        <w:rPr>
          <w:rFonts w:ascii="Palatino" w:hAnsi="Palatino" w:cs="Palatino"/>
          <w:sz w:val="20"/>
          <w:szCs w:val="20"/>
        </w:rPr>
      </w:pPr>
    </w:p>
    <w:p w14:paraId="620B7F29" w14:textId="77777777" w:rsidR="00541A14" w:rsidRDefault="00A450E1">
      <w:pPr>
        <w:pStyle w:val="CM165"/>
        <w:spacing w:after="85" w:line="296" w:lineRule="atLeast"/>
        <w:jc w:val="center"/>
        <w:rPr>
          <w:rFonts w:ascii="Palatino" w:hAnsi="Palatino" w:cs="Palatino"/>
          <w:color w:val="000000"/>
          <w:sz w:val="20"/>
          <w:szCs w:val="20"/>
        </w:rPr>
      </w:pPr>
      <w:r>
        <w:rPr>
          <w:rFonts w:ascii="Palatino" w:hAnsi="Palatino" w:cs="Palatino"/>
          <w:color w:val="000000"/>
          <w:sz w:val="20"/>
          <w:szCs w:val="20"/>
        </w:rPr>
        <w:t xml:space="preserve">and meet the standards set down in the 3rd Edition of the IHO Special publication No.57 (S 57). </w:t>
      </w:r>
    </w:p>
    <w:p w14:paraId="6E1A26C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While an ECDIS ‘box’ may be capable of reading other forms of electronic charts, it ceases to be a </w:t>
      </w:r>
    </w:p>
    <w:p w14:paraId="7C4D924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compliant system without the official ENCs. </w:t>
      </w:r>
    </w:p>
    <w:p w14:paraId="46F28C3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Non-S57 electronic charts include: </w:t>
      </w:r>
    </w:p>
    <w:p w14:paraId="61FAA1CD" w14:textId="77777777" w:rsidR="00541A14" w:rsidRDefault="00A450E1">
      <w:pPr>
        <w:pStyle w:val="Default"/>
        <w:numPr>
          <w:ilvl w:val="0"/>
          <w:numId w:val="110"/>
        </w:numPr>
        <w:rPr>
          <w:rFonts w:ascii="Palatino" w:hAnsi="Palatino" w:cs="Palatino"/>
          <w:sz w:val="20"/>
          <w:szCs w:val="20"/>
        </w:rPr>
      </w:pPr>
      <w:r>
        <w:rPr>
          <w:rFonts w:ascii="Palatino" w:hAnsi="Palatino" w:cs="Palatino"/>
          <w:sz w:val="20"/>
          <w:szCs w:val="20"/>
        </w:rPr>
        <w:t xml:space="preserve">Raster Navigation Charts (RNC) that are effectively electronic copies of paper charts; and </w:t>
      </w:r>
    </w:p>
    <w:p w14:paraId="671E24AA" w14:textId="77777777" w:rsidR="00541A14" w:rsidRDefault="00A450E1">
      <w:pPr>
        <w:pStyle w:val="Default"/>
        <w:numPr>
          <w:ilvl w:val="0"/>
          <w:numId w:val="110"/>
        </w:numPr>
        <w:rPr>
          <w:rFonts w:ascii="Palatino" w:hAnsi="Palatino" w:cs="Palatino"/>
          <w:sz w:val="20"/>
          <w:szCs w:val="20"/>
        </w:rPr>
      </w:pPr>
      <w:r>
        <w:rPr>
          <w:rFonts w:ascii="Palatino" w:hAnsi="Palatino" w:cs="Palatino"/>
          <w:sz w:val="20"/>
          <w:szCs w:val="20"/>
        </w:rPr>
        <w:t xml:space="preserve">electronic charts that are not issued by a national hydrographic authority or differ from the S57 </w:t>
      </w:r>
    </w:p>
    <w:p w14:paraId="0A717CE1" w14:textId="77777777" w:rsidR="00541A14" w:rsidRDefault="00541A14">
      <w:pPr>
        <w:pStyle w:val="Default"/>
        <w:rPr>
          <w:rFonts w:ascii="Palatino" w:hAnsi="Palatino" w:cs="Palatino"/>
          <w:sz w:val="20"/>
          <w:szCs w:val="20"/>
        </w:rPr>
      </w:pPr>
    </w:p>
    <w:p w14:paraId="3ED08587"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standard. </w:t>
      </w:r>
    </w:p>
    <w:p w14:paraId="609F51F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When the relevant chart information is not available in the appropriate form (issued by a national </w:t>
      </w:r>
    </w:p>
    <w:p w14:paraId="5B17C32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hydrographic office and meeting the S57 standards) some ECDIS equipment may operate in the Raster </w:t>
      </w:r>
    </w:p>
    <w:p w14:paraId="39A75E6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Chart Display System mode, but in that case the ECDIS equipment should be used together with an appropriate portfolio of up-to-date paper charts. Additional information on ECDIS is available on the IMO and IHO websites. </w:t>
      </w:r>
    </w:p>
    <w:p w14:paraId="64DD731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IHO is developing the S-100 IHO Universal Hydrographic Data Model standard. S-100 can support a wide variety of hydrographic-related digital data sources, and is fully aligned with mainstream international geospatial standards, thereby enabling the easier integration of hydrographic data and applications into geospatial solutions. S-100 will eventually replace S-57. S-100 enables the development of new applications that go beyond the scope of traditional hydrography - for example, high-density </w:t>
      </w:r>
    </w:p>
    <w:p w14:paraId="1E94A20E" w14:textId="77777777" w:rsidR="00541A14" w:rsidRDefault="00DD420F">
      <w:pPr>
        <w:pStyle w:val="Default"/>
        <w:framePr w:w="12709" w:wrap="auto" w:vAnchor="page" w:hAnchor="page" w:x="101" w:y="15067"/>
        <w:rPr>
          <w:rFonts w:ascii="Palatino" w:hAnsi="Palatino" w:cs="Palatino"/>
          <w:sz w:val="20"/>
          <w:szCs w:val="20"/>
        </w:rPr>
      </w:pPr>
      <w:r>
        <w:rPr>
          <w:rFonts w:ascii="Palatino" w:hAnsi="Palatino" w:cs="Palatino"/>
          <w:noProof/>
          <w:sz w:val="20"/>
          <w:szCs w:val="20"/>
        </w:rPr>
        <w:drawing>
          <wp:inline distT="0" distB="0" distL="0" distR="0" wp14:anchorId="6CCC5AA4" wp14:editId="76BE39F0">
            <wp:extent cx="7553960" cy="420370"/>
            <wp:effectExtent l="0" t="0" r="0" b="1143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4719BA1E" w14:textId="77777777" w:rsidR="00541A14" w:rsidRDefault="00DD420F">
      <w:pPr>
        <w:pStyle w:val="Default"/>
        <w:pageBreakBefore/>
        <w:framePr w:w="12865" w:wrap="auto" w:vAnchor="page" w:hAnchor="page" w:x="101" w:y="1"/>
        <w:spacing w:after="820"/>
        <w:rPr>
          <w:rFonts w:ascii="Palatino" w:hAnsi="Palatino" w:cs="Palatino"/>
          <w:sz w:val="20"/>
          <w:szCs w:val="20"/>
        </w:rPr>
      </w:pPr>
      <w:r>
        <w:rPr>
          <w:rFonts w:ascii="Palatino" w:hAnsi="Palatino" w:cs="Palatino"/>
          <w:noProof/>
          <w:sz w:val="20"/>
          <w:szCs w:val="20"/>
        </w:rPr>
        <w:drawing>
          <wp:inline distT="0" distB="0" distL="0" distR="0" wp14:anchorId="7AC1AFD5" wp14:editId="73838420">
            <wp:extent cx="7553960" cy="1056640"/>
            <wp:effectExtent l="0" t="0" r="0" b="1016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4105F23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bathymetry, seafloor classification, marine GIS, etc. The S-100 development and maintenance process is specifically aimed at allowing direct input from non-IHO stakeholders, thereby increasing the likelihood </w:t>
      </w:r>
    </w:p>
    <w:p w14:paraId="1C2A9967" w14:textId="77777777" w:rsidR="00541A14" w:rsidRDefault="00A450E1">
      <w:pPr>
        <w:pStyle w:val="CM173"/>
        <w:spacing w:after="340" w:line="296" w:lineRule="atLeast"/>
        <w:ind w:right="402"/>
        <w:rPr>
          <w:rFonts w:ascii="Palatino" w:hAnsi="Palatino" w:cs="Palatino"/>
          <w:color w:val="000000"/>
          <w:sz w:val="20"/>
          <w:szCs w:val="20"/>
        </w:rPr>
      </w:pPr>
      <w:r>
        <w:rPr>
          <w:rFonts w:ascii="Palatino" w:hAnsi="Palatino" w:cs="Palatino"/>
          <w:color w:val="000000"/>
          <w:sz w:val="20"/>
          <w:szCs w:val="20"/>
        </w:rPr>
        <w:t xml:space="preserve">that these potential users will maximise their use of hydrographic data for their particular purposes. This approach will potentially enable S-100 to become an important tool in the development and implementation of e-Navigation. </w:t>
      </w:r>
    </w:p>
    <w:p w14:paraId="294BC156"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4.29 Maritime Information </w:t>
      </w:r>
    </w:p>
    <w:p w14:paraId="5A44CD9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timely provision and display of maritime information will be an essential component of e-Navigation. Generically called Marine Information Overlays (MIOs), this includes both static and dynamic information capable of being used ashore (e.g., at a VTS Centre) and onboard ships at sea.  Static information could pertain to marine protected areas, sea ice coverage, emergency management/ </w:t>
      </w:r>
    </w:p>
    <w:p w14:paraId="1C8F1EE7"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 xml:space="preserve">response areas, and seafloor bathymetry.  Dynamic operational information would be broadcast via AIS binary messages as time-critical information regarding ship/voyage data, marine traffic signals, </w:t>
      </w:r>
    </w:p>
    <w:p w14:paraId="39A1349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area notices, dangerous cargo, environmental, meteorological, hydrographic, and status of AtoN.  In particular, mariners require this type information pertaining to the planning and execution of voyages, the assessment of navigation risk and compliance with regulation. The provision and use of MIOs will depend on the current situation and task-at-hand. </w:t>
      </w:r>
    </w:p>
    <w:p w14:paraId="786C9425"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At the 54th session of the IMO Safety of Navigation Subcommittee (July 2008) it was recommended that there be Common Maritime Information/Data Structure that would be accessible from a single integrated system. Shore users require information pertaining to their maritime domain, including static and dynamic information on vessels and their voyages. Ideally, this information should be provided in “an internationally agreed common data structure.  Such a data structure is essential for the sharing of information amongst shore authorities on a regional and international basis.”  </w:t>
      </w:r>
    </w:p>
    <w:p w14:paraId="787C4E38" w14:textId="77777777" w:rsidR="00541A14" w:rsidRDefault="00A450E1">
      <w:pPr>
        <w:pStyle w:val="CM26"/>
        <w:ind w:right="177"/>
        <w:rPr>
          <w:rFonts w:ascii="Palatino" w:hAnsi="Palatino" w:cs="Palatino"/>
          <w:color w:val="000000"/>
          <w:sz w:val="20"/>
          <w:szCs w:val="20"/>
        </w:rPr>
      </w:pPr>
      <w:r>
        <w:rPr>
          <w:rFonts w:ascii="Palatino" w:hAnsi="Palatino" w:cs="Palatino"/>
          <w:color w:val="000000"/>
          <w:sz w:val="20"/>
          <w:szCs w:val="20"/>
        </w:rPr>
        <w:t xml:space="preserve">At present, there is no specific guidance or standards related to the presentation/display of MIOs on shore-based equipment or systems.  However, there are a number of general and equipment-specific </w:t>
      </w:r>
    </w:p>
    <w:p w14:paraId="53D1A112"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international standards that have been adopted by IMO, IHO, and IEC that contain “guidance” related to the presentation/display of various types of shipborne navigation-related information.  This is something that will need to be part of e-Navigation development and implementation. </w:t>
      </w:r>
    </w:p>
    <w:p w14:paraId="2C1D0A94"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4.30 AtoN Attribute Information </w:t>
      </w:r>
    </w:p>
    <w:p w14:paraId="712B9DD7"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 exchange of information about AtoN between any parties in a digital environment will require an internationally agreed standard so that information can be automatically compiled for sending and automatically understood by systems that receive it. </w:t>
      </w:r>
    </w:p>
    <w:p w14:paraId="31532549"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Such a standard will enable harmonisation of the management of information about AtoN, and in particular information that is relevant to mariners: “situation normal” data (position, colour, shapes, light etc) and also “situation abnormal” (lost top mark, light on reduced range, unlit etc).  In GIS terms this sort of information can be described as attribute data (information particular to a GIS object, such as an AtoN) and metadata (data about the attribute data). </w:t>
      </w:r>
    </w:p>
    <w:p w14:paraId="5DCA35D0" w14:textId="77777777" w:rsidR="00541A14" w:rsidRDefault="00A450E1">
      <w:pPr>
        <w:pStyle w:val="CM87"/>
        <w:ind w:left="222"/>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317F53AA" w14:textId="77777777" w:rsidR="00541A14" w:rsidRDefault="009E3F25">
      <w:pPr>
        <w:pStyle w:val="CM199"/>
        <w:spacing w:after="955" w:line="296" w:lineRule="atLeast"/>
        <w:ind w:left="222"/>
        <w:rPr>
          <w:rFonts w:ascii="Palatino" w:hAnsi="Palatino" w:cs="Palatino"/>
          <w:color w:val="000000"/>
          <w:sz w:val="20"/>
          <w:szCs w:val="20"/>
        </w:rPr>
      </w:pPr>
      <w:hyperlink r:id="rId248" w:history="1">
        <w:r w:rsidR="00A450E1">
          <w:rPr>
            <w:rFonts w:ascii="Palatino" w:hAnsi="Palatino" w:cs="Palatino"/>
            <w:i/>
            <w:iCs/>
            <w:color w:val="000000"/>
            <w:sz w:val="20"/>
            <w:szCs w:val="20"/>
          </w:rPr>
          <w:t xml:space="preserve">IALA Guideline No. 1072 On AtoN Information Exchange &amp; Presentation .’ </w:t>
        </w:r>
      </w:hyperlink>
    </w:p>
    <w:p w14:paraId="7CB97832" w14:textId="77777777" w:rsidR="00541A14" w:rsidRDefault="00A450E1">
      <w:pPr>
        <w:pStyle w:val="CM12"/>
        <w:jc w:val="both"/>
        <w:rPr>
          <w:rFonts w:ascii="Palatino" w:hAnsi="Palatino" w:cs="Palatino"/>
          <w:color w:val="000000"/>
          <w:sz w:val="20"/>
          <w:szCs w:val="20"/>
        </w:rPr>
      </w:pPr>
      <w:r>
        <w:rPr>
          <w:rFonts w:ascii="Palatino" w:hAnsi="Palatino" w:cs="Palatino"/>
          <w:i/>
          <w:iCs/>
          <w:color w:val="000000"/>
          <w:sz w:val="20"/>
          <w:szCs w:val="20"/>
        </w:rPr>
        <w:t xml:space="preserve">NAVGUIDE 2010 </w:t>
      </w:r>
    </w:p>
    <w:p w14:paraId="72451564" w14:textId="77777777" w:rsidR="00541A14" w:rsidRDefault="00A450E1">
      <w:pPr>
        <w:pStyle w:val="CM111"/>
        <w:ind w:left="9522"/>
        <w:rPr>
          <w:rFonts w:ascii="Palatino" w:hAnsi="Palatino" w:cs="Palatino"/>
          <w:color w:val="000000"/>
          <w:sz w:val="23"/>
          <w:szCs w:val="23"/>
        </w:rPr>
      </w:pPr>
      <w:r>
        <w:rPr>
          <w:rFonts w:ascii="Palatino" w:hAnsi="Palatino" w:cs="Palatino"/>
          <w:b/>
          <w:bCs/>
          <w:i/>
          <w:iCs/>
          <w:color w:val="000000"/>
          <w:sz w:val="23"/>
          <w:szCs w:val="23"/>
        </w:rPr>
        <w:t xml:space="preserve">109 </w:t>
      </w:r>
    </w:p>
    <w:p w14:paraId="5F5287A6" w14:textId="77777777" w:rsidR="00541A14" w:rsidRDefault="00A450E1">
      <w:pPr>
        <w:pStyle w:val="CM170"/>
        <w:pageBreakBefore/>
        <w:spacing w:after="887"/>
        <w:ind w:left="242"/>
        <w:rPr>
          <w:rFonts w:ascii="Futura Book" w:hAnsi="Futura Book" w:cs="Futura Book"/>
          <w:color w:val="000000"/>
          <w:sz w:val="32"/>
          <w:szCs w:val="32"/>
        </w:rPr>
      </w:pPr>
      <w:r>
        <w:rPr>
          <w:rFonts w:ascii="Futura Book" w:hAnsi="Futura Book" w:cs="Futura Book"/>
          <w:b/>
          <w:bCs/>
          <w:color w:val="000000"/>
          <w:sz w:val="32"/>
          <w:szCs w:val="32"/>
        </w:rPr>
        <w:t xml:space="preserve">e-Navigation </w:t>
      </w:r>
    </w:p>
    <w:p w14:paraId="7C2AE1EA" w14:textId="77777777" w:rsidR="00541A14" w:rsidRDefault="00DD420F">
      <w:pPr>
        <w:pStyle w:val="Default"/>
        <w:framePr w:w="7261" w:wrap="auto" w:vAnchor="page" w:hAnchor="page" w:x="5464" w:y="1"/>
        <w:spacing w:after="800"/>
        <w:rPr>
          <w:rFonts w:ascii="Futura Book" w:hAnsi="Futura Book" w:cs="Futura Book"/>
          <w:sz w:val="32"/>
          <w:szCs w:val="32"/>
        </w:rPr>
      </w:pPr>
      <w:r>
        <w:rPr>
          <w:rFonts w:ascii="Futura Book" w:hAnsi="Futura Book" w:cs="Futura Book"/>
          <w:noProof/>
          <w:sz w:val="32"/>
          <w:szCs w:val="32"/>
        </w:rPr>
        <w:drawing>
          <wp:inline distT="0" distB="0" distL="0" distR="0" wp14:anchorId="1770A24F" wp14:editId="570F6CB7">
            <wp:extent cx="4089400" cy="106743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089400" cy="1067435"/>
                    </a:xfrm>
                    <a:prstGeom prst="rect">
                      <a:avLst/>
                    </a:prstGeom>
                    <a:noFill/>
                    <a:ln>
                      <a:noFill/>
                    </a:ln>
                  </pic:spPr>
                </pic:pic>
              </a:graphicData>
            </a:graphic>
          </wp:inline>
        </w:drawing>
      </w:r>
    </w:p>
    <w:p w14:paraId="1429BC75" w14:textId="77777777" w:rsidR="00541A14" w:rsidRDefault="00A450E1">
      <w:pPr>
        <w:pStyle w:val="CM172"/>
        <w:spacing w:after="202"/>
        <w:rPr>
          <w:rFonts w:ascii="Futura Book" w:hAnsi="Futura Book" w:cs="Futura Book"/>
          <w:color w:val="2C5062"/>
          <w:sz w:val="28"/>
          <w:szCs w:val="28"/>
        </w:rPr>
      </w:pPr>
      <w:r>
        <w:rPr>
          <w:rFonts w:ascii="Futura Book" w:hAnsi="Futura Book" w:cs="Futura Book"/>
          <w:b/>
          <w:bCs/>
          <w:color w:val="2C5062"/>
          <w:sz w:val="28"/>
          <w:szCs w:val="28"/>
        </w:rPr>
        <w:t xml:space="preserve">4.31 Meteorological and Hydrological Information </w:t>
      </w:r>
    </w:p>
    <w:p w14:paraId="202F7E17"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IMO is responsible for the AIS Binary Broadcast Messages (AIS Message 8) and a message structure </w:t>
      </w:r>
    </w:p>
    <w:p w14:paraId="59050AED"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has been defined for meteorological and hydrological information. </w:t>
      </w:r>
    </w:p>
    <w:p w14:paraId="3181066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 number of countries operate tide gauges and current meters to assist the prediction of tidal heights and streams or for the broadcast of real-time information to shipping.  The latter is generally used to overcome the sometimes considerable differences between actual tide heights and predicted values </w:t>
      </w:r>
    </w:p>
    <w:p w14:paraId="3DDEA0B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due to meteorological and mean sea level fluctuations. Providing real-time information of this type, </w:t>
      </w:r>
    </w:p>
    <w:p w14:paraId="20C942E9" w14:textId="77777777" w:rsidR="00541A14" w:rsidRDefault="00A450E1">
      <w:pPr>
        <w:pStyle w:val="CM172"/>
        <w:spacing w:after="202" w:line="293" w:lineRule="atLeast"/>
        <w:ind w:right="245"/>
        <w:rPr>
          <w:rFonts w:ascii="Palatino" w:hAnsi="Palatino" w:cs="Palatino"/>
          <w:color w:val="000000"/>
          <w:sz w:val="20"/>
          <w:szCs w:val="20"/>
        </w:rPr>
      </w:pPr>
      <w:r>
        <w:rPr>
          <w:rFonts w:ascii="Palatino" w:hAnsi="Palatino" w:cs="Palatino"/>
          <w:color w:val="000000"/>
          <w:sz w:val="20"/>
          <w:szCs w:val="20"/>
        </w:rPr>
        <w:t xml:space="preserve">for example dynamic under-keel clearance, wave heights or sea state can be seen as applications of e-Navigation, requiring integration between shore-side and ship-borne systems. </w:t>
      </w:r>
    </w:p>
    <w:p w14:paraId="6418ACB9"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4.32 Intergovernmental Oceanographic Commission </w:t>
      </w:r>
    </w:p>
    <w:p w14:paraId="21A72B5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Intergovernmental Oceanographic Commission (IOC) is responsible for co-ordinating the Global Sea Level Observing System (GLOSS) program to establish global and regional networks of sea level stations for providing essential information for international oceanographic research programmes, including those dedicated to the study of aspects of climate change, and operational oceanography.  The main component of GLOSS is a network of 287 sea level stations worldwide (referred to as the ‘Global Core Network’). </w:t>
      </w:r>
    </w:p>
    <w:p w14:paraId="2537A026" w14:textId="77777777" w:rsidR="00541A14" w:rsidRDefault="00A450E1">
      <w:pPr>
        <w:pStyle w:val="CM165"/>
        <w:spacing w:after="85" w:line="320" w:lineRule="atLeast"/>
        <w:rPr>
          <w:rFonts w:ascii="Palatino" w:hAnsi="Palatino" w:cs="Palatino"/>
          <w:color w:val="000000"/>
          <w:sz w:val="20"/>
          <w:szCs w:val="20"/>
        </w:rPr>
      </w:pPr>
      <w:r>
        <w:rPr>
          <w:rFonts w:ascii="Palatino" w:hAnsi="Palatino" w:cs="Palatino"/>
          <w:color w:val="000000"/>
          <w:sz w:val="20"/>
          <w:szCs w:val="20"/>
        </w:rPr>
        <w:t xml:space="preserve">IALA supports and encourages participation in the GLOSS program. Authorities that are procuring or upgrading Sea Level Measurement devices are encouraged to consider using equipment that can support the requirements of the GLOSS program.  Typically this calls for gauges capable of measuring to centimetre (1 cm.) accuracy in all weather (especially wave) conditions and for the free exchange of hourly sea level data with an International Sea Level Centre. </w:t>
      </w:r>
    </w:p>
    <w:p w14:paraId="620793F7" w14:textId="77777777" w:rsidR="00541A14" w:rsidRDefault="00A450E1">
      <w:pPr>
        <w:pStyle w:val="CM2"/>
        <w:spacing w:after="6157"/>
        <w:ind w:right="107"/>
        <w:rPr>
          <w:rFonts w:ascii="Palatino" w:hAnsi="Palatino" w:cs="Palatino"/>
          <w:color w:val="000000"/>
          <w:sz w:val="20"/>
          <w:szCs w:val="20"/>
        </w:rPr>
      </w:pPr>
      <w:r>
        <w:rPr>
          <w:rFonts w:ascii="Palatino" w:hAnsi="Palatino" w:cs="Palatino"/>
          <w:color w:val="000000"/>
          <w:sz w:val="20"/>
          <w:szCs w:val="20"/>
        </w:rPr>
        <w:t xml:space="preserve">Information on the GLOSS Programme can be found at: </w:t>
      </w:r>
      <w:hyperlink r:id="rId250" w:history="1">
        <w:r>
          <w:rPr>
            <w:rFonts w:ascii="Palatino" w:hAnsi="Palatino" w:cs="Palatino"/>
            <w:color w:val="000000"/>
            <w:sz w:val="20"/>
            <w:szCs w:val="20"/>
          </w:rPr>
          <w:t xml:space="preserve">www.pol.ac.uk/psmsl/programmes/gloss. </w:t>
        </w:r>
      </w:hyperlink>
      <w:hyperlink r:id="rId251" w:history="1">
        <w:r>
          <w:rPr>
            <w:rFonts w:ascii="Palatino" w:hAnsi="Palatino" w:cs="Palatino"/>
            <w:color w:val="000000"/>
            <w:sz w:val="20"/>
            <w:szCs w:val="20"/>
          </w:rPr>
          <w:t xml:space="preserve">info.html </w:t>
        </w:r>
      </w:hyperlink>
    </w:p>
    <w:p w14:paraId="57C4537B" w14:textId="77777777" w:rsidR="00541A14" w:rsidRDefault="00A450E1">
      <w:pPr>
        <w:pStyle w:val="CM100"/>
        <w:ind w:left="8357"/>
        <w:rPr>
          <w:rFonts w:ascii="Palatino" w:hAnsi="Palatino" w:cs="Palatino"/>
          <w:color w:val="000000"/>
          <w:sz w:val="20"/>
          <w:szCs w:val="20"/>
        </w:rPr>
      </w:pPr>
      <w:r>
        <w:rPr>
          <w:rFonts w:ascii="Palatino" w:hAnsi="Palatino" w:cs="Palatino"/>
          <w:i/>
          <w:iCs/>
          <w:color w:val="000000"/>
          <w:sz w:val="20"/>
          <w:szCs w:val="20"/>
        </w:rPr>
        <w:t xml:space="preserve">NAVGUIDE 2010 </w:t>
      </w:r>
    </w:p>
    <w:p w14:paraId="21C36CFA" w14:textId="77777777" w:rsidR="00541A14" w:rsidRDefault="00DD420F">
      <w:pPr>
        <w:pStyle w:val="Default"/>
        <w:pageBreakBefore/>
        <w:framePr w:w="12724" w:wrap="auto" w:vAnchor="page" w:hAnchor="page" w:x="101" w:y="15039"/>
        <w:rPr>
          <w:rFonts w:ascii="Palatino" w:hAnsi="Palatino" w:cs="Palatino"/>
          <w:sz w:val="20"/>
          <w:szCs w:val="20"/>
        </w:rPr>
      </w:pPr>
      <w:r>
        <w:rPr>
          <w:rFonts w:ascii="Palatino" w:hAnsi="Palatino" w:cs="Palatino"/>
          <w:noProof/>
          <w:sz w:val="20"/>
          <w:szCs w:val="20"/>
        </w:rPr>
        <w:drawing>
          <wp:inline distT="0" distB="0" distL="0" distR="0" wp14:anchorId="05CA9548" wp14:editId="47CD94BE">
            <wp:extent cx="7553960" cy="1069467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7553960" cy="10694670"/>
                    </a:xfrm>
                    <a:prstGeom prst="rect">
                      <a:avLst/>
                    </a:prstGeom>
                    <a:noFill/>
                    <a:ln>
                      <a:noFill/>
                    </a:ln>
                  </pic:spPr>
                </pic:pic>
              </a:graphicData>
            </a:graphic>
          </wp:inline>
        </w:drawing>
      </w:r>
    </w:p>
    <w:p w14:paraId="61387DBF" w14:textId="77777777" w:rsidR="00541A14" w:rsidRDefault="00DD420F">
      <w:pPr>
        <w:pStyle w:val="Default"/>
        <w:pageBreakBefore/>
        <w:framePr w:w="12724" w:wrap="auto" w:vAnchor="page" w:hAnchor="page" w:x="101" w:y="1"/>
        <w:spacing w:after="640"/>
        <w:rPr>
          <w:rFonts w:ascii="Palatino" w:hAnsi="Palatino" w:cs="Palatino"/>
          <w:sz w:val="20"/>
          <w:szCs w:val="20"/>
        </w:rPr>
      </w:pPr>
      <w:r>
        <w:rPr>
          <w:rFonts w:ascii="Palatino" w:hAnsi="Palatino" w:cs="Palatino"/>
          <w:noProof/>
          <w:sz w:val="20"/>
          <w:szCs w:val="20"/>
        </w:rPr>
        <w:drawing>
          <wp:inline distT="0" distB="0" distL="0" distR="0" wp14:anchorId="34D00F98" wp14:editId="2CF31A81">
            <wp:extent cx="7553960" cy="102806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7553960" cy="1028065"/>
                    </a:xfrm>
                    <a:prstGeom prst="rect">
                      <a:avLst/>
                    </a:prstGeom>
                    <a:noFill/>
                    <a:ln>
                      <a:noFill/>
                    </a:ln>
                  </pic:spPr>
                </pic:pic>
              </a:graphicData>
            </a:graphic>
          </wp:inline>
        </w:drawing>
      </w:r>
    </w:p>
    <w:p w14:paraId="4F3CFACD"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5.3 VTS System </w:t>
      </w:r>
    </w:p>
    <w:p w14:paraId="716E725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To respond to developing traffic situations and to decide upon appropriate actions, a VTS should be capable of generating a comprehensive overview of the traffic in its service area combined with all traffic influencing factors. Examples of data that should be collected to compile the traffic image </w:t>
      </w:r>
    </w:p>
    <w:p w14:paraId="3524AA8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include: </w:t>
      </w:r>
    </w:p>
    <w:p w14:paraId="5AAFB95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data on the fairway situation, such as meteorological and hydrological conditions and the </w:t>
      </w:r>
    </w:p>
    <w:p w14:paraId="226526F4"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operational status of aids to navigation; </w:t>
      </w:r>
    </w:p>
    <w:p w14:paraId="1D941FE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data on the traffic situation, such as vessel positions, movements, identities and intentions with </w:t>
      </w:r>
    </w:p>
    <w:p w14:paraId="5698C2C6"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respect to manoeuvres, destination and routing; </w:t>
      </w:r>
    </w:p>
    <w:p w14:paraId="3D75085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data on vessels in accordance with the requirements of ship reporting and any additional data </w:t>
      </w:r>
    </w:p>
    <w:p w14:paraId="4DCCAB7F"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required for the effective operation of the VTS. </w:t>
      </w:r>
    </w:p>
    <w:p w14:paraId="3FDBF716" w14:textId="77777777" w:rsidR="00541A14" w:rsidRDefault="00A450E1">
      <w:pPr>
        <w:pStyle w:val="CM172"/>
        <w:spacing w:after="202" w:line="293" w:lineRule="atLeast"/>
        <w:ind w:right="570"/>
        <w:rPr>
          <w:rFonts w:ascii="Palatino" w:hAnsi="Palatino" w:cs="Palatino"/>
          <w:color w:val="000000"/>
          <w:sz w:val="20"/>
          <w:szCs w:val="20"/>
        </w:rPr>
      </w:pPr>
      <w:r>
        <w:rPr>
          <w:rFonts w:ascii="Palatino" w:hAnsi="Palatino" w:cs="Palatino"/>
          <w:color w:val="000000"/>
          <w:sz w:val="20"/>
          <w:szCs w:val="20"/>
        </w:rPr>
        <w:t xml:space="preserve">The traffic image provides situational awareness and facilitates the VTS operator to evaluate conditions and make decisions accordingly.  The information presented in the traffic image is communicated to participating vessels through the VTS capability to interact with traffic. </w:t>
      </w:r>
    </w:p>
    <w:p w14:paraId="74A2D98F"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26814999" w14:textId="77777777" w:rsidR="00541A14" w:rsidRDefault="00A450E1">
      <w:pPr>
        <w:pStyle w:val="CM18"/>
        <w:ind w:left="300"/>
        <w:rPr>
          <w:rFonts w:ascii="Palatino" w:hAnsi="Palatino" w:cs="Palatino"/>
          <w:color w:val="000000"/>
          <w:sz w:val="20"/>
          <w:szCs w:val="20"/>
        </w:rPr>
      </w:pPr>
      <w:r>
        <w:rPr>
          <w:rFonts w:ascii="Palatino" w:hAnsi="Palatino" w:cs="Palatino"/>
          <w:b/>
          <w:bCs/>
          <w:i/>
          <w:iCs/>
          <w:color w:val="000000"/>
          <w:sz w:val="20"/>
          <w:szCs w:val="20"/>
        </w:rPr>
        <w:t xml:space="preserve">Recommendations </w:t>
      </w:r>
    </w:p>
    <w:p w14:paraId="48F135CB" w14:textId="77777777" w:rsidR="00541A14" w:rsidRDefault="009E3F25">
      <w:pPr>
        <w:pStyle w:val="CM18"/>
        <w:ind w:left="300"/>
        <w:rPr>
          <w:rFonts w:ascii="Palatino" w:hAnsi="Palatino" w:cs="Palatino"/>
          <w:color w:val="000000"/>
          <w:sz w:val="20"/>
          <w:szCs w:val="20"/>
        </w:rPr>
      </w:pPr>
      <w:hyperlink r:id="rId254" w:history="1">
        <w:r w:rsidR="00A450E1">
          <w:rPr>
            <w:rFonts w:ascii="Palatino" w:hAnsi="Palatino" w:cs="Palatino"/>
            <w:i/>
            <w:iCs/>
            <w:color w:val="000000"/>
            <w:sz w:val="20"/>
            <w:szCs w:val="20"/>
          </w:rPr>
          <w:t xml:space="preserve">V-102 Application of “User pays” principle to Vessel Traffic Services. </w:t>
        </w:r>
      </w:hyperlink>
      <w:hyperlink r:id="rId255" w:history="1">
        <w:r w:rsidR="00A450E1">
          <w:rPr>
            <w:rFonts w:ascii="Palatino" w:hAnsi="Palatino" w:cs="Palatino"/>
            <w:i/>
            <w:iCs/>
            <w:color w:val="000000"/>
            <w:sz w:val="20"/>
            <w:szCs w:val="20"/>
          </w:rPr>
          <w:t xml:space="preserve">V-103 Standards for Training and Certification of  VTS personnel. </w:t>
        </w:r>
      </w:hyperlink>
      <w:hyperlink r:id="rId256" w:history="1">
        <w:r w:rsidR="00A450E1">
          <w:rPr>
            <w:rFonts w:ascii="Palatino" w:hAnsi="Palatino" w:cs="Palatino"/>
            <w:i/>
            <w:iCs/>
            <w:color w:val="000000"/>
            <w:sz w:val="20"/>
            <w:szCs w:val="20"/>
          </w:rPr>
          <w:t xml:space="preserve">V-119 Implementation of Vessel Traffic Services. </w:t>
        </w:r>
      </w:hyperlink>
      <w:hyperlink r:id="rId257" w:history="1">
        <w:r w:rsidR="00A450E1">
          <w:rPr>
            <w:rFonts w:ascii="Palatino" w:hAnsi="Palatino" w:cs="Palatino"/>
            <w:i/>
            <w:iCs/>
            <w:color w:val="000000"/>
            <w:sz w:val="20"/>
            <w:szCs w:val="20"/>
          </w:rPr>
          <w:t xml:space="preserve">V-120 Vessel Traffic Services in Inland Waters. </w:t>
        </w:r>
      </w:hyperlink>
    </w:p>
    <w:p w14:paraId="68A983F6" w14:textId="77777777" w:rsidR="00541A14" w:rsidRDefault="009E3F25">
      <w:pPr>
        <w:pStyle w:val="CM18"/>
        <w:ind w:left="300"/>
        <w:rPr>
          <w:rFonts w:ascii="Palatino" w:hAnsi="Palatino" w:cs="Palatino"/>
          <w:color w:val="000000"/>
          <w:sz w:val="20"/>
          <w:szCs w:val="20"/>
        </w:rPr>
      </w:pPr>
      <w:hyperlink r:id="rId258" w:history="1">
        <w:r w:rsidR="00A450E1">
          <w:rPr>
            <w:rFonts w:ascii="Palatino" w:hAnsi="Palatino" w:cs="Palatino"/>
            <w:i/>
            <w:iCs/>
            <w:color w:val="000000"/>
            <w:sz w:val="20"/>
            <w:szCs w:val="20"/>
          </w:rPr>
          <w:t xml:space="preserve">V-125 Integration and Display of AIS and other information at a VTS Centre. </w:t>
        </w:r>
      </w:hyperlink>
    </w:p>
    <w:p w14:paraId="4A385EB1" w14:textId="77777777" w:rsidR="00541A14" w:rsidRDefault="009E3F25">
      <w:pPr>
        <w:pStyle w:val="CM18"/>
        <w:ind w:left="300"/>
        <w:rPr>
          <w:rFonts w:ascii="Palatino" w:hAnsi="Palatino" w:cs="Palatino"/>
          <w:color w:val="000000"/>
          <w:sz w:val="20"/>
          <w:szCs w:val="20"/>
        </w:rPr>
      </w:pPr>
      <w:hyperlink r:id="rId259" w:history="1">
        <w:r w:rsidR="00A450E1">
          <w:rPr>
            <w:rFonts w:ascii="Palatino" w:hAnsi="Palatino" w:cs="Palatino"/>
            <w:i/>
            <w:iCs/>
            <w:color w:val="000000"/>
            <w:sz w:val="20"/>
            <w:szCs w:val="20"/>
          </w:rPr>
          <w:t xml:space="preserve">V-127 Operational Procedures for Vessel traffic services. </w:t>
        </w:r>
      </w:hyperlink>
    </w:p>
    <w:p w14:paraId="6F957C79" w14:textId="77777777" w:rsidR="00541A14" w:rsidRDefault="009E3F25">
      <w:pPr>
        <w:pStyle w:val="CM18"/>
        <w:ind w:left="300"/>
        <w:rPr>
          <w:rFonts w:ascii="Palatino" w:hAnsi="Palatino" w:cs="Palatino"/>
          <w:color w:val="000000"/>
          <w:sz w:val="20"/>
          <w:szCs w:val="20"/>
        </w:rPr>
      </w:pPr>
      <w:hyperlink r:id="rId260" w:history="1">
        <w:r w:rsidR="00A450E1">
          <w:rPr>
            <w:rFonts w:ascii="Palatino" w:hAnsi="Palatino" w:cs="Palatino"/>
            <w:i/>
            <w:iCs/>
            <w:color w:val="000000"/>
            <w:sz w:val="20"/>
            <w:szCs w:val="20"/>
          </w:rPr>
          <w:t xml:space="preserve">V-128 Operational and Technical Performance Requirements for VTS equipment. </w:t>
        </w:r>
      </w:hyperlink>
      <w:hyperlink r:id="rId261" w:history="1">
        <w:r w:rsidR="00A450E1">
          <w:rPr>
            <w:rFonts w:ascii="Palatino" w:hAnsi="Palatino" w:cs="Palatino"/>
            <w:i/>
            <w:iCs/>
            <w:color w:val="000000"/>
            <w:sz w:val="20"/>
            <w:szCs w:val="20"/>
          </w:rPr>
          <w:t xml:space="preserve">A-123 The Provision of Shore Based AIS. </w:t>
        </w:r>
      </w:hyperlink>
    </w:p>
    <w:p w14:paraId="54D5156F" w14:textId="77777777" w:rsidR="00541A14" w:rsidRDefault="009E3F25">
      <w:pPr>
        <w:pStyle w:val="CM18"/>
        <w:ind w:left="300"/>
        <w:rPr>
          <w:rFonts w:ascii="Palatino" w:hAnsi="Palatino" w:cs="Palatino"/>
          <w:color w:val="000000"/>
          <w:sz w:val="20"/>
          <w:szCs w:val="20"/>
        </w:rPr>
      </w:pPr>
      <w:hyperlink r:id="rId262" w:history="1">
        <w:r w:rsidR="00A450E1">
          <w:rPr>
            <w:rFonts w:ascii="Palatino" w:hAnsi="Palatino" w:cs="Palatino"/>
            <w:i/>
            <w:iCs/>
            <w:color w:val="000000"/>
            <w:sz w:val="20"/>
            <w:szCs w:val="20"/>
          </w:rPr>
          <w:t xml:space="preserve">A-124 AIS Shore Station and networking aspects relating to AIS service. </w:t>
        </w:r>
      </w:hyperlink>
    </w:p>
    <w:p w14:paraId="0DA41752" w14:textId="77777777" w:rsidR="00541A14" w:rsidRDefault="009E3F25">
      <w:pPr>
        <w:pStyle w:val="CM165"/>
        <w:spacing w:after="85" w:line="293" w:lineRule="atLeast"/>
        <w:ind w:left="300"/>
        <w:rPr>
          <w:rFonts w:ascii="Palatino" w:hAnsi="Palatino" w:cs="Palatino"/>
          <w:color w:val="000000"/>
          <w:sz w:val="20"/>
          <w:szCs w:val="20"/>
        </w:rPr>
      </w:pPr>
      <w:hyperlink r:id="rId263" w:history="1">
        <w:r w:rsidR="00A450E1">
          <w:rPr>
            <w:rFonts w:ascii="Palatino" w:hAnsi="Palatino" w:cs="Palatino"/>
            <w:i/>
            <w:iCs/>
            <w:color w:val="000000"/>
            <w:sz w:val="20"/>
            <w:szCs w:val="20"/>
          </w:rPr>
          <w:t xml:space="preserve">A-126 Use of AIS in Marine Aids to Navigation. </w:t>
        </w:r>
      </w:hyperlink>
    </w:p>
    <w:p w14:paraId="6B1F7004" w14:textId="77777777" w:rsidR="00541A14" w:rsidRDefault="00A450E1">
      <w:pPr>
        <w:pStyle w:val="CM18"/>
        <w:ind w:left="300"/>
        <w:rPr>
          <w:rFonts w:ascii="Palatino" w:hAnsi="Palatino" w:cs="Palatino"/>
          <w:color w:val="000000"/>
          <w:sz w:val="20"/>
          <w:szCs w:val="20"/>
        </w:rPr>
      </w:pPr>
      <w:r>
        <w:rPr>
          <w:rFonts w:ascii="Palatino" w:hAnsi="Palatino" w:cs="Palatino"/>
          <w:b/>
          <w:bCs/>
          <w:i/>
          <w:iCs/>
          <w:color w:val="000000"/>
          <w:sz w:val="20"/>
          <w:szCs w:val="20"/>
        </w:rPr>
        <w:t xml:space="preserve">Guidelines </w:t>
      </w:r>
    </w:p>
    <w:p w14:paraId="30193161" w14:textId="77777777" w:rsidR="00541A14" w:rsidRDefault="009E3F25">
      <w:pPr>
        <w:pStyle w:val="CM169"/>
        <w:spacing w:after="65" w:line="293" w:lineRule="atLeast"/>
        <w:ind w:left="300"/>
        <w:rPr>
          <w:rFonts w:ascii="Palatino" w:hAnsi="Palatino" w:cs="Palatino"/>
          <w:color w:val="000000"/>
          <w:sz w:val="20"/>
          <w:szCs w:val="20"/>
        </w:rPr>
      </w:pPr>
      <w:hyperlink r:id="rId264" w:history="1">
        <w:r w:rsidR="00A450E1">
          <w:rPr>
            <w:rFonts w:ascii="Palatino" w:hAnsi="Palatino" w:cs="Palatino"/>
            <w:i/>
            <w:iCs/>
            <w:color w:val="000000"/>
            <w:sz w:val="20"/>
            <w:szCs w:val="20"/>
          </w:rPr>
          <w:t xml:space="preserve">1014 - Accreditation of VTS Training. </w:t>
        </w:r>
      </w:hyperlink>
      <w:hyperlink r:id="rId265" w:history="1">
        <w:r w:rsidR="00A450E1">
          <w:rPr>
            <w:rFonts w:ascii="Palatino" w:hAnsi="Palatino" w:cs="Palatino"/>
            <w:i/>
            <w:iCs/>
            <w:color w:val="000000"/>
            <w:sz w:val="20"/>
            <w:szCs w:val="20"/>
          </w:rPr>
          <w:t xml:space="preserve">1017 - Assessment of training requirements for existing VTS Personnel, candidate Operators and the </w:t>
        </w:r>
      </w:hyperlink>
    </w:p>
    <w:p w14:paraId="51882DAE" w14:textId="77777777" w:rsidR="00541A14" w:rsidRDefault="009E3F25">
      <w:pPr>
        <w:pStyle w:val="Default"/>
        <w:spacing w:line="308" w:lineRule="atLeast"/>
        <w:ind w:left="300" w:firstLine="570"/>
        <w:rPr>
          <w:rFonts w:ascii="Palatino" w:hAnsi="Palatino" w:cs="Palatino"/>
          <w:sz w:val="20"/>
          <w:szCs w:val="20"/>
        </w:rPr>
      </w:pPr>
      <w:hyperlink r:id="rId266" w:history="1">
        <w:r w:rsidR="00A450E1">
          <w:rPr>
            <w:rFonts w:ascii="Palatino" w:hAnsi="Palatino" w:cs="Palatino"/>
            <w:i/>
            <w:iCs/>
            <w:sz w:val="20"/>
            <w:szCs w:val="20"/>
          </w:rPr>
          <w:t xml:space="preserve">   revalidation of VTS Operator Certificates. </w:t>
        </w:r>
      </w:hyperlink>
      <w:hyperlink r:id="rId267" w:history="1">
        <w:r w:rsidR="00A450E1">
          <w:rPr>
            <w:rFonts w:ascii="Palatino" w:hAnsi="Palatino" w:cs="Palatino"/>
            <w:i/>
            <w:iCs/>
            <w:sz w:val="20"/>
            <w:szCs w:val="20"/>
          </w:rPr>
          <w:t xml:space="preserve">1018 - Risk management. </w:t>
        </w:r>
      </w:hyperlink>
    </w:p>
    <w:p w14:paraId="704D4513" w14:textId="77777777" w:rsidR="00541A14" w:rsidRDefault="009E3F25">
      <w:pPr>
        <w:pStyle w:val="CM18"/>
        <w:ind w:left="300"/>
        <w:rPr>
          <w:rFonts w:ascii="Palatino" w:hAnsi="Palatino" w:cs="Palatino"/>
          <w:color w:val="000000"/>
          <w:sz w:val="20"/>
          <w:szCs w:val="20"/>
        </w:rPr>
      </w:pPr>
      <w:hyperlink r:id="rId268" w:history="1">
        <w:r w:rsidR="00A450E1">
          <w:rPr>
            <w:rFonts w:ascii="Palatino" w:hAnsi="Palatino" w:cs="Palatino"/>
            <w:i/>
            <w:iCs/>
            <w:color w:val="000000"/>
            <w:sz w:val="20"/>
            <w:szCs w:val="20"/>
          </w:rPr>
          <w:t xml:space="preserve">1026 - AIS as a VTS Tool. </w:t>
        </w:r>
      </w:hyperlink>
      <w:hyperlink r:id="rId269" w:history="1">
        <w:r w:rsidR="00A450E1">
          <w:rPr>
            <w:rFonts w:ascii="Palatino" w:hAnsi="Palatino" w:cs="Palatino"/>
            <w:i/>
            <w:iCs/>
            <w:color w:val="000000"/>
            <w:sz w:val="20"/>
            <w:szCs w:val="20"/>
          </w:rPr>
          <w:t xml:space="preserve">1027 - Designing and implementing simulation in VTS training. </w:t>
        </w:r>
      </w:hyperlink>
      <w:hyperlink r:id="rId270" w:history="1">
        <w:r w:rsidR="00A450E1">
          <w:rPr>
            <w:rFonts w:ascii="Palatino" w:hAnsi="Palatino" w:cs="Palatino"/>
            <w:i/>
            <w:iCs/>
            <w:color w:val="000000"/>
            <w:sz w:val="20"/>
            <w:szCs w:val="20"/>
          </w:rPr>
          <w:t xml:space="preserve">1032 - Aspects of Training of VTS Personnel relevant to the introduction of AIS. </w:t>
        </w:r>
      </w:hyperlink>
    </w:p>
    <w:p w14:paraId="5F5FD413" w14:textId="77777777" w:rsidR="00541A14" w:rsidRDefault="009E3F25">
      <w:pPr>
        <w:pStyle w:val="CM18"/>
        <w:ind w:left="300"/>
        <w:rPr>
          <w:rFonts w:ascii="Palatino" w:hAnsi="Palatino" w:cs="Palatino"/>
          <w:color w:val="000000"/>
          <w:sz w:val="20"/>
          <w:szCs w:val="20"/>
        </w:rPr>
      </w:pPr>
      <w:hyperlink r:id="rId271" w:history="1">
        <w:r w:rsidR="00A450E1">
          <w:rPr>
            <w:rFonts w:ascii="Palatino" w:hAnsi="Palatino" w:cs="Palatino"/>
            <w:i/>
            <w:iCs/>
            <w:color w:val="000000"/>
            <w:sz w:val="20"/>
            <w:szCs w:val="20"/>
          </w:rPr>
          <w:t xml:space="preserve">1045 - Staffing Levels at VTS Centres. </w:t>
        </w:r>
      </w:hyperlink>
      <w:hyperlink r:id="rId272" w:history="1">
        <w:r w:rsidR="00A450E1">
          <w:rPr>
            <w:rFonts w:ascii="Palatino" w:hAnsi="Palatino" w:cs="Palatino"/>
            <w:i/>
            <w:iCs/>
            <w:color w:val="000000"/>
            <w:sz w:val="20"/>
            <w:szCs w:val="20"/>
          </w:rPr>
          <w:t xml:space="preserve">1046 - Response plan for marking new wrecks. </w:t>
        </w:r>
      </w:hyperlink>
    </w:p>
    <w:p w14:paraId="7A57C593" w14:textId="77777777" w:rsidR="00541A14" w:rsidRDefault="009E3F25">
      <w:pPr>
        <w:pStyle w:val="CM165"/>
        <w:spacing w:after="85" w:line="293" w:lineRule="atLeast"/>
        <w:ind w:left="300"/>
        <w:rPr>
          <w:rFonts w:ascii="Palatino" w:hAnsi="Palatino" w:cs="Palatino"/>
          <w:color w:val="000000"/>
          <w:sz w:val="20"/>
          <w:szCs w:val="20"/>
        </w:rPr>
      </w:pPr>
      <w:hyperlink r:id="rId273" w:history="1">
        <w:r w:rsidR="00A450E1">
          <w:rPr>
            <w:rFonts w:ascii="Palatino" w:hAnsi="Palatino" w:cs="Palatino"/>
            <w:i/>
            <w:iCs/>
            <w:color w:val="000000"/>
            <w:sz w:val="20"/>
            <w:szCs w:val="20"/>
          </w:rPr>
          <w:t xml:space="preserve">1055 - Preparing for a voluntary IMO Audit on VTS Delivery. </w:t>
        </w:r>
      </w:hyperlink>
      <w:hyperlink r:id="rId274" w:history="1">
        <w:r w:rsidR="00A450E1">
          <w:rPr>
            <w:rFonts w:ascii="Palatino" w:hAnsi="Palatino" w:cs="Palatino"/>
            <w:i/>
            <w:iCs/>
            <w:color w:val="000000"/>
            <w:sz w:val="20"/>
            <w:szCs w:val="20"/>
          </w:rPr>
          <w:t xml:space="preserve">1056 - Establishment of VTS Radar Services. </w:t>
        </w:r>
      </w:hyperlink>
      <w:hyperlink r:id="rId275" w:history="1">
        <w:r w:rsidR="00A450E1">
          <w:rPr>
            <w:rFonts w:ascii="Palatino" w:hAnsi="Palatino" w:cs="Palatino"/>
            <w:i/>
            <w:iCs/>
            <w:color w:val="000000"/>
            <w:sz w:val="20"/>
            <w:szCs w:val="20"/>
          </w:rPr>
          <w:t xml:space="preserve">1071 - Establishment of a VTS beyond Territorial Seas. </w:t>
        </w:r>
      </w:hyperlink>
    </w:p>
    <w:p w14:paraId="14438F17"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b/>
          <w:bCs/>
          <w:i/>
          <w:iCs/>
          <w:color w:val="000000"/>
          <w:sz w:val="20"/>
          <w:szCs w:val="20"/>
        </w:rPr>
        <w:t xml:space="preserve">IALA Manuals </w:t>
      </w:r>
    </w:p>
    <w:p w14:paraId="7ED53467" w14:textId="77777777" w:rsidR="00541A14" w:rsidRDefault="00A450E1">
      <w:pPr>
        <w:pStyle w:val="CM170"/>
        <w:spacing w:after="887" w:line="293" w:lineRule="atLeast"/>
        <w:ind w:left="300"/>
        <w:rPr>
          <w:rFonts w:ascii="Palatino" w:hAnsi="Palatino" w:cs="Palatino"/>
          <w:color w:val="000000"/>
          <w:sz w:val="20"/>
          <w:szCs w:val="20"/>
        </w:rPr>
      </w:pPr>
      <w:r>
        <w:rPr>
          <w:rFonts w:ascii="Palatino" w:hAnsi="Palatino" w:cs="Palatino"/>
          <w:i/>
          <w:iCs/>
          <w:color w:val="000000"/>
          <w:sz w:val="20"/>
          <w:szCs w:val="20"/>
        </w:rPr>
        <w:t xml:space="preserve">VTS Manual (2008). </w:t>
      </w:r>
    </w:p>
    <w:p w14:paraId="54484575"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054C8A01" wp14:editId="6456F23F">
            <wp:extent cx="7553960" cy="420370"/>
            <wp:effectExtent l="0" t="0" r="0" b="1143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739D8506" w14:textId="77777777" w:rsidR="00541A14" w:rsidRDefault="00DD420F">
      <w:pPr>
        <w:pStyle w:val="Default"/>
        <w:pageBreakBefore/>
        <w:framePr w:w="12722" w:wrap="auto" w:vAnchor="page" w:hAnchor="page" w:x="101" w:y="15039"/>
        <w:rPr>
          <w:rFonts w:ascii="Palatino" w:hAnsi="Palatino" w:cs="Palatino"/>
          <w:sz w:val="20"/>
          <w:szCs w:val="20"/>
        </w:rPr>
      </w:pPr>
      <w:r>
        <w:rPr>
          <w:rFonts w:ascii="Palatino" w:hAnsi="Palatino" w:cs="Palatino"/>
          <w:noProof/>
          <w:sz w:val="20"/>
          <w:szCs w:val="20"/>
        </w:rPr>
        <w:drawing>
          <wp:inline distT="0" distB="0" distL="0" distR="0" wp14:anchorId="76984954" wp14:editId="4B4211AD">
            <wp:extent cx="7553960" cy="1069467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7553960" cy="10694670"/>
                    </a:xfrm>
                    <a:prstGeom prst="rect">
                      <a:avLst/>
                    </a:prstGeom>
                    <a:noFill/>
                    <a:ln>
                      <a:noFill/>
                    </a:ln>
                  </pic:spPr>
                </pic:pic>
              </a:graphicData>
            </a:graphic>
          </wp:inline>
        </w:drawing>
      </w:r>
    </w:p>
    <w:p w14:paraId="7D052A1E" w14:textId="77777777" w:rsidR="00541A14" w:rsidRDefault="00DD420F">
      <w:pPr>
        <w:pStyle w:val="Default"/>
        <w:pageBreakBefore/>
        <w:framePr w:w="24782" w:wrap="auto" w:vAnchor="page" w:hAnchor="page" w:x="101" w:y="1"/>
        <w:spacing w:after="840"/>
        <w:rPr>
          <w:rFonts w:ascii="Palatino" w:hAnsi="Palatino" w:cs="Palatino"/>
          <w:sz w:val="20"/>
          <w:szCs w:val="20"/>
        </w:rPr>
      </w:pPr>
      <w:r>
        <w:rPr>
          <w:rFonts w:ascii="Palatino" w:hAnsi="Palatino" w:cs="Palatino"/>
          <w:noProof/>
          <w:sz w:val="20"/>
          <w:szCs w:val="20"/>
        </w:rPr>
        <w:drawing>
          <wp:inline distT="0" distB="0" distL="0" distR="0" wp14:anchorId="40AD04EC" wp14:editId="48A29ADD">
            <wp:extent cx="7553960" cy="1056640"/>
            <wp:effectExtent l="0" t="0" r="0" b="1016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4A2DB350"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6.1.2 Compulsory or Recommended Pilotage </w:t>
      </w:r>
    </w:p>
    <w:p w14:paraId="5644EBFD"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Pilotage may be applied within declared ports, but also in coastal areas, lakes, inland waterways or </w:t>
      </w:r>
    </w:p>
    <w:p w14:paraId="2D1E2047"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even deep seas. These areas would normally fall within the definition of restricted waters. </w:t>
      </w:r>
    </w:p>
    <w:p w14:paraId="77C915B0"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Where pilotage services are licensed, it is usual for the applicable pilotage area to be stated on the licence. The service provider may then be described as a port pilot or a coastal pilot etc. </w:t>
      </w:r>
    </w:p>
    <w:p w14:paraId="7851EF3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Various levels of enforcement can be applied to a pilotage area: </w:t>
      </w:r>
    </w:p>
    <w:p w14:paraId="7A5392A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Compulsory (Mandatory) pilotage: Vessels of given characteristics and/or carrying specific </w:t>
      </w:r>
    </w:p>
    <w:p w14:paraId="732E2A58"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types of cargo must take a pilot when entering a declared area. </w:t>
      </w:r>
    </w:p>
    <w:p w14:paraId="4D1B60C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 country may seek IMO approval for an area to be declared a Particularly Sensitive Sea Area </w:t>
      </w:r>
    </w:p>
    <w:p w14:paraId="2E5CF1BC"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(PSSA). If approved, the declaration allows Additional Protective Measures to be applied to shipping. This could include compulsory pilotage arrangements. </w:t>
      </w:r>
    </w:p>
    <w:p w14:paraId="3EB296A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Recommended pilotage: A Competent Pilotage Authority or IMO can promulgate notices </w:t>
      </w:r>
    </w:p>
    <w:p w14:paraId="644A914E" w14:textId="77777777" w:rsidR="00541A14" w:rsidRDefault="00A450E1">
      <w:pPr>
        <w:pStyle w:val="CM175"/>
        <w:spacing w:after="267" w:line="293" w:lineRule="atLeast"/>
        <w:ind w:left="300"/>
        <w:rPr>
          <w:rFonts w:ascii="Palatino" w:hAnsi="Palatino" w:cs="Palatino"/>
          <w:color w:val="000000"/>
          <w:sz w:val="20"/>
          <w:szCs w:val="20"/>
        </w:rPr>
      </w:pPr>
      <w:r>
        <w:rPr>
          <w:rFonts w:ascii="Palatino" w:hAnsi="Palatino" w:cs="Palatino"/>
          <w:color w:val="000000"/>
          <w:sz w:val="20"/>
          <w:szCs w:val="20"/>
        </w:rPr>
        <w:t xml:space="preserve">recommending that masters of applicable vessels should engage a licensed pilot. </w:t>
      </w:r>
    </w:p>
    <w:p w14:paraId="1BB55B38"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6.1.3 Other Pilotage Considerations </w:t>
      </w:r>
    </w:p>
    <w:p w14:paraId="17792CD1" w14:textId="77777777" w:rsidR="00541A14" w:rsidRDefault="00A450E1">
      <w:pPr>
        <w:pStyle w:val="CM165"/>
        <w:spacing w:after="85" w:line="296" w:lineRule="atLeast"/>
        <w:ind w:right="645"/>
        <w:rPr>
          <w:rFonts w:ascii="Palatino" w:hAnsi="Palatino" w:cs="Palatino"/>
          <w:color w:val="000000"/>
          <w:sz w:val="20"/>
          <w:szCs w:val="20"/>
        </w:rPr>
      </w:pPr>
      <w:r>
        <w:rPr>
          <w:rFonts w:ascii="Palatino" w:hAnsi="Palatino" w:cs="Palatino"/>
          <w:color w:val="000000"/>
          <w:sz w:val="20"/>
          <w:szCs w:val="20"/>
        </w:rPr>
        <w:t xml:space="preserve">Pilot Services can be provided by public or private operators or service providers depending on national legislation. However, generally the pilot licensing authority should be a government-regulated Competent Pilotage Authority. </w:t>
      </w:r>
    </w:p>
    <w:p w14:paraId="1EB90D9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IMO has issued minimum standards for training and certification of pilots other than deep sea </w:t>
      </w:r>
    </w:p>
    <w:p w14:paraId="3C4C2903"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pilots. However individual countries may impose more stringent standards. </w:t>
      </w:r>
    </w:p>
    <w:p w14:paraId="50CE1DEC" w14:textId="77777777" w:rsidR="00541A14" w:rsidRDefault="00A450E1">
      <w:pPr>
        <w:pStyle w:val="CM173"/>
        <w:spacing w:after="340" w:line="300" w:lineRule="atLeast"/>
        <w:ind w:right="990"/>
        <w:rPr>
          <w:rFonts w:ascii="Palatino" w:hAnsi="Palatino" w:cs="Palatino"/>
          <w:color w:val="000000"/>
          <w:sz w:val="20"/>
          <w:szCs w:val="20"/>
        </w:rPr>
      </w:pPr>
      <w:r>
        <w:rPr>
          <w:rFonts w:ascii="Palatino" w:hAnsi="Palatino" w:cs="Palatino"/>
          <w:color w:val="000000"/>
          <w:sz w:val="20"/>
          <w:szCs w:val="20"/>
        </w:rPr>
        <w:t xml:space="preserve">When developing proposals for marking restricted waterways, the requirement for pilotage services should be considered concurrently with the selection of the aids to navigation. </w:t>
      </w:r>
    </w:p>
    <w:p w14:paraId="0E5ECBAB"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6.1.4 IMO documents relating to pilotage or pilot training and certification </w:t>
      </w:r>
    </w:p>
    <w:p w14:paraId="65B805EF"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In 2003 the IMO Assembly adopted </w:t>
      </w:r>
      <w:r>
        <w:rPr>
          <w:rFonts w:ascii="Palatino" w:hAnsi="Palatino" w:cs="Palatino"/>
          <w:i/>
          <w:iCs/>
          <w:color w:val="000000"/>
          <w:sz w:val="20"/>
          <w:szCs w:val="20"/>
        </w:rPr>
        <w:t>Resolution A.960(23) Recommendations on training and certification and operational procedures for maritime pilots other than deep-sea pilots.</w:t>
      </w:r>
      <w:r>
        <w:rPr>
          <w:rFonts w:ascii="Palatino" w:hAnsi="Palatino" w:cs="Palatino"/>
          <w:color w:val="000000"/>
          <w:sz w:val="20"/>
          <w:szCs w:val="20"/>
        </w:rPr>
        <w:t xml:space="preserve"> IMO Resolutions encouraging the use of pilots on board ships in certain areas are: </w:t>
      </w:r>
    </w:p>
    <w:p w14:paraId="5FC87F1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Resolution A.480(IX) (adopted in 1975) recommends the use of qualified deep-sea pilots in the </w:t>
      </w:r>
    </w:p>
    <w:p w14:paraId="29C1347B"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Baltic and Resolution A.620(15) (adopted 1987) recommends that ships with a draught of 13 metres or more should use the pilotage services established by Coastal States in the entrances to the Baltic Sea. </w:t>
      </w:r>
    </w:p>
    <w:p w14:paraId="74072E5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Resolution A.486(XII) (adopted 1981) recommends the use of deep-sea pilots in the North Sea, </w:t>
      </w:r>
    </w:p>
    <w:p w14:paraId="5288DF3F"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English Channel and Skagerrak. </w:t>
      </w:r>
    </w:p>
    <w:p w14:paraId="67E95D9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Resolution A.579(14) (adopted 1985) recommends that certain oil tankers, all chemical carriers and </w:t>
      </w:r>
    </w:p>
    <w:p w14:paraId="7EB90ED2"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gas carriers and ships carrying radioactive material using the Sound (which separates Sweden and Denmark) should use pilotage services. </w:t>
      </w:r>
    </w:p>
    <w:p w14:paraId="1C7A96B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Resolution A.668(16) (adopted 1989) recommends the use of pilotage services in the Euro-Channel </w:t>
      </w:r>
    </w:p>
    <w:p w14:paraId="25F57B4C"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and IJ-Channel (in the Netherlands); IMO Resolution MEPC.133(53), which recommends that </w:t>
      </w:r>
    </w:p>
    <w:p w14:paraId="5587D3A5" w14:textId="77777777" w:rsidR="00541A14" w:rsidRDefault="00A450E1">
      <w:pPr>
        <w:pStyle w:val="CM164"/>
        <w:spacing w:after="1215" w:line="293" w:lineRule="atLeast"/>
        <w:ind w:left="300"/>
        <w:rPr>
          <w:rFonts w:ascii="Palatino" w:hAnsi="Palatino" w:cs="Palatino"/>
          <w:color w:val="000000"/>
          <w:sz w:val="20"/>
          <w:szCs w:val="20"/>
        </w:rPr>
      </w:pPr>
      <w:r>
        <w:rPr>
          <w:rFonts w:ascii="Palatino" w:hAnsi="Palatino" w:cs="Palatino"/>
          <w:color w:val="000000"/>
          <w:sz w:val="20"/>
          <w:szCs w:val="20"/>
        </w:rPr>
        <w:t xml:space="preserve">Governments recognize the need for effective protection of the Torres Strait and inform ships flying </w:t>
      </w:r>
    </w:p>
    <w:p w14:paraId="56CF5441" w14:textId="77777777" w:rsidR="00541A14" w:rsidRDefault="00541A14">
      <w:pPr>
        <w:pStyle w:val="CM12"/>
        <w:jc w:val="both"/>
        <w:rPr>
          <w:rFonts w:ascii="Palatino" w:hAnsi="Palatino" w:cs="Palatino"/>
          <w:color w:val="000000"/>
          <w:sz w:val="20"/>
          <w:szCs w:val="20"/>
        </w:rPr>
      </w:pPr>
    </w:p>
    <w:p w14:paraId="6AE0305B" w14:textId="77777777" w:rsidR="00541A14" w:rsidRDefault="00DD420F">
      <w:pPr>
        <w:pStyle w:val="Default"/>
        <w:framePr w:w="92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211BF4EB" wp14:editId="488F8CAC">
            <wp:extent cx="113665" cy="142240"/>
            <wp:effectExtent l="0" t="0" r="0" b="1016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13665" cy="142240"/>
                    </a:xfrm>
                    <a:prstGeom prst="rect">
                      <a:avLst/>
                    </a:prstGeom>
                    <a:noFill/>
                    <a:ln>
                      <a:noFill/>
                    </a:ln>
                  </pic:spPr>
                </pic:pic>
              </a:graphicData>
            </a:graphic>
          </wp:inline>
        </w:drawing>
      </w:r>
    </w:p>
    <w:p w14:paraId="35ABFEBB" w14:textId="77777777" w:rsidR="00541A14" w:rsidRDefault="00DD420F">
      <w:pPr>
        <w:pStyle w:val="Default"/>
        <w:framePr w:w="1100" w:wrap="auto" w:vAnchor="page" w:hAnchor="page" w:x="714" w:y="16278"/>
        <w:rPr>
          <w:rFonts w:ascii="Palatino" w:hAnsi="Palatino" w:cs="Palatino"/>
          <w:sz w:val="20"/>
          <w:szCs w:val="20"/>
        </w:rPr>
      </w:pPr>
      <w:r>
        <w:rPr>
          <w:rFonts w:ascii="Palatino" w:hAnsi="Palatino" w:cs="Palatino"/>
          <w:noProof/>
          <w:sz w:val="20"/>
          <w:szCs w:val="20"/>
        </w:rPr>
        <w:drawing>
          <wp:inline distT="0" distB="0" distL="0" distR="0" wp14:anchorId="46149041" wp14:editId="1DEEEB6D">
            <wp:extent cx="193040" cy="142240"/>
            <wp:effectExtent l="0" t="0" r="10160" b="1016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93040" cy="142240"/>
                    </a:xfrm>
                    <a:prstGeom prst="rect">
                      <a:avLst/>
                    </a:prstGeom>
                    <a:noFill/>
                    <a:ln>
                      <a:noFill/>
                    </a:ln>
                  </pic:spPr>
                </pic:pic>
              </a:graphicData>
            </a:graphic>
          </wp:inline>
        </w:drawing>
      </w:r>
    </w:p>
    <w:p w14:paraId="22582686" w14:textId="77777777" w:rsidR="00541A14" w:rsidRDefault="00541A14">
      <w:pPr>
        <w:pStyle w:val="CM100"/>
        <w:ind w:left="8357"/>
        <w:rPr>
          <w:rFonts w:ascii="Palatino" w:hAnsi="Palatino" w:cs="Palatino"/>
          <w:color w:val="000000"/>
          <w:sz w:val="20"/>
          <w:szCs w:val="20"/>
        </w:rPr>
      </w:pPr>
    </w:p>
    <w:p w14:paraId="2ACAAD4F"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71CA77F5" wp14:editId="7F68D727">
            <wp:extent cx="227330" cy="113665"/>
            <wp:effectExtent l="0" t="0" r="127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3C67863E"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7412FBC2" wp14:editId="175146C7">
            <wp:extent cx="823595" cy="11366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6A95CA7E" w14:textId="77777777" w:rsidR="00541A14" w:rsidRDefault="00DD420F">
      <w:pPr>
        <w:pStyle w:val="Default"/>
        <w:pageBreakBefore/>
        <w:framePr w:w="12876" w:wrap="auto" w:vAnchor="page" w:hAnchor="page" w:x="101" w:y="1"/>
        <w:spacing w:after="800"/>
        <w:rPr>
          <w:rFonts w:ascii="Palatino" w:hAnsi="Palatino" w:cs="Palatino"/>
          <w:sz w:val="20"/>
          <w:szCs w:val="20"/>
        </w:rPr>
      </w:pPr>
      <w:r>
        <w:rPr>
          <w:rFonts w:ascii="Palatino" w:hAnsi="Palatino" w:cs="Palatino"/>
          <w:noProof/>
          <w:sz w:val="20"/>
          <w:szCs w:val="20"/>
        </w:rPr>
        <w:drawing>
          <wp:inline distT="0" distB="0" distL="0" distR="0" wp14:anchorId="2414F92A" wp14:editId="53A794ED">
            <wp:extent cx="7553960" cy="1056640"/>
            <wp:effectExtent l="0" t="0" r="0" b="1016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0F86390A" w14:textId="77777777" w:rsidR="00541A14" w:rsidRDefault="00A450E1">
      <w:pPr>
        <w:pStyle w:val="CM33"/>
        <w:ind w:left="305"/>
        <w:jc w:val="both"/>
        <w:rPr>
          <w:rFonts w:ascii="Palatino" w:hAnsi="Palatino" w:cs="Palatino"/>
          <w:color w:val="000000"/>
          <w:sz w:val="20"/>
          <w:szCs w:val="20"/>
        </w:rPr>
      </w:pPr>
      <w:r>
        <w:rPr>
          <w:rFonts w:ascii="Palatino" w:hAnsi="Palatino" w:cs="Palatino"/>
          <w:color w:val="000000"/>
          <w:sz w:val="20"/>
          <w:szCs w:val="20"/>
        </w:rPr>
        <w:t xml:space="preserve">their flag that they should act in accordance with Australia’s system of pilotage for merchant ships 70m in length and over or oil tankers, chemical tankers, and liquefied gas carriers, irrespective of </w:t>
      </w:r>
    </w:p>
    <w:p w14:paraId="2B46F260"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size, when navigating the Torres Strait and the Great North East Channel. </w:t>
      </w:r>
    </w:p>
    <w:p w14:paraId="5BCD1A20"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 Resolution A.827(19) (adopted 1995) on Ships’ Routeing includes in Annex 2 </w:t>
      </w:r>
      <w:r>
        <w:rPr>
          <w:rFonts w:ascii="Palatino" w:hAnsi="Palatino" w:cs="Palatino"/>
          <w:i/>
          <w:iCs/>
          <w:color w:val="000000"/>
          <w:sz w:val="20"/>
          <w:szCs w:val="20"/>
        </w:rPr>
        <w:t xml:space="preserve">Rules and </w:t>
      </w:r>
    </w:p>
    <w:p w14:paraId="667021E1" w14:textId="77777777" w:rsidR="00541A14" w:rsidRDefault="00A450E1">
      <w:pPr>
        <w:pStyle w:val="CM33"/>
        <w:ind w:left="305"/>
        <w:jc w:val="both"/>
        <w:rPr>
          <w:rFonts w:ascii="Palatino" w:hAnsi="Palatino" w:cs="Palatino"/>
          <w:color w:val="000000"/>
          <w:sz w:val="20"/>
          <w:szCs w:val="20"/>
        </w:rPr>
      </w:pPr>
      <w:r>
        <w:rPr>
          <w:rFonts w:ascii="Palatino" w:hAnsi="Palatino" w:cs="Palatino"/>
          <w:i/>
          <w:iCs/>
          <w:color w:val="000000"/>
          <w:sz w:val="20"/>
          <w:szCs w:val="20"/>
        </w:rPr>
        <w:t xml:space="preserve">Recommendations on Navigation through the Strait of Istanbul, the Strait of Canakkale and the Marmara </w:t>
      </w:r>
    </w:p>
    <w:p w14:paraId="76D08FEC" w14:textId="77777777" w:rsidR="00541A14" w:rsidRDefault="00A450E1">
      <w:pPr>
        <w:pStyle w:val="CM33"/>
        <w:ind w:left="305"/>
        <w:jc w:val="both"/>
        <w:rPr>
          <w:rFonts w:ascii="Palatino" w:hAnsi="Palatino" w:cs="Palatino"/>
          <w:color w:val="000000"/>
          <w:sz w:val="20"/>
          <w:szCs w:val="20"/>
        </w:rPr>
      </w:pPr>
      <w:r>
        <w:rPr>
          <w:rFonts w:ascii="Palatino" w:hAnsi="Palatino" w:cs="Palatino"/>
          <w:i/>
          <w:iCs/>
          <w:color w:val="000000"/>
          <w:sz w:val="20"/>
          <w:szCs w:val="20"/>
        </w:rPr>
        <w:t>Sea</w:t>
      </w:r>
      <w:r>
        <w:rPr>
          <w:rFonts w:ascii="Palatino" w:hAnsi="Palatino" w:cs="Palatino"/>
          <w:color w:val="000000"/>
          <w:sz w:val="20"/>
          <w:szCs w:val="20"/>
        </w:rPr>
        <w:t xml:space="preserve"> the recommendation that “Masters of vessels passing through the Straits are strongly </w:t>
      </w:r>
    </w:p>
    <w:p w14:paraId="3A2E531C" w14:textId="77777777" w:rsidR="00541A14" w:rsidRDefault="00A450E1">
      <w:pPr>
        <w:pStyle w:val="CM33"/>
        <w:ind w:left="305"/>
        <w:jc w:val="both"/>
        <w:rPr>
          <w:rFonts w:ascii="Palatino" w:hAnsi="Palatino" w:cs="Palatino"/>
          <w:color w:val="000000"/>
          <w:sz w:val="20"/>
          <w:szCs w:val="20"/>
        </w:rPr>
      </w:pPr>
      <w:r>
        <w:rPr>
          <w:rFonts w:ascii="Palatino" w:hAnsi="Palatino" w:cs="Palatino"/>
          <w:color w:val="000000"/>
          <w:sz w:val="20"/>
          <w:szCs w:val="20"/>
        </w:rPr>
        <w:t xml:space="preserve">recommended to avail themselves of the services of a qualified pilot in order to comply with the </w:t>
      </w:r>
    </w:p>
    <w:p w14:paraId="1E37351C"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requirements of safe navigation.” </w:t>
      </w:r>
    </w:p>
    <w:p w14:paraId="46FD4824"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 Resolution A.889(21) on Pilot Transfer Arrangements gives recommendations on the construction </w:t>
      </w:r>
    </w:p>
    <w:p w14:paraId="7DC5662A"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of pilot ladders. </w:t>
      </w:r>
    </w:p>
    <w:p w14:paraId="18ED5857"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 Resolution A.960(23) gives recommendations on training and certification and operational </w:t>
      </w:r>
    </w:p>
    <w:p w14:paraId="6462B77A" w14:textId="77777777" w:rsidR="00541A14" w:rsidRDefault="00A450E1">
      <w:pPr>
        <w:pStyle w:val="CM162"/>
        <w:spacing w:after="552"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procedures for Maritime Pilots other than Deep Sea pilots. </w:t>
      </w:r>
    </w:p>
    <w:p w14:paraId="3A25B42A" w14:textId="77777777" w:rsidR="00541A14" w:rsidRDefault="00DD420F">
      <w:pPr>
        <w:pStyle w:val="Default"/>
        <w:framePr w:w="9871" w:wrap="auto" w:vAnchor="page" w:hAnchor="page" w:x="1418" w:y="6678"/>
        <w:spacing w:after="3580"/>
        <w:rPr>
          <w:rFonts w:ascii="Palatino" w:hAnsi="Palatino" w:cs="Palatino"/>
          <w:sz w:val="20"/>
          <w:szCs w:val="20"/>
        </w:rPr>
      </w:pPr>
      <w:r>
        <w:rPr>
          <w:rFonts w:ascii="Palatino" w:hAnsi="Palatino" w:cs="Palatino"/>
          <w:noProof/>
          <w:sz w:val="20"/>
          <w:szCs w:val="20"/>
        </w:rPr>
        <w:drawing>
          <wp:inline distT="0" distB="0" distL="0" distR="0" wp14:anchorId="5F092BAD" wp14:editId="7DDD750B">
            <wp:extent cx="5753100" cy="3873500"/>
            <wp:effectExtent l="0" t="0" r="12700" b="1270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753100" cy="3873500"/>
                    </a:xfrm>
                    <a:prstGeom prst="rect">
                      <a:avLst/>
                    </a:prstGeom>
                    <a:noFill/>
                    <a:ln>
                      <a:noFill/>
                    </a:ln>
                  </pic:spPr>
                </pic:pic>
              </a:graphicData>
            </a:graphic>
          </wp:inline>
        </w:drawing>
      </w:r>
    </w:p>
    <w:p w14:paraId="537D77DD" w14:textId="77777777" w:rsidR="00541A14" w:rsidRDefault="00A450E1">
      <w:pPr>
        <w:pStyle w:val="CM12"/>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0F6C3381"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115 </w:t>
      </w:r>
    </w:p>
    <w:p w14:paraId="450083A6" w14:textId="77777777" w:rsidR="00541A14" w:rsidRDefault="00DD420F">
      <w:pPr>
        <w:pStyle w:val="Default"/>
        <w:pageBreakBefore/>
        <w:framePr w:w="24782" w:wrap="auto" w:vAnchor="page" w:hAnchor="page" w:x="101" w:y="6893"/>
        <w:spacing w:after="10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33E02819" wp14:editId="396F1FB9">
            <wp:extent cx="7553960" cy="565086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7553960" cy="5650865"/>
                    </a:xfrm>
                    <a:prstGeom prst="rect">
                      <a:avLst/>
                    </a:prstGeom>
                    <a:noFill/>
                    <a:ln>
                      <a:noFill/>
                    </a:ln>
                  </pic:spPr>
                </pic:pic>
              </a:graphicData>
            </a:graphic>
          </wp:inline>
        </w:drawing>
      </w:r>
    </w:p>
    <w:p w14:paraId="3FC76274" w14:textId="77777777" w:rsidR="00541A14" w:rsidRDefault="00A450E1">
      <w:pPr>
        <w:pStyle w:val="CM197"/>
        <w:spacing w:after="390"/>
        <w:jc w:val="center"/>
        <w:rPr>
          <w:rFonts w:ascii="Palatino" w:hAnsi="Palatino" w:cs="Palatino"/>
          <w:color w:val="000000"/>
          <w:sz w:val="20"/>
          <w:szCs w:val="20"/>
        </w:rPr>
      </w:pPr>
      <w:r>
        <w:rPr>
          <w:rFonts w:ascii="Palatino" w:hAnsi="Palatino" w:cs="Palatino"/>
          <w:i/>
          <w:iCs/>
          <w:color w:val="000000"/>
          <w:sz w:val="20"/>
          <w:szCs w:val="20"/>
        </w:rPr>
        <w:t xml:space="preserve">Photo courtesy of Wasser und Schiffahrtsdirektion (Germany) </w:t>
      </w:r>
    </w:p>
    <w:p w14:paraId="5F18CC3D"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6.2 Ships Routeing </w:t>
      </w:r>
    </w:p>
    <w:p w14:paraId="556020AB" w14:textId="77777777" w:rsidR="00541A14" w:rsidRDefault="00A450E1">
      <w:pPr>
        <w:pStyle w:val="CM173"/>
        <w:spacing w:after="340" w:line="293" w:lineRule="atLeast"/>
        <w:ind w:right="327"/>
        <w:rPr>
          <w:rFonts w:ascii="Palatino" w:hAnsi="Palatino" w:cs="Palatino"/>
          <w:color w:val="000000"/>
          <w:sz w:val="20"/>
          <w:szCs w:val="20"/>
        </w:rPr>
      </w:pPr>
      <w:r>
        <w:rPr>
          <w:rFonts w:ascii="Palatino" w:hAnsi="Palatino" w:cs="Palatino"/>
          <w:color w:val="000000"/>
          <w:sz w:val="20"/>
          <w:szCs w:val="20"/>
        </w:rPr>
        <w:t>The General Provisions on Ships’ Routeing are established by SOLAS Chapter V, Regulation 10</w:t>
      </w:r>
      <w:r>
        <w:rPr>
          <w:rFonts w:ascii="Palatino" w:hAnsi="Palatino" w:cs="Palatino"/>
          <w:color w:val="000000"/>
          <w:position w:val="7"/>
          <w:sz w:val="11"/>
          <w:szCs w:val="11"/>
          <w:vertAlign w:val="superscript"/>
        </w:rPr>
        <w:t xml:space="preserve">31 </w:t>
      </w:r>
      <w:r>
        <w:rPr>
          <w:rFonts w:ascii="Palatino" w:hAnsi="Palatino" w:cs="Palatino"/>
          <w:color w:val="000000"/>
          <w:sz w:val="20"/>
          <w:szCs w:val="20"/>
        </w:rPr>
        <w:t xml:space="preserve">and adopted by IMO Resolution A.572(14). </w:t>
      </w:r>
    </w:p>
    <w:p w14:paraId="63D21829"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6.2.1 Objectives </w:t>
      </w:r>
    </w:p>
    <w:p w14:paraId="0DF5C725"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The purpose of ships’ routeing is to improve the safety of navigation in converging areas and in </w:t>
      </w:r>
    </w:p>
    <w:p w14:paraId="28E59FA6" w14:textId="77777777" w:rsidR="00541A14" w:rsidRDefault="00A450E1">
      <w:pPr>
        <w:pStyle w:val="Default"/>
        <w:rPr>
          <w:rFonts w:ascii="Palatino" w:hAnsi="Palatino" w:cs="Palatino"/>
          <w:sz w:val="20"/>
          <w:szCs w:val="20"/>
        </w:rPr>
      </w:pPr>
      <w:r>
        <w:rPr>
          <w:rFonts w:ascii="Palatino" w:hAnsi="Palatino" w:cs="Palatino"/>
          <w:sz w:val="20"/>
          <w:szCs w:val="20"/>
        </w:rPr>
        <w:t xml:space="preserve">areas where the density of traffic is great or where freedom of movement of shipping is inhibited </w:t>
      </w:r>
    </w:p>
    <w:p w14:paraId="0C2A688B"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by restricted sea-room, the existence of obstructions to navigation, limited depths or unfavourable meteorological conditions. Ships’ routeing may also be used for the purpose of preventing or reducing the risk of pollution or other damage to the marine environment caused by ships colliding or grounding in or near environmentally sensitive areas. </w:t>
      </w:r>
    </w:p>
    <w:p w14:paraId="51F949AD" w14:textId="77777777" w:rsidR="00541A14" w:rsidRDefault="00A450E1">
      <w:pPr>
        <w:pStyle w:val="CM58"/>
        <w:ind w:right="702"/>
        <w:rPr>
          <w:rFonts w:ascii="Palatino" w:hAnsi="Palatino" w:cs="Palatino"/>
          <w:color w:val="000000"/>
          <w:sz w:val="20"/>
          <w:szCs w:val="20"/>
        </w:rPr>
      </w:pPr>
      <w:r>
        <w:rPr>
          <w:rFonts w:ascii="Palatino" w:hAnsi="Palatino" w:cs="Palatino"/>
          <w:color w:val="000000"/>
          <w:sz w:val="20"/>
          <w:szCs w:val="20"/>
        </w:rPr>
        <w:t xml:space="preserve">The precise objectives of any routeing system will depend upon the particular hazardous circumstances which it is intended to alleviate, but may include some or all of the following: </w:t>
      </w:r>
    </w:p>
    <w:p w14:paraId="638C5FFE" w14:textId="77777777" w:rsidR="00541A14" w:rsidRDefault="00A450E1">
      <w:pPr>
        <w:pStyle w:val="Default"/>
        <w:numPr>
          <w:ilvl w:val="0"/>
          <w:numId w:val="111"/>
        </w:numPr>
        <w:rPr>
          <w:rFonts w:ascii="Palatino" w:hAnsi="Palatino" w:cs="Palatino"/>
          <w:sz w:val="20"/>
          <w:szCs w:val="20"/>
        </w:rPr>
      </w:pPr>
      <w:r>
        <w:rPr>
          <w:rFonts w:ascii="Palatino" w:hAnsi="Palatino" w:cs="Palatino"/>
          <w:sz w:val="20"/>
          <w:szCs w:val="20"/>
        </w:rPr>
        <w:t xml:space="preserve">the separation of opposing streams of traffic so as to reduce the incidence of head-on encounters; </w:t>
      </w:r>
    </w:p>
    <w:p w14:paraId="1B4B6D91" w14:textId="77777777" w:rsidR="00541A14" w:rsidRDefault="00A450E1">
      <w:pPr>
        <w:pStyle w:val="Default"/>
        <w:numPr>
          <w:ilvl w:val="0"/>
          <w:numId w:val="111"/>
        </w:numPr>
        <w:rPr>
          <w:rFonts w:ascii="Palatino" w:hAnsi="Palatino" w:cs="Palatino"/>
          <w:sz w:val="20"/>
          <w:szCs w:val="20"/>
        </w:rPr>
      </w:pPr>
      <w:r>
        <w:rPr>
          <w:rFonts w:ascii="Palatino" w:hAnsi="Palatino" w:cs="Palatino"/>
          <w:sz w:val="20"/>
          <w:szCs w:val="20"/>
        </w:rPr>
        <w:t xml:space="preserve">the reduction of dangers of collision between crossing traffic and shipping in established traffic lanes; </w:t>
      </w:r>
    </w:p>
    <w:p w14:paraId="37B7026F" w14:textId="77777777" w:rsidR="00541A14" w:rsidRDefault="00A450E1">
      <w:pPr>
        <w:pStyle w:val="Default"/>
        <w:numPr>
          <w:ilvl w:val="0"/>
          <w:numId w:val="111"/>
        </w:numPr>
        <w:rPr>
          <w:rFonts w:ascii="Palatino" w:hAnsi="Palatino" w:cs="Palatino"/>
          <w:sz w:val="20"/>
          <w:szCs w:val="20"/>
        </w:rPr>
      </w:pPr>
      <w:r>
        <w:rPr>
          <w:rFonts w:ascii="Palatino" w:hAnsi="Palatino" w:cs="Palatino"/>
          <w:sz w:val="20"/>
          <w:szCs w:val="20"/>
        </w:rPr>
        <w:t xml:space="preserve">the simplification of the patterns of traffic flow in converging areas; </w:t>
      </w:r>
    </w:p>
    <w:p w14:paraId="02E51CFE" w14:textId="77777777" w:rsidR="00541A14" w:rsidRDefault="00541A14">
      <w:pPr>
        <w:pStyle w:val="Default"/>
        <w:rPr>
          <w:rFonts w:ascii="Palatino" w:hAnsi="Palatino" w:cs="Palatino"/>
          <w:sz w:val="20"/>
          <w:szCs w:val="20"/>
        </w:rPr>
      </w:pPr>
    </w:p>
    <w:p w14:paraId="2A95E663" w14:textId="77777777" w:rsidR="00541A14" w:rsidRDefault="00A450E1">
      <w:pPr>
        <w:pStyle w:val="CM162"/>
        <w:spacing w:after="552"/>
        <w:ind w:left="792" w:right="3322"/>
        <w:rPr>
          <w:rFonts w:ascii="Palatino" w:hAnsi="Palatino" w:cs="Palatino"/>
          <w:color w:val="000000"/>
          <w:sz w:val="20"/>
          <w:szCs w:val="20"/>
        </w:rPr>
      </w:pPr>
      <w:r>
        <w:rPr>
          <w:rFonts w:ascii="Palatino" w:hAnsi="Palatino" w:cs="Palatino"/>
          <w:color w:val="000000"/>
          <w:position w:val="6"/>
          <w:sz w:val="20"/>
          <w:szCs w:val="20"/>
          <w:vertAlign w:val="superscript"/>
        </w:rPr>
        <w:t xml:space="preserve">31 </w:t>
      </w:r>
      <w:r>
        <w:rPr>
          <w:rFonts w:ascii="Palatino" w:hAnsi="Palatino" w:cs="Palatino"/>
          <w:color w:val="000000"/>
          <w:sz w:val="20"/>
          <w:szCs w:val="20"/>
        </w:rPr>
        <w:t xml:space="preserve">Refer to IMO Publication ‘Ships; Routeing’, IMO, London, 9th Edition. </w:t>
      </w:r>
    </w:p>
    <w:p w14:paraId="53B41A97" w14:textId="77777777" w:rsidR="00541A14" w:rsidRDefault="00541A14">
      <w:pPr>
        <w:pStyle w:val="CM12"/>
        <w:jc w:val="both"/>
        <w:rPr>
          <w:rFonts w:ascii="Palatino" w:hAnsi="Palatino" w:cs="Palatino"/>
          <w:color w:val="000000"/>
          <w:sz w:val="20"/>
          <w:szCs w:val="20"/>
        </w:rPr>
      </w:pPr>
    </w:p>
    <w:p w14:paraId="3F6CED4B" w14:textId="77777777" w:rsidR="00541A14" w:rsidRDefault="00DD420F">
      <w:pPr>
        <w:pStyle w:val="Default"/>
        <w:framePr w:w="920" w:wrap="auto" w:vAnchor="page" w:hAnchor="page" w:x="608" w:y="16277"/>
        <w:rPr>
          <w:rFonts w:ascii="Palatino" w:hAnsi="Palatino" w:cs="Palatino"/>
          <w:sz w:val="20"/>
          <w:szCs w:val="20"/>
        </w:rPr>
      </w:pPr>
      <w:r>
        <w:rPr>
          <w:rFonts w:ascii="Palatino" w:hAnsi="Palatino" w:cs="Palatino"/>
          <w:noProof/>
          <w:sz w:val="20"/>
          <w:szCs w:val="20"/>
        </w:rPr>
        <w:drawing>
          <wp:inline distT="0" distB="0" distL="0" distR="0" wp14:anchorId="7720D179" wp14:editId="411103EC">
            <wp:extent cx="153035" cy="142240"/>
            <wp:effectExtent l="0" t="0" r="0" b="1016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53035" cy="142240"/>
                    </a:xfrm>
                    <a:prstGeom prst="rect">
                      <a:avLst/>
                    </a:prstGeom>
                    <a:noFill/>
                    <a:ln>
                      <a:noFill/>
                    </a:ln>
                  </pic:spPr>
                </pic:pic>
              </a:graphicData>
            </a:graphic>
          </wp:inline>
        </w:drawing>
      </w:r>
    </w:p>
    <w:p w14:paraId="50D8394D" w14:textId="77777777" w:rsidR="00541A14" w:rsidRDefault="00DD420F">
      <w:pPr>
        <w:pStyle w:val="Default"/>
        <w:framePr w:w="1040" w:wrap="auto" w:vAnchor="page" w:hAnchor="page" w:x="714" w:y="16277"/>
        <w:rPr>
          <w:rFonts w:ascii="Palatino" w:hAnsi="Palatino" w:cs="Palatino"/>
          <w:sz w:val="20"/>
          <w:szCs w:val="20"/>
        </w:rPr>
      </w:pPr>
      <w:r>
        <w:rPr>
          <w:rFonts w:ascii="Palatino" w:hAnsi="Palatino" w:cs="Palatino"/>
          <w:noProof/>
          <w:sz w:val="20"/>
          <w:szCs w:val="20"/>
        </w:rPr>
        <w:drawing>
          <wp:inline distT="0" distB="0" distL="0" distR="0" wp14:anchorId="44D03D0A" wp14:editId="03C28D57">
            <wp:extent cx="215900" cy="142240"/>
            <wp:effectExtent l="0" t="0" r="12700" b="1016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15900" cy="142240"/>
                    </a:xfrm>
                    <a:prstGeom prst="rect">
                      <a:avLst/>
                    </a:prstGeom>
                    <a:noFill/>
                    <a:ln>
                      <a:noFill/>
                    </a:ln>
                  </pic:spPr>
                </pic:pic>
              </a:graphicData>
            </a:graphic>
          </wp:inline>
        </w:drawing>
      </w:r>
    </w:p>
    <w:p w14:paraId="121B1DC3" w14:textId="77777777" w:rsidR="00541A14" w:rsidRDefault="00541A14">
      <w:pPr>
        <w:pStyle w:val="CM100"/>
        <w:ind w:left="8357"/>
        <w:rPr>
          <w:rFonts w:ascii="Palatino" w:hAnsi="Palatino" w:cs="Palatino"/>
          <w:color w:val="000000"/>
          <w:sz w:val="20"/>
          <w:szCs w:val="20"/>
        </w:rPr>
      </w:pPr>
    </w:p>
    <w:p w14:paraId="35516CB3"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59B4FAE0" wp14:editId="0F094D07">
            <wp:extent cx="227330" cy="113665"/>
            <wp:effectExtent l="0" t="0" r="127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0FC3E4F9"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72DCBD5D" wp14:editId="19597EFD">
            <wp:extent cx="823595" cy="11366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6933E50B" w14:textId="77777777" w:rsidR="00541A14" w:rsidRDefault="00DD420F">
      <w:pPr>
        <w:pStyle w:val="Default"/>
        <w:pageBreakBefore/>
        <w:framePr w:w="12876" w:wrap="auto" w:vAnchor="page" w:hAnchor="page" w:x="101" w:y="1"/>
        <w:spacing w:after="860"/>
        <w:rPr>
          <w:rFonts w:ascii="Palatino" w:hAnsi="Palatino" w:cs="Palatino"/>
          <w:sz w:val="20"/>
          <w:szCs w:val="20"/>
        </w:rPr>
      </w:pPr>
      <w:r>
        <w:rPr>
          <w:rFonts w:ascii="Palatino" w:hAnsi="Palatino" w:cs="Palatino"/>
          <w:noProof/>
          <w:sz w:val="20"/>
          <w:szCs w:val="20"/>
        </w:rPr>
        <w:drawing>
          <wp:inline distT="0" distB="0" distL="0" distR="0" wp14:anchorId="19698076" wp14:editId="7F71EC74">
            <wp:extent cx="7553960" cy="1056640"/>
            <wp:effectExtent l="0" t="0" r="0" b="1016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06E6C6DE" w14:textId="77777777" w:rsidR="00541A14" w:rsidRDefault="00A450E1">
      <w:pPr>
        <w:pStyle w:val="Default"/>
        <w:numPr>
          <w:ilvl w:val="0"/>
          <w:numId w:val="112"/>
        </w:numPr>
        <w:rPr>
          <w:rFonts w:ascii="Palatino" w:hAnsi="Palatino" w:cs="Palatino"/>
          <w:sz w:val="20"/>
          <w:szCs w:val="20"/>
        </w:rPr>
      </w:pPr>
      <w:r>
        <w:rPr>
          <w:rFonts w:ascii="Palatino" w:hAnsi="Palatino" w:cs="Palatino"/>
          <w:sz w:val="20"/>
          <w:szCs w:val="20"/>
        </w:rPr>
        <w:t xml:space="preserve">the organization of safe traffic flow in areas of concentrated offshore exploration or exploitation; </w:t>
      </w:r>
    </w:p>
    <w:p w14:paraId="5E67ED64" w14:textId="77777777" w:rsidR="00541A14" w:rsidRDefault="00A450E1">
      <w:pPr>
        <w:pStyle w:val="Default"/>
        <w:numPr>
          <w:ilvl w:val="0"/>
          <w:numId w:val="112"/>
        </w:numPr>
        <w:rPr>
          <w:rFonts w:ascii="Palatino" w:hAnsi="Palatino" w:cs="Palatino"/>
          <w:sz w:val="20"/>
          <w:szCs w:val="20"/>
        </w:rPr>
      </w:pPr>
      <w:r>
        <w:rPr>
          <w:rFonts w:ascii="Palatino" w:hAnsi="Palatino" w:cs="Palatino"/>
          <w:sz w:val="20"/>
          <w:szCs w:val="20"/>
        </w:rPr>
        <w:t xml:space="preserve">the organization of traffic flow in or around areas where navigation by all ships or by certain </w:t>
      </w:r>
    </w:p>
    <w:p w14:paraId="540AFEC0" w14:textId="77777777" w:rsidR="00541A14" w:rsidRDefault="00541A14">
      <w:pPr>
        <w:pStyle w:val="Default"/>
        <w:rPr>
          <w:rFonts w:ascii="Palatino" w:hAnsi="Palatino" w:cs="Palatino"/>
          <w:sz w:val="20"/>
          <w:szCs w:val="20"/>
        </w:rPr>
      </w:pPr>
    </w:p>
    <w:p w14:paraId="44DBFB65"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 xml:space="preserve">classes of ship is dangerous or undesirable; </w:t>
      </w:r>
    </w:p>
    <w:p w14:paraId="46481DE5"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the organization of safe traffic flow in or around or at a safe distance from environmentally </w:t>
      </w:r>
    </w:p>
    <w:p w14:paraId="57AFA99D"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 xml:space="preserve">sensitive areas; </w:t>
      </w:r>
    </w:p>
    <w:p w14:paraId="090ADA8F"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the reduction of risk of grounding by providing special guidance to vessels in areas where water </w:t>
      </w:r>
    </w:p>
    <w:p w14:paraId="006F505B"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 xml:space="preserve">depths are uncertain or critical; and </w:t>
      </w:r>
    </w:p>
    <w:p w14:paraId="496A7392"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the guidance of traffic clear of fishing grounds or the organization of traffic through fishing </w:t>
      </w:r>
    </w:p>
    <w:p w14:paraId="13E090F1" w14:textId="77777777" w:rsidR="00541A14" w:rsidRDefault="00A450E1">
      <w:pPr>
        <w:pStyle w:val="CM175"/>
        <w:spacing w:after="267"/>
        <w:ind w:left="302"/>
        <w:rPr>
          <w:rFonts w:ascii="Palatino" w:hAnsi="Palatino" w:cs="Palatino"/>
          <w:color w:val="000000"/>
          <w:sz w:val="20"/>
          <w:szCs w:val="20"/>
        </w:rPr>
      </w:pPr>
      <w:r>
        <w:rPr>
          <w:rFonts w:ascii="Palatino" w:hAnsi="Palatino" w:cs="Palatino"/>
          <w:color w:val="000000"/>
          <w:sz w:val="20"/>
          <w:szCs w:val="20"/>
        </w:rPr>
        <w:t xml:space="preserve">grounds. </w:t>
      </w:r>
    </w:p>
    <w:p w14:paraId="292537E2"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6.2.2 Definitions </w:t>
      </w:r>
    </w:p>
    <w:p w14:paraId="13DD93C6" w14:textId="77777777" w:rsidR="00541A14" w:rsidRDefault="00A450E1">
      <w:pPr>
        <w:pStyle w:val="CM185"/>
        <w:spacing w:after="140"/>
        <w:rPr>
          <w:rFonts w:ascii="Palatino" w:hAnsi="Palatino" w:cs="Palatino"/>
          <w:color w:val="000000"/>
          <w:sz w:val="20"/>
          <w:szCs w:val="20"/>
        </w:rPr>
      </w:pPr>
      <w:r>
        <w:rPr>
          <w:rFonts w:ascii="Palatino" w:hAnsi="Palatino" w:cs="Palatino"/>
          <w:color w:val="000000"/>
          <w:sz w:val="20"/>
          <w:szCs w:val="20"/>
        </w:rPr>
        <w:t xml:space="preserve">The following terms are used in connection with matters related to ships’ routeing: </w:t>
      </w:r>
    </w:p>
    <w:p w14:paraId="367ACF06" w14:textId="77777777" w:rsidR="00541A14" w:rsidRDefault="00A450E1">
      <w:pPr>
        <w:pStyle w:val="Default"/>
        <w:rPr>
          <w:rFonts w:ascii="Palatino" w:hAnsi="Palatino" w:cs="Palatino"/>
          <w:sz w:val="20"/>
          <w:szCs w:val="20"/>
        </w:rPr>
      </w:pPr>
      <w:r>
        <w:rPr>
          <w:rFonts w:ascii="Palatino" w:hAnsi="Palatino" w:cs="Palatino"/>
          <w:b/>
          <w:bCs/>
          <w:sz w:val="20"/>
          <w:szCs w:val="20"/>
        </w:rPr>
        <w:t>Approach Channel</w:t>
      </w:r>
      <w:r>
        <w:rPr>
          <w:rFonts w:ascii="Palatino" w:hAnsi="Palatino" w:cs="Palatino"/>
          <w:sz w:val="20"/>
          <w:szCs w:val="20"/>
        </w:rPr>
        <w:t xml:space="preserve">: An approach channel is defined as any stretch of waterway linking the berths of a </w:t>
      </w:r>
    </w:p>
    <w:p w14:paraId="2064E69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port and the open sea. There are two main types; the seaway or outer channel, and the main approach or inner channel which lies in relatively sheltered waters. </w:t>
      </w:r>
    </w:p>
    <w:p w14:paraId="59EEADF5" w14:textId="77777777" w:rsidR="00541A14" w:rsidRDefault="00A450E1">
      <w:pPr>
        <w:pStyle w:val="CM4"/>
        <w:rPr>
          <w:rFonts w:ascii="Palatino" w:hAnsi="Palatino" w:cs="Palatino"/>
          <w:color w:val="000000"/>
          <w:sz w:val="20"/>
          <w:szCs w:val="20"/>
        </w:rPr>
      </w:pPr>
      <w:r>
        <w:rPr>
          <w:rFonts w:ascii="Palatino" w:hAnsi="Palatino" w:cs="Palatino"/>
          <w:b/>
          <w:bCs/>
          <w:color w:val="000000"/>
          <w:sz w:val="20"/>
          <w:szCs w:val="20"/>
        </w:rPr>
        <w:t>Area to be avoided</w:t>
      </w:r>
      <w:r>
        <w:rPr>
          <w:rFonts w:ascii="Palatino" w:hAnsi="Palatino" w:cs="Palatino"/>
          <w:color w:val="000000"/>
          <w:sz w:val="20"/>
          <w:szCs w:val="20"/>
        </w:rPr>
        <w:t xml:space="preserve">: A routeing measure comprising an area within defined limits in which either </w:t>
      </w:r>
    </w:p>
    <w:p w14:paraId="349462F3"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navigation is particularly hazardous or it is exceptionally important to avoid casualties and which should be avoided by all ships, or certain classes of ship. </w:t>
      </w:r>
    </w:p>
    <w:p w14:paraId="3BA4E10A" w14:textId="77777777" w:rsidR="00541A14" w:rsidRDefault="00A450E1">
      <w:pPr>
        <w:pStyle w:val="CM4"/>
        <w:rPr>
          <w:rFonts w:ascii="Palatino" w:hAnsi="Palatino" w:cs="Palatino"/>
          <w:color w:val="000000"/>
          <w:sz w:val="20"/>
          <w:szCs w:val="20"/>
        </w:rPr>
      </w:pPr>
      <w:r>
        <w:rPr>
          <w:rFonts w:ascii="Palatino" w:hAnsi="Palatino" w:cs="Palatino"/>
          <w:b/>
          <w:bCs/>
          <w:color w:val="000000"/>
          <w:sz w:val="20"/>
          <w:szCs w:val="20"/>
        </w:rPr>
        <w:t>Deep-water route</w:t>
      </w:r>
      <w:r>
        <w:rPr>
          <w:rFonts w:ascii="Palatino" w:hAnsi="Palatino" w:cs="Palatino"/>
          <w:color w:val="000000"/>
          <w:sz w:val="20"/>
          <w:szCs w:val="20"/>
        </w:rPr>
        <w:t xml:space="preserve">: A route within defined limits which have been accurately surveyed for clearance </w:t>
      </w:r>
    </w:p>
    <w:p w14:paraId="3F5A118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of sea bottom and submerged obstacles as indicated on the chart. </w:t>
      </w:r>
    </w:p>
    <w:p w14:paraId="7D5F3A29" w14:textId="77777777" w:rsidR="00541A14" w:rsidRDefault="00A450E1">
      <w:pPr>
        <w:pStyle w:val="CM185"/>
        <w:spacing w:after="140" w:line="293" w:lineRule="atLeast"/>
        <w:ind w:right="327"/>
        <w:rPr>
          <w:rFonts w:ascii="Palatino" w:hAnsi="Palatino" w:cs="Palatino"/>
          <w:color w:val="000000"/>
          <w:sz w:val="20"/>
          <w:szCs w:val="20"/>
        </w:rPr>
      </w:pPr>
      <w:r>
        <w:rPr>
          <w:rFonts w:ascii="Palatino" w:hAnsi="Palatino" w:cs="Palatino"/>
          <w:b/>
          <w:bCs/>
          <w:color w:val="000000"/>
          <w:sz w:val="20"/>
          <w:szCs w:val="20"/>
        </w:rPr>
        <w:t>Established direction of traffic flow</w:t>
      </w:r>
      <w:r>
        <w:rPr>
          <w:rFonts w:ascii="Palatino" w:hAnsi="Palatino" w:cs="Palatino"/>
          <w:color w:val="000000"/>
          <w:sz w:val="20"/>
          <w:szCs w:val="20"/>
        </w:rPr>
        <w:t xml:space="preserve">: A traffic flow pattern indicating the directional movement of traffic as established within a traffic separation scheme. </w:t>
      </w:r>
    </w:p>
    <w:p w14:paraId="49473A18" w14:textId="77777777" w:rsidR="00541A14" w:rsidRDefault="00A450E1">
      <w:pPr>
        <w:pStyle w:val="Default"/>
        <w:rPr>
          <w:rFonts w:ascii="Palatino" w:hAnsi="Palatino" w:cs="Palatino"/>
          <w:sz w:val="20"/>
          <w:szCs w:val="20"/>
        </w:rPr>
      </w:pPr>
      <w:r>
        <w:rPr>
          <w:rFonts w:ascii="Palatino" w:hAnsi="Palatino" w:cs="Palatino"/>
          <w:b/>
          <w:bCs/>
          <w:sz w:val="20"/>
          <w:szCs w:val="20"/>
        </w:rPr>
        <w:t>Inshore traffic zone</w:t>
      </w:r>
      <w:r>
        <w:rPr>
          <w:rFonts w:ascii="Palatino" w:hAnsi="Palatino" w:cs="Palatino"/>
          <w:b/>
          <w:bCs/>
          <w:position w:val="7"/>
          <w:sz w:val="11"/>
          <w:szCs w:val="11"/>
          <w:vertAlign w:val="superscript"/>
        </w:rPr>
        <w:t>32</w:t>
      </w:r>
      <w:r>
        <w:rPr>
          <w:rFonts w:ascii="Palatino" w:hAnsi="Palatino" w:cs="Palatino"/>
          <w:sz w:val="20"/>
          <w:szCs w:val="20"/>
        </w:rPr>
        <w:t xml:space="preserve">: A routeing measure comprising a designated area between the landward </w:t>
      </w:r>
    </w:p>
    <w:p w14:paraId="4C8C86A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boundary of a traffic separation scheme and the adjacent coast, to be used in accordance with the </w:t>
      </w:r>
    </w:p>
    <w:p w14:paraId="4616B00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provisions of rule 10(d), as amended, of the International Regulations for Preventing Collisions at Sea, 1972 (COLREGs). </w:t>
      </w:r>
    </w:p>
    <w:p w14:paraId="6F6AC91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mandatory routeing system</w:t>
      </w:r>
      <w:r>
        <w:rPr>
          <w:rFonts w:ascii="Palatino" w:hAnsi="Palatino" w:cs="Palatino"/>
          <w:color w:val="000000"/>
          <w:sz w:val="20"/>
          <w:szCs w:val="20"/>
        </w:rPr>
        <w:t xml:space="preserve">: A routeing system adopted by the International Maritime Organization, in accordance with the requirements of SOLAS Regulation V/10, for mandatory use by all ships, certain categories of ships or ship carrying certain cargoes. </w:t>
      </w:r>
    </w:p>
    <w:p w14:paraId="6EB15011" w14:textId="77777777" w:rsidR="00541A14" w:rsidRDefault="00A450E1">
      <w:pPr>
        <w:pStyle w:val="CM4"/>
        <w:rPr>
          <w:rFonts w:ascii="Palatino" w:hAnsi="Palatino" w:cs="Palatino"/>
          <w:color w:val="000000"/>
          <w:sz w:val="20"/>
          <w:szCs w:val="20"/>
        </w:rPr>
      </w:pPr>
      <w:r>
        <w:rPr>
          <w:rFonts w:ascii="Palatino" w:hAnsi="Palatino" w:cs="Palatino"/>
          <w:b/>
          <w:bCs/>
          <w:color w:val="000000"/>
          <w:sz w:val="20"/>
          <w:szCs w:val="20"/>
        </w:rPr>
        <w:t>No anchoring area</w:t>
      </w:r>
      <w:r>
        <w:rPr>
          <w:rFonts w:ascii="Palatino" w:hAnsi="Palatino" w:cs="Palatino"/>
          <w:color w:val="000000"/>
          <w:sz w:val="20"/>
          <w:szCs w:val="20"/>
        </w:rPr>
        <w:t xml:space="preserve">: A routeing measure comprising an area within defined limits where anchoring </w:t>
      </w:r>
    </w:p>
    <w:p w14:paraId="23599EC7"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is hazardous or could result in unacceptable damage to the marine environment. Anchoring in a no anchoring area should be avoided by all ships or certain classes of ships, except in case of immediate danger to the ship or the persons on board. </w:t>
      </w:r>
    </w:p>
    <w:p w14:paraId="402D02D9"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b/>
          <w:bCs/>
          <w:color w:val="000000"/>
          <w:sz w:val="20"/>
          <w:szCs w:val="20"/>
        </w:rPr>
        <w:t>Precautionary area</w:t>
      </w:r>
      <w:r>
        <w:rPr>
          <w:rFonts w:ascii="Palatino" w:hAnsi="Palatino" w:cs="Palatino"/>
          <w:color w:val="000000"/>
          <w:sz w:val="20"/>
          <w:szCs w:val="20"/>
        </w:rPr>
        <w:t xml:space="preserve">: A routeing measure comprising an area within defined limits where ships must navigate with particular caution and within which the direction of traffic flow may be recommended. </w:t>
      </w:r>
    </w:p>
    <w:p w14:paraId="19D30E69" w14:textId="77777777" w:rsidR="00541A14" w:rsidRDefault="00A450E1">
      <w:pPr>
        <w:pStyle w:val="CM170"/>
        <w:spacing w:after="887" w:line="291" w:lineRule="atLeast"/>
        <w:ind w:right="107"/>
        <w:rPr>
          <w:rFonts w:ascii="Palatino" w:hAnsi="Palatino" w:cs="Palatino"/>
          <w:color w:val="000000"/>
          <w:sz w:val="20"/>
          <w:szCs w:val="20"/>
        </w:rPr>
      </w:pPr>
      <w:r>
        <w:rPr>
          <w:rFonts w:ascii="Palatino" w:hAnsi="Palatino" w:cs="Palatino"/>
          <w:b/>
          <w:bCs/>
          <w:color w:val="000000"/>
          <w:sz w:val="20"/>
          <w:szCs w:val="20"/>
        </w:rPr>
        <w:t>Recommended direction of traffic flow</w:t>
      </w:r>
      <w:r>
        <w:rPr>
          <w:rFonts w:ascii="Palatino" w:hAnsi="Palatino" w:cs="Palatino"/>
          <w:color w:val="000000"/>
          <w:sz w:val="20"/>
          <w:szCs w:val="20"/>
        </w:rPr>
        <w:t xml:space="preserve">: A traffic flow pattern indicating a recommended directional movement of traffic where it is impractical or unnecessary to adopt an established direction of traffic flow. </w:t>
      </w:r>
    </w:p>
    <w:p w14:paraId="50DC81E0" w14:textId="77777777" w:rsidR="00541A14" w:rsidRDefault="00A450E1">
      <w:pPr>
        <w:pStyle w:val="CM163"/>
        <w:spacing w:after="642"/>
        <w:jc w:val="both"/>
        <w:rPr>
          <w:rFonts w:ascii="Palatino" w:hAnsi="Palatino" w:cs="Palatino"/>
          <w:color w:val="000000"/>
          <w:sz w:val="20"/>
          <w:szCs w:val="20"/>
        </w:rPr>
      </w:pPr>
      <w:r>
        <w:rPr>
          <w:rFonts w:ascii="Palatino" w:hAnsi="Palatino" w:cs="Palatino"/>
          <w:color w:val="000000"/>
          <w:position w:val="6"/>
          <w:sz w:val="20"/>
          <w:szCs w:val="20"/>
          <w:vertAlign w:val="superscript"/>
        </w:rPr>
        <w:t>32</w:t>
      </w:r>
      <w:r>
        <w:rPr>
          <w:rFonts w:ascii="Palatino" w:hAnsi="Palatino" w:cs="Palatino"/>
          <w:color w:val="000000"/>
          <w:sz w:val="20"/>
          <w:szCs w:val="20"/>
        </w:rPr>
        <w:t xml:space="preserve">This term is used in the 1972 COLREGs </w:t>
      </w:r>
    </w:p>
    <w:p w14:paraId="366F3CE7" w14:textId="77777777" w:rsidR="00541A14" w:rsidRDefault="00A450E1">
      <w:pPr>
        <w:pStyle w:val="CM12"/>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64802B2E"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117 </w:t>
      </w:r>
    </w:p>
    <w:p w14:paraId="24056592" w14:textId="77777777" w:rsidR="00541A14" w:rsidRDefault="00DD420F">
      <w:pPr>
        <w:pStyle w:val="Default"/>
        <w:pageBreakBefore/>
        <w:framePr w:w="24782" w:wrap="auto" w:vAnchor="page" w:hAnchor="page" w:x="101" w:y="1"/>
        <w:spacing w:after="62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50892A2E" wp14:editId="39241348">
            <wp:extent cx="7553960" cy="1056640"/>
            <wp:effectExtent l="0" t="0" r="0" b="1016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7E164E0E" w14:textId="77777777" w:rsidR="00541A14" w:rsidRDefault="00A450E1">
      <w:pPr>
        <w:pStyle w:val="CM165"/>
        <w:spacing w:after="85"/>
        <w:rPr>
          <w:rFonts w:ascii="Palatino" w:hAnsi="Palatino" w:cs="Palatino"/>
          <w:color w:val="000000"/>
          <w:sz w:val="20"/>
          <w:szCs w:val="20"/>
        </w:rPr>
      </w:pPr>
      <w:r>
        <w:rPr>
          <w:rFonts w:ascii="Palatino" w:hAnsi="Palatino" w:cs="Palatino"/>
          <w:b/>
          <w:bCs/>
          <w:color w:val="000000"/>
          <w:sz w:val="20"/>
          <w:szCs w:val="20"/>
        </w:rPr>
        <w:t>Recommended route</w:t>
      </w:r>
      <w:r>
        <w:rPr>
          <w:rFonts w:ascii="Palatino" w:hAnsi="Palatino" w:cs="Palatino"/>
          <w:color w:val="000000"/>
          <w:sz w:val="20"/>
          <w:szCs w:val="20"/>
        </w:rPr>
        <w:t xml:space="preserve">: A route of undefined width, for the convenience of ships in transit, which is </w:t>
      </w:r>
    </w:p>
    <w:p w14:paraId="38BD5BE2"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often marked by centreline buoys. </w:t>
      </w:r>
    </w:p>
    <w:p w14:paraId="537ABD0D" w14:textId="77777777" w:rsidR="00541A14" w:rsidRDefault="00A450E1">
      <w:pPr>
        <w:pStyle w:val="CM185"/>
        <w:spacing w:after="140" w:line="291" w:lineRule="atLeast"/>
        <w:ind w:right="107"/>
        <w:rPr>
          <w:rFonts w:ascii="Palatino" w:hAnsi="Palatino" w:cs="Palatino"/>
          <w:color w:val="000000"/>
          <w:sz w:val="20"/>
          <w:szCs w:val="20"/>
        </w:rPr>
      </w:pPr>
      <w:r>
        <w:rPr>
          <w:rFonts w:ascii="Palatino" w:hAnsi="Palatino" w:cs="Palatino"/>
          <w:b/>
          <w:bCs/>
          <w:color w:val="000000"/>
          <w:sz w:val="20"/>
          <w:szCs w:val="20"/>
        </w:rPr>
        <w:t>Recommended track</w:t>
      </w:r>
      <w:r>
        <w:rPr>
          <w:rFonts w:ascii="Palatino" w:hAnsi="Palatino" w:cs="Palatino"/>
          <w:color w:val="000000"/>
          <w:sz w:val="20"/>
          <w:szCs w:val="20"/>
        </w:rPr>
        <w:t xml:space="preserve">: A route which has been specially examined to ensure, so far as possible, that it is free of dangers and along which, ships are advised to navigate. </w:t>
      </w:r>
    </w:p>
    <w:p w14:paraId="26B36E4C" w14:textId="77777777" w:rsidR="00541A14" w:rsidRDefault="00A450E1">
      <w:pPr>
        <w:pStyle w:val="Default"/>
        <w:rPr>
          <w:rFonts w:ascii="Palatino" w:hAnsi="Palatino" w:cs="Palatino"/>
          <w:sz w:val="20"/>
          <w:szCs w:val="20"/>
        </w:rPr>
      </w:pPr>
      <w:r>
        <w:rPr>
          <w:rFonts w:ascii="Palatino" w:hAnsi="Palatino" w:cs="Palatino"/>
          <w:b/>
          <w:bCs/>
          <w:sz w:val="20"/>
          <w:szCs w:val="20"/>
        </w:rPr>
        <w:t>Roundabout</w:t>
      </w:r>
      <w:r>
        <w:rPr>
          <w:rFonts w:ascii="Palatino" w:hAnsi="Palatino" w:cs="Palatino"/>
          <w:b/>
          <w:bCs/>
          <w:position w:val="7"/>
          <w:sz w:val="11"/>
          <w:szCs w:val="11"/>
          <w:vertAlign w:val="superscript"/>
        </w:rPr>
        <w:t>33</w:t>
      </w:r>
      <w:r>
        <w:rPr>
          <w:rFonts w:ascii="Palatino" w:hAnsi="Palatino" w:cs="Palatino"/>
          <w:sz w:val="20"/>
          <w:szCs w:val="20"/>
        </w:rPr>
        <w:t xml:space="preserve">: A routeing measure comprising a separation point or circular separation zone and a </w:t>
      </w:r>
    </w:p>
    <w:p w14:paraId="4C9B138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circular traffic lane within defined limits. Traffic within the roundabout is separated by moving in a </w:t>
      </w:r>
    </w:p>
    <w:p w14:paraId="74490B8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counter clockwise direction around the separation point or zone. </w:t>
      </w:r>
    </w:p>
    <w:p w14:paraId="314CA3BF" w14:textId="77777777" w:rsidR="00541A14" w:rsidRDefault="00A450E1">
      <w:pPr>
        <w:pStyle w:val="CM4"/>
        <w:rPr>
          <w:rFonts w:ascii="Palatino" w:hAnsi="Palatino" w:cs="Palatino"/>
          <w:color w:val="000000"/>
          <w:sz w:val="20"/>
          <w:szCs w:val="20"/>
        </w:rPr>
      </w:pPr>
      <w:r>
        <w:rPr>
          <w:rFonts w:ascii="Palatino" w:hAnsi="Palatino" w:cs="Palatino"/>
          <w:b/>
          <w:bCs/>
          <w:color w:val="000000"/>
          <w:sz w:val="20"/>
          <w:szCs w:val="20"/>
        </w:rPr>
        <w:t>Routeing system</w:t>
      </w:r>
      <w:r>
        <w:rPr>
          <w:rFonts w:ascii="Palatino" w:hAnsi="Palatino" w:cs="Palatino"/>
          <w:color w:val="000000"/>
          <w:sz w:val="20"/>
          <w:szCs w:val="20"/>
        </w:rPr>
        <w:t xml:space="preserve">: Any system of one or more routes or routeing measures aimed at reducing the risk </w:t>
      </w:r>
    </w:p>
    <w:p w14:paraId="64329E8A"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of casualties, it includes traffic separation schemes, two-way routes, recommended tracks, areas to be avoided, inshore traffic zones, roundabouts, precautionary areas and deep water routes. </w:t>
      </w:r>
    </w:p>
    <w:p w14:paraId="04F91144" w14:textId="77777777" w:rsidR="00541A14" w:rsidRDefault="00A450E1">
      <w:pPr>
        <w:pStyle w:val="CM185"/>
        <w:spacing w:after="140" w:line="293" w:lineRule="atLeast"/>
        <w:ind w:right="327"/>
        <w:rPr>
          <w:rFonts w:ascii="Palatino" w:hAnsi="Palatino" w:cs="Palatino"/>
          <w:color w:val="000000"/>
          <w:sz w:val="20"/>
          <w:szCs w:val="20"/>
        </w:rPr>
      </w:pPr>
      <w:r>
        <w:rPr>
          <w:rFonts w:ascii="Palatino" w:hAnsi="Palatino" w:cs="Palatino"/>
          <w:b/>
          <w:bCs/>
          <w:color w:val="000000"/>
          <w:sz w:val="20"/>
          <w:szCs w:val="20"/>
        </w:rPr>
        <w:t>separation zone or line</w:t>
      </w:r>
      <w:r>
        <w:rPr>
          <w:rFonts w:ascii="Palatino" w:hAnsi="Palatino" w:cs="Palatino"/>
          <w:b/>
          <w:bCs/>
          <w:color w:val="000000"/>
          <w:position w:val="7"/>
          <w:sz w:val="11"/>
          <w:szCs w:val="11"/>
          <w:vertAlign w:val="superscript"/>
        </w:rPr>
        <w:t>34</w:t>
      </w:r>
      <w:r>
        <w:rPr>
          <w:rFonts w:ascii="Palatino" w:hAnsi="Palatino" w:cs="Palatino"/>
          <w:b/>
          <w:bCs/>
          <w:color w:val="000000"/>
          <w:sz w:val="20"/>
          <w:szCs w:val="20"/>
        </w:rPr>
        <w:t xml:space="preserve">: </w:t>
      </w:r>
      <w:r>
        <w:rPr>
          <w:rFonts w:ascii="Palatino" w:hAnsi="Palatino" w:cs="Palatino"/>
          <w:color w:val="000000"/>
          <w:sz w:val="20"/>
          <w:szCs w:val="20"/>
        </w:rPr>
        <w:t xml:space="preserve">A zone or line separating the traffic lanes in which ships are proceeding in opposite or nearly opposite direction or separating a traffic lane from the adjacent sea area; or separating traffic lanes designated for particular classes of ship proceeding in the same direction. </w:t>
      </w:r>
    </w:p>
    <w:p w14:paraId="62181E37" w14:textId="77777777" w:rsidR="00541A14" w:rsidRDefault="00A450E1">
      <w:pPr>
        <w:pStyle w:val="Default"/>
        <w:rPr>
          <w:rFonts w:ascii="Palatino" w:hAnsi="Palatino" w:cs="Palatino"/>
          <w:sz w:val="20"/>
          <w:szCs w:val="20"/>
        </w:rPr>
      </w:pPr>
      <w:r>
        <w:rPr>
          <w:rFonts w:ascii="Palatino" w:hAnsi="Palatino" w:cs="Palatino"/>
          <w:b/>
          <w:bCs/>
          <w:sz w:val="20"/>
          <w:szCs w:val="20"/>
        </w:rPr>
        <w:t>Traffic lane</w:t>
      </w:r>
      <w:r>
        <w:rPr>
          <w:rFonts w:ascii="Palatino" w:hAnsi="Palatino" w:cs="Palatino"/>
          <w:b/>
          <w:bCs/>
          <w:position w:val="7"/>
          <w:sz w:val="11"/>
          <w:szCs w:val="11"/>
          <w:vertAlign w:val="superscript"/>
        </w:rPr>
        <w:t>35</w:t>
      </w:r>
      <w:r>
        <w:rPr>
          <w:rFonts w:ascii="Palatino" w:hAnsi="Palatino" w:cs="Palatino"/>
          <w:sz w:val="20"/>
          <w:szCs w:val="20"/>
        </w:rPr>
        <w:t xml:space="preserve">: An area within defined limits in which one-way traffic is established. Natural obstacles, </w:t>
      </w:r>
    </w:p>
    <w:p w14:paraId="524C0CE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including those forming separation zones, may constitute a boundary. </w:t>
      </w:r>
    </w:p>
    <w:p w14:paraId="4A96F8F7" w14:textId="77777777" w:rsidR="00541A14" w:rsidRDefault="00A450E1">
      <w:pPr>
        <w:pStyle w:val="CM95"/>
        <w:ind w:right="5042"/>
        <w:rPr>
          <w:rFonts w:ascii="Palatino" w:hAnsi="Palatino" w:cs="Palatino"/>
          <w:color w:val="000000"/>
          <w:sz w:val="20"/>
          <w:szCs w:val="20"/>
        </w:rPr>
      </w:pPr>
      <w:r>
        <w:rPr>
          <w:rFonts w:ascii="Palatino" w:hAnsi="Palatino" w:cs="Palatino"/>
          <w:b/>
          <w:bCs/>
          <w:color w:val="000000"/>
          <w:sz w:val="20"/>
          <w:szCs w:val="20"/>
        </w:rPr>
        <w:t>Traffic separation scheme</w:t>
      </w:r>
      <w:r>
        <w:rPr>
          <w:rFonts w:ascii="Palatino" w:hAnsi="Palatino" w:cs="Palatino"/>
          <w:b/>
          <w:bCs/>
          <w:color w:val="000000"/>
          <w:position w:val="7"/>
          <w:sz w:val="11"/>
          <w:szCs w:val="11"/>
          <w:vertAlign w:val="superscript"/>
        </w:rPr>
        <w:t>36</w:t>
      </w:r>
      <w:r>
        <w:rPr>
          <w:rFonts w:ascii="Palatino" w:hAnsi="Palatino" w:cs="Palatino"/>
          <w:color w:val="000000"/>
          <w:sz w:val="20"/>
          <w:szCs w:val="20"/>
        </w:rPr>
        <w:t xml:space="preserve">: A routeing measure aimed at the separation of opposing </w:t>
      </w:r>
    </w:p>
    <w:p w14:paraId="1CDA04C8" w14:textId="77777777" w:rsidR="00541A14" w:rsidRDefault="00A450E1">
      <w:pPr>
        <w:pStyle w:val="CM165"/>
        <w:spacing w:after="85" w:line="291" w:lineRule="atLeast"/>
        <w:ind w:right="4862"/>
        <w:rPr>
          <w:rFonts w:ascii="Palatino" w:hAnsi="Palatino" w:cs="Palatino"/>
          <w:color w:val="000000"/>
          <w:sz w:val="20"/>
          <w:szCs w:val="20"/>
        </w:rPr>
      </w:pPr>
      <w:r>
        <w:rPr>
          <w:rFonts w:ascii="Palatino" w:hAnsi="Palatino" w:cs="Palatino"/>
          <w:color w:val="000000"/>
          <w:sz w:val="20"/>
          <w:szCs w:val="20"/>
        </w:rPr>
        <w:t xml:space="preserve">streams of traffic by appropriate means and by the establishment of traffic lanes. </w:t>
      </w:r>
    </w:p>
    <w:p w14:paraId="72F63974" w14:textId="77777777" w:rsidR="00541A14" w:rsidRDefault="00A450E1">
      <w:pPr>
        <w:pStyle w:val="CM119"/>
        <w:ind w:right="4942"/>
        <w:rPr>
          <w:rFonts w:ascii="Palatino" w:hAnsi="Palatino" w:cs="Palatino"/>
          <w:color w:val="000000"/>
          <w:sz w:val="20"/>
          <w:szCs w:val="20"/>
        </w:rPr>
      </w:pPr>
      <w:r>
        <w:rPr>
          <w:rFonts w:ascii="Palatino" w:hAnsi="Palatino" w:cs="Palatino"/>
          <w:b/>
          <w:bCs/>
          <w:color w:val="000000"/>
          <w:sz w:val="20"/>
          <w:szCs w:val="20"/>
        </w:rPr>
        <w:t>two-way route</w:t>
      </w:r>
      <w:r>
        <w:rPr>
          <w:rFonts w:ascii="Palatino" w:hAnsi="Palatino" w:cs="Palatino"/>
          <w:color w:val="000000"/>
          <w:sz w:val="20"/>
          <w:szCs w:val="20"/>
        </w:rPr>
        <w:t xml:space="preserve">: A route within defined limits inside which two way traffic is established, </w:t>
      </w:r>
    </w:p>
    <w:p w14:paraId="6B071E4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aimed at providing safe passage of ships </w:t>
      </w:r>
    </w:p>
    <w:p w14:paraId="0B22B09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through waters where navigation is difficult or </w:t>
      </w:r>
    </w:p>
    <w:p w14:paraId="4CDE50E0"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dangerous. </w:t>
      </w:r>
    </w:p>
    <w:p w14:paraId="07D1730D"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6.2.3 Vessel Manoeuvring </w:t>
      </w:r>
    </w:p>
    <w:p w14:paraId="09376CC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If a waterway is defined as a series of straight </w:t>
      </w:r>
    </w:p>
    <w:p w14:paraId="2E53CFFA" w14:textId="77777777" w:rsidR="00541A14" w:rsidRDefault="00A450E1">
      <w:pPr>
        <w:pStyle w:val="CM165"/>
        <w:spacing w:after="85" w:line="291" w:lineRule="atLeast"/>
        <w:ind w:right="4862"/>
        <w:rPr>
          <w:rFonts w:ascii="Palatino" w:hAnsi="Palatino" w:cs="Palatino"/>
          <w:color w:val="000000"/>
          <w:sz w:val="20"/>
          <w:szCs w:val="20"/>
        </w:rPr>
      </w:pPr>
      <w:r>
        <w:rPr>
          <w:rFonts w:ascii="Palatino" w:hAnsi="Palatino" w:cs="Palatino"/>
          <w:color w:val="000000"/>
          <w:sz w:val="20"/>
          <w:szCs w:val="20"/>
        </w:rPr>
        <w:t xml:space="preserve">and turn sections, the passage of a vessel along the waterway can be described by a number of navigational phases that are illustrated in Figure 22. These comprise: </w:t>
      </w:r>
    </w:p>
    <w:p w14:paraId="605E7592" w14:textId="77777777" w:rsidR="00541A14" w:rsidRDefault="00A450E1">
      <w:pPr>
        <w:pStyle w:val="Default"/>
        <w:numPr>
          <w:ilvl w:val="0"/>
          <w:numId w:val="113"/>
        </w:numPr>
        <w:rPr>
          <w:rFonts w:ascii="Palatino" w:hAnsi="Palatino" w:cs="Palatino"/>
          <w:sz w:val="20"/>
          <w:szCs w:val="20"/>
        </w:rPr>
      </w:pPr>
      <w:r>
        <w:rPr>
          <w:rFonts w:ascii="Palatino" w:hAnsi="Palatino" w:cs="Palatino"/>
          <w:sz w:val="20"/>
          <w:szCs w:val="20"/>
        </w:rPr>
        <w:t xml:space="preserve">turning; </w:t>
      </w:r>
    </w:p>
    <w:p w14:paraId="22D15462" w14:textId="77777777" w:rsidR="00541A14" w:rsidRDefault="00A450E1">
      <w:pPr>
        <w:pStyle w:val="Default"/>
        <w:numPr>
          <w:ilvl w:val="0"/>
          <w:numId w:val="113"/>
        </w:numPr>
        <w:rPr>
          <w:rFonts w:ascii="Palatino" w:hAnsi="Palatino" w:cs="Palatino"/>
          <w:sz w:val="20"/>
          <w:szCs w:val="20"/>
        </w:rPr>
      </w:pPr>
      <w:r>
        <w:rPr>
          <w:rFonts w:ascii="Palatino" w:hAnsi="Palatino" w:cs="Palatino"/>
          <w:sz w:val="20"/>
          <w:szCs w:val="20"/>
        </w:rPr>
        <w:t xml:space="preserve">recovery, and; </w:t>
      </w:r>
    </w:p>
    <w:p w14:paraId="539EEE1F" w14:textId="77777777" w:rsidR="00541A14" w:rsidRDefault="00A450E1">
      <w:pPr>
        <w:pStyle w:val="Default"/>
        <w:numPr>
          <w:ilvl w:val="0"/>
          <w:numId w:val="113"/>
        </w:numPr>
        <w:rPr>
          <w:rFonts w:ascii="Palatino" w:hAnsi="Palatino" w:cs="Palatino"/>
          <w:sz w:val="20"/>
          <w:szCs w:val="20"/>
        </w:rPr>
      </w:pPr>
      <w:r>
        <w:rPr>
          <w:rFonts w:ascii="Palatino" w:hAnsi="Palatino" w:cs="Palatino"/>
          <w:sz w:val="20"/>
          <w:szCs w:val="20"/>
        </w:rPr>
        <w:t xml:space="preserve">track keeping. </w:t>
      </w:r>
    </w:p>
    <w:p w14:paraId="1321EFC9" w14:textId="77777777" w:rsidR="00541A14" w:rsidRDefault="00541A14">
      <w:pPr>
        <w:pStyle w:val="Default"/>
        <w:rPr>
          <w:rFonts w:ascii="Palatino" w:hAnsi="Palatino" w:cs="Palatino"/>
          <w:sz w:val="20"/>
          <w:szCs w:val="20"/>
        </w:rPr>
      </w:pPr>
    </w:p>
    <w:p w14:paraId="17F8A14D" w14:textId="77777777" w:rsidR="00541A14" w:rsidRDefault="00A450E1">
      <w:pPr>
        <w:pStyle w:val="CM163"/>
        <w:spacing w:after="642" w:line="291" w:lineRule="atLeast"/>
        <w:ind w:right="4942"/>
        <w:rPr>
          <w:rFonts w:ascii="Palatino" w:hAnsi="Palatino" w:cs="Palatino"/>
          <w:color w:val="000000"/>
          <w:sz w:val="20"/>
          <w:szCs w:val="20"/>
        </w:rPr>
      </w:pPr>
      <w:r>
        <w:rPr>
          <w:rFonts w:ascii="Palatino" w:hAnsi="Palatino" w:cs="Palatino"/>
          <w:color w:val="000000"/>
          <w:sz w:val="20"/>
          <w:szCs w:val="20"/>
        </w:rPr>
        <w:t xml:space="preserve">The type of manoeuvre within a section determines the information that the navigator requires from the aids to navigation. </w:t>
      </w:r>
    </w:p>
    <w:p w14:paraId="3850D20D" w14:textId="77777777" w:rsidR="00541A14" w:rsidRDefault="00A450E1">
      <w:pPr>
        <w:pStyle w:val="CM174"/>
        <w:spacing w:after="437" w:line="273" w:lineRule="atLeast"/>
        <w:ind w:right="5765"/>
        <w:rPr>
          <w:rFonts w:ascii="Palatino" w:hAnsi="Palatino" w:cs="Palatino"/>
          <w:color w:val="000000"/>
          <w:sz w:val="20"/>
          <w:szCs w:val="20"/>
        </w:rPr>
      </w:pPr>
      <w:r>
        <w:rPr>
          <w:rFonts w:ascii="Palatino" w:hAnsi="Palatino" w:cs="Palatino"/>
          <w:color w:val="000000"/>
          <w:position w:val="6"/>
          <w:sz w:val="20"/>
          <w:szCs w:val="20"/>
          <w:vertAlign w:val="superscript"/>
        </w:rPr>
        <w:t>33</w:t>
      </w:r>
      <w:r>
        <w:rPr>
          <w:rFonts w:ascii="Palatino" w:hAnsi="Palatino" w:cs="Palatino"/>
          <w:color w:val="000000"/>
          <w:sz w:val="20"/>
          <w:szCs w:val="20"/>
        </w:rPr>
        <w:t xml:space="preserve">This term is used in the 1972 COLREGs </w:t>
      </w:r>
      <w:r>
        <w:rPr>
          <w:rFonts w:ascii="Palatino" w:hAnsi="Palatino" w:cs="Palatino"/>
          <w:color w:val="000000"/>
          <w:position w:val="6"/>
          <w:sz w:val="20"/>
          <w:szCs w:val="20"/>
          <w:vertAlign w:val="superscript"/>
        </w:rPr>
        <w:t>34</w:t>
      </w:r>
      <w:r>
        <w:rPr>
          <w:rFonts w:ascii="Palatino" w:hAnsi="Palatino" w:cs="Palatino"/>
          <w:color w:val="000000"/>
          <w:sz w:val="20"/>
          <w:szCs w:val="20"/>
        </w:rPr>
        <w:t xml:space="preserve">This term is used in the 1972 COLREGs </w:t>
      </w:r>
      <w:r>
        <w:rPr>
          <w:rFonts w:ascii="Palatino" w:hAnsi="Palatino" w:cs="Palatino"/>
          <w:color w:val="000000"/>
          <w:position w:val="6"/>
          <w:sz w:val="20"/>
          <w:szCs w:val="20"/>
          <w:vertAlign w:val="superscript"/>
        </w:rPr>
        <w:t>35</w:t>
      </w:r>
      <w:r>
        <w:rPr>
          <w:rFonts w:ascii="Palatino" w:hAnsi="Palatino" w:cs="Palatino"/>
          <w:color w:val="000000"/>
          <w:sz w:val="20"/>
          <w:szCs w:val="20"/>
        </w:rPr>
        <w:t xml:space="preserve">This term is used in the 1972 COLREGs </w:t>
      </w:r>
      <w:r>
        <w:rPr>
          <w:rFonts w:ascii="Palatino" w:hAnsi="Palatino" w:cs="Palatino"/>
          <w:color w:val="000000"/>
          <w:position w:val="6"/>
          <w:sz w:val="20"/>
          <w:szCs w:val="20"/>
          <w:vertAlign w:val="superscript"/>
        </w:rPr>
        <w:t>36</w:t>
      </w:r>
      <w:r>
        <w:rPr>
          <w:rFonts w:ascii="Palatino" w:hAnsi="Palatino" w:cs="Palatino"/>
          <w:color w:val="000000"/>
          <w:sz w:val="20"/>
          <w:szCs w:val="20"/>
        </w:rPr>
        <w:t xml:space="preserve">This term is used in the 1972 COLREGs </w:t>
      </w:r>
    </w:p>
    <w:p w14:paraId="0F9716B7" w14:textId="77777777" w:rsidR="00541A14" w:rsidRDefault="00A450E1">
      <w:pPr>
        <w:pStyle w:val="Default"/>
        <w:jc w:val="center"/>
        <w:rPr>
          <w:sz w:val="20"/>
          <w:szCs w:val="20"/>
        </w:rPr>
      </w:pPr>
      <w:r>
        <w:rPr>
          <w:sz w:val="20"/>
          <w:szCs w:val="20"/>
        </w:rPr>
        <w:t xml:space="preserve">Figure 22 – Vessel manoeuvring phases </w:t>
      </w:r>
    </w:p>
    <w:p w14:paraId="324F23BA" w14:textId="77777777" w:rsidR="00541A14" w:rsidRDefault="00DD420F">
      <w:pPr>
        <w:pStyle w:val="Default"/>
        <w:framePr w:w="5446" w:wrap="auto" w:vAnchor="page" w:hAnchor="page" w:x="5840" w:y="7463"/>
        <w:rPr>
          <w:sz w:val="20"/>
          <w:szCs w:val="20"/>
        </w:rPr>
      </w:pPr>
      <w:r>
        <w:rPr>
          <w:noProof/>
          <w:sz w:val="20"/>
          <w:szCs w:val="20"/>
        </w:rPr>
        <w:drawing>
          <wp:inline distT="0" distB="0" distL="0" distR="0" wp14:anchorId="38049290" wp14:editId="22777D40">
            <wp:extent cx="2947670" cy="420306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947670" cy="4203065"/>
                    </a:xfrm>
                    <a:prstGeom prst="rect">
                      <a:avLst/>
                    </a:prstGeom>
                    <a:noFill/>
                    <a:ln>
                      <a:noFill/>
                    </a:ln>
                  </pic:spPr>
                </pic:pic>
              </a:graphicData>
            </a:graphic>
          </wp:inline>
        </w:drawing>
      </w:r>
    </w:p>
    <w:p w14:paraId="211A67B8" w14:textId="77777777" w:rsidR="00541A14" w:rsidRDefault="00541A14">
      <w:pPr>
        <w:pStyle w:val="CM172"/>
        <w:spacing w:after="202"/>
        <w:jc w:val="both"/>
        <w:rPr>
          <w:rFonts w:cs="Dax Condensed"/>
          <w:color w:val="000000"/>
          <w:sz w:val="20"/>
          <w:szCs w:val="20"/>
        </w:rPr>
      </w:pPr>
    </w:p>
    <w:p w14:paraId="0D09CCD2" w14:textId="77777777" w:rsidR="00541A14" w:rsidRDefault="00DD420F">
      <w:pPr>
        <w:pStyle w:val="Default"/>
        <w:framePr w:w="920" w:wrap="auto" w:vAnchor="page" w:hAnchor="page" w:x="608" w:y="16278"/>
        <w:rPr>
          <w:sz w:val="20"/>
          <w:szCs w:val="20"/>
        </w:rPr>
      </w:pPr>
      <w:r>
        <w:rPr>
          <w:noProof/>
          <w:sz w:val="20"/>
          <w:szCs w:val="20"/>
        </w:rPr>
        <w:drawing>
          <wp:inline distT="0" distB="0" distL="0" distR="0" wp14:anchorId="5D0CB90B" wp14:editId="4C23CF0F">
            <wp:extent cx="113665" cy="142240"/>
            <wp:effectExtent l="0" t="0" r="0" b="1016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13665" cy="142240"/>
                    </a:xfrm>
                    <a:prstGeom prst="rect">
                      <a:avLst/>
                    </a:prstGeom>
                    <a:noFill/>
                    <a:ln>
                      <a:noFill/>
                    </a:ln>
                  </pic:spPr>
                </pic:pic>
              </a:graphicData>
            </a:graphic>
          </wp:inline>
        </w:drawing>
      </w:r>
    </w:p>
    <w:p w14:paraId="4C0358FF" w14:textId="77777777" w:rsidR="00541A14" w:rsidRDefault="00DD420F">
      <w:pPr>
        <w:pStyle w:val="Default"/>
        <w:framePr w:w="1100" w:wrap="auto" w:vAnchor="page" w:hAnchor="page" w:x="714" w:y="16278"/>
        <w:rPr>
          <w:sz w:val="20"/>
          <w:szCs w:val="20"/>
        </w:rPr>
      </w:pPr>
      <w:r>
        <w:rPr>
          <w:noProof/>
          <w:sz w:val="20"/>
          <w:szCs w:val="20"/>
        </w:rPr>
        <w:drawing>
          <wp:inline distT="0" distB="0" distL="0" distR="0" wp14:anchorId="14CB5A27" wp14:editId="584E4CA1">
            <wp:extent cx="193040" cy="142240"/>
            <wp:effectExtent l="0" t="0" r="10160" b="1016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93040" cy="142240"/>
                    </a:xfrm>
                    <a:prstGeom prst="rect">
                      <a:avLst/>
                    </a:prstGeom>
                    <a:noFill/>
                    <a:ln>
                      <a:noFill/>
                    </a:ln>
                  </pic:spPr>
                </pic:pic>
              </a:graphicData>
            </a:graphic>
          </wp:inline>
        </w:drawing>
      </w:r>
    </w:p>
    <w:p w14:paraId="377A1E22" w14:textId="77777777" w:rsidR="00541A14" w:rsidRDefault="00541A14">
      <w:pPr>
        <w:pStyle w:val="CM100"/>
        <w:ind w:left="8357"/>
        <w:rPr>
          <w:rFonts w:cs="Dax Condensed"/>
          <w:color w:val="000000"/>
          <w:sz w:val="20"/>
          <w:szCs w:val="20"/>
        </w:rPr>
      </w:pPr>
    </w:p>
    <w:p w14:paraId="62E2BC9D" w14:textId="77777777" w:rsidR="00541A14" w:rsidRDefault="00DD420F">
      <w:pPr>
        <w:pStyle w:val="Default"/>
        <w:framePr w:w="1100" w:wrap="auto" w:vAnchor="page" w:hAnchor="page" w:x="8964" w:y="16323"/>
        <w:rPr>
          <w:sz w:val="20"/>
          <w:szCs w:val="20"/>
        </w:rPr>
      </w:pPr>
      <w:r>
        <w:rPr>
          <w:noProof/>
          <w:sz w:val="20"/>
          <w:szCs w:val="20"/>
        </w:rPr>
        <w:drawing>
          <wp:inline distT="0" distB="0" distL="0" distR="0" wp14:anchorId="4EDE9ABF" wp14:editId="4CE37E8F">
            <wp:extent cx="227330" cy="113665"/>
            <wp:effectExtent l="0" t="0" r="127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2F6AD111" w14:textId="77777777" w:rsidR="00541A14" w:rsidRDefault="00DD420F">
      <w:pPr>
        <w:pStyle w:val="Default"/>
        <w:framePr w:w="2088" w:wrap="auto" w:vAnchor="page" w:hAnchor="page" w:x="9249" w:y="16323"/>
        <w:rPr>
          <w:sz w:val="20"/>
          <w:szCs w:val="20"/>
        </w:rPr>
      </w:pPr>
      <w:r>
        <w:rPr>
          <w:noProof/>
          <w:sz w:val="20"/>
          <w:szCs w:val="20"/>
        </w:rPr>
        <w:drawing>
          <wp:inline distT="0" distB="0" distL="0" distR="0" wp14:anchorId="4E7B0060" wp14:editId="5FCA4734">
            <wp:extent cx="823595" cy="11366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2FE34095" w14:textId="77777777" w:rsidR="00541A14" w:rsidRDefault="00DD420F">
      <w:pPr>
        <w:pStyle w:val="Default"/>
        <w:pageBreakBefore/>
        <w:framePr w:w="12876" w:wrap="auto" w:vAnchor="page" w:hAnchor="page" w:x="101" w:y="1"/>
        <w:spacing w:after="580"/>
        <w:rPr>
          <w:sz w:val="20"/>
          <w:szCs w:val="20"/>
        </w:rPr>
      </w:pPr>
      <w:r>
        <w:rPr>
          <w:noProof/>
          <w:sz w:val="20"/>
          <w:szCs w:val="20"/>
        </w:rPr>
        <w:drawing>
          <wp:inline distT="0" distB="0" distL="0" distR="0" wp14:anchorId="6E1A780B" wp14:editId="087C3C41">
            <wp:extent cx="7553960" cy="1056640"/>
            <wp:effectExtent l="0" t="0" r="0" b="1016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3C3171F1" w14:textId="77777777" w:rsidR="00541A14" w:rsidRDefault="00A450E1">
      <w:pPr>
        <w:pStyle w:val="CM185"/>
        <w:spacing w:after="140" w:line="336" w:lineRule="atLeast"/>
        <w:ind w:right="555"/>
        <w:rPr>
          <w:rFonts w:ascii="Futura Book" w:hAnsi="Futura Book" w:cs="Futura Book"/>
          <w:color w:val="2C5062"/>
          <w:sz w:val="28"/>
          <w:szCs w:val="28"/>
        </w:rPr>
      </w:pPr>
      <w:r>
        <w:rPr>
          <w:rFonts w:ascii="Futura Book" w:hAnsi="Futura Book" w:cs="Futura Book"/>
          <w:b/>
          <w:bCs/>
          <w:color w:val="2C5062"/>
          <w:sz w:val="28"/>
          <w:szCs w:val="28"/>
        </w:rPr>
        <w:t xml:space="preserve">6.3 Achieving a Minimum Comprehensive Mix of AtoN for Channels and Waterways </w:t>
      </w:r>
    </w:p>
    <w:p w14:paraId="4FECEDE9" w14:textId="77777777" w:rsidR="00541A14" w:rsidRDefault="00A450E1">
      <w:pPr>
        <w:pStyle w:val="CM120"/>
        <w:ind w:left="57"/>
        <w:rPr>
          <w:rFonts w:ascii="Palatino" w:hAnsi="Palatino" w:cs="Palatino"/>
          <w:color w:val="000000"/>
          <w:sz w:val="20"/>
          <w:szCs w:val="20"/>
        </w:rPr>
      </w:pPr>
      <w:r>
        <w:rPr>
          <w:rFonts w:ascii="Palatino" w:hAnsi="Palatino" w:cs="Palatino"/>
          <w:color w:val="000000"/>
          <w:sz w:val="20"/>
          <w:szCs w:val="20"/>
        </w:rPr>
        <w:t xml:space="preserve">The primary goal of the design of AtoN systems for a waterway is to facilitate safe and efficient </w:t>
      </w:r>
    </w:p>
    <w:p w14:paraId="4F6FE8CC" w14:textId="77777777" w:rsidR="00541A14" w:rsidRDefault="00A450E1">
      <w:pPr>
        <w:pStyle w:val="CM120"/>
        <w:ind w:left="57"/>
        <w:rPr>
          <w:rFonts w:ascii="Palatino" w:hAnsi="Palatino" w:cs="Palatino"/>
          <w:color w:val="000000"/>
          <w:sz w:val="20"/>
          <w:szCs w:val="20"/>
        </w:rPr>
      </w:pPr>
      <w:r>
        <w:rPr>
          <w:rFonts w:ascii="Palatino" w:hAnsi="Palatino" w:cs="Palatino"/>
          <w:color w:val="000000"/>
          <w:sz w:val="20"/>
          <w:szCs w:val="20"/>
        </w:rPr>
        <w:t xml:space="preserve">movement of vessels. The responsible provision of AtoN systems requires that systems be designed to </w:t>
      </w:r>
    </w:p>
    <w:p w14:paraId="1342BC3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meet the essential minimum requirements for safe and expeditious navigation through specific waters in accordance with the type and volume of traffic. </w:t>
      </w:r>
    </w:p>
    <w:p w14:paraId="023A74BA"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The AtoN provided are normally intended to function as part of a system(s) and therefore mariners should make use of the full information provided.  </w:t>
      </w:r>
    </w:p>
    <w:p w14:paraId="179CBDA4" w14:textId="77777777" w:rsidR="00541A14" w:rsidRDefault="00A450E1">
      <w:pPr>
        <w:pStyle w:val="CM112"/>
        <w:ind w:left="57"/>
        <w:rPr>
          <w:rFonts w:ascii="Palatino" w:hAnsi="Palatino" w:cs="Palatino"/>
          <w:color w:val="000000"/>
          <w:sz w:val="20"/>
          <w:szCs w:val="20"/>
        </w:rPr>
      </w:pPr>
      <w:r>
        <w:rPr>
          <w:rFonts w:ascii="Palatino" w:hAnsi="Palatino" w:cs="Palatino"/>
          <w:color w:val="000000"/>
          <w:sz w:val="20"/>
          <w:szCs w:val="20"/>
        </w:rPr>
        <w:t xml:space="preserve">Whether designing a new waterway system or evaluating an existing one, there are many factors that </w:t>
      </w:r>
    </w:p>
    <w:p w14:paraId="73240DA6" w14:textId="77777777" w:rsidR="00541A14" w:rsidRDefault="00A450E1">
      <w:pPr>
        <w:pStyle w:val="CM112"/>
        <w:ind w:left="57"/>
        <w:rPr>
          <w:rFonts w:ascii="Palatino" w:hAnsi="Palatino" w:cs="Palatino"/>
          <w:color w:val="000000"/>
          <w:sz w:val="20"/>
          <w:szCs w:val="20"/>
        </w:rPr>
      </w:pPr>
      <w:r>
        <w:rPr>
          <w:rFonts w:ascii="Palatino" w:hAnsi="Palatino" w:cs="Palatino"/>
          <w:color w:val="000000"/>
          <w:sz w:val="20"/>
          <w:szCs w:val="20"/>
        </w:rPr>
        <w:t xml:space="preserve">must be considered.  The identification of these factors allows Competent Authorities to develop a </w:t>
      </w:r>
    </w:p>
    <w:p w14:paraId="492C9EAD" w14:textId="77777777" w:rsidR="00541A14" w:rsidRDefault="00A450E1">
      <w:pPr>
        <w:pStyle w:val="CM165"/>
        <w:spacing w:after="85" w:line="286" w:lineRule="atLeast"/>
        <w:ind w:left="57"/>
        <w:rPr>
          <w:rFonts w:ascii="Palatino" w:hAnsi="Palatino" w:cs="Palatino"/>
          <w:color w:val="000000"/>
          <w:sz w:val="20"/>
          <w:szCs w:val="20"/>
        </w:rPr>
      </w:pPr>
      <w:r>
        <w:rPr>
          <w:rFonts w:ascii="Palatino" w:hAnsi="Palatino" w:cs="Palatino"/>
          <w:color w:val="000000"/>
          <w:sz w:val="20"/>
          <w:szCs w:val="20"/>
        </w:rPr>
        <w:t xml:space="preserve">greater understanding of the risks and threats that are present within a particular waterway.  </w:t>
      </w:r>
      <w:r>
        <w:rPr>
          <w:rFonts w:ascii="Palatino" w:hAnsi="Palatino" w:cs="Palatino"/>
          <w:color w:val="000000"/>
          <w:sz w:val="20"/>
          <w:szCs w:val="20"/>
        </w:rPr>
        <w:commentReference w:id="1"/>
      </w:r>
    </w:p>
    <w:p w14:paraId="4FD038F9"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Waterways will vary in</w:t>
      </w:r>
      <w:commentRangeStart w:id="2"/>
      <w:r>
        <w:rPr>
          <w:rFonts w:ascii="Palatino" w:hAnsi="Palatino" w:cs="Palatino"/>
          <w:strike/>
          <w:color w:val="000000"/>
          <w:sz w:val="20"/>
          <w:szCs w:val="20"/>
        </w:rPr>
        <w:t xml:space="preserve"> their</w:t>
      </w:r>
      <w:commentRangeEnd w:id="2"/>
      <w:r>
        <w:rPr>
          <w:rFonts w:ascii="Palatino" w:hAnsi="Palatino" w:cs="Palatino"/>
          <w:color w:val="000000"/>
          <w:sz w:val="20"/>
          <w:szCs w:val="20"/>
        </w:rPr>
        <w:commentReference w:id="2"/>
      </w:r>
      <w:r>
        <w:rPr>
          <w:rFonts w:ascii="Palatino" w:hAnsi="Palatino" w:cs="Palatino"/>
          <w:color w:val="000000"/>
          <w:sz w:val="20"/>
          <w:szCs w:val="20"/>
        </w:rPr>
        <w:t xml:space="preserve"> characteristics. Site</w:t>
      </w:r>
      <w:commentRangeStart w:id="3"/>
      <w:r>
        <w:rPr>
          <w:rFonts w:ascii="Palatino" w:hAnsi="Palatino" w:cs="Palatino"/>
          <w:strike/>
          <w:color w:val="000000"/>
          <w:sz w:val="20"/>
          <w:szCs w:val="20"/>
        </w:rPr>
        <w:t xml:space="preserve"> analysis,</w:t>
      </w:r>
      <w:commentRangeEnd w:id="3"/>
      <w:r>
        <w:rPr>
          <w:rFonts w:ascii="Palatino" w:hAnsi="Palatino" w:cs="Palatino"/>
          <w:color w:val="000000"/>
          <w:sz w:val="20"/>
          <w:szCs w:val="20"/>
        </w:rPr>
        <w:commentReference w:id="3"/>
      </w:r>
      <w:r>
        <w:rPr>
          <w:rFonts w:ascii="Palatino" w:hAnsi="Palatino" w:cs="Palatino"/>
          <w:color w:val="000000"/>
          <w:sz w:val="20"/>
          <w:szCs w:val="20"/>
        </w:rPr>
        <w:t xml:space="preserve"> needs analys</w:t>
      </w:r>
      <w:commentRangeStart w:id="4"/>
      <w:r>
        <w:rPr>
          <w:rFonts w:ascii="Palatino" w:hAnsi="Palatino" w:cs="Palatino"/>
          <w:strike/>
          <w:color w:val="000000"/>
          <w:sz w:val="20"/>
          <w:szCs w:val="20"/>
        </w:rPr>
        <w:t xml:space="preserve">is, </w:t>
      </w:r>
      <w:commentRangeEnd w:id="4"/>
      <w:r>
        <w:rPr>
          <w:rFonts w:ascii="Palatino" w:hAnsi="Palatino" w:cs="Palatino"/>
          <w:color w:val="000000"/>
          <w:sz w:val="20"/>
          <w:szCs w:val="20"/>
        </w:rPr>
        <w:commentReference w:id="4"/>
      </w:r>
      <w:r>
        <w:rPr>
          <w:rFonts w:ascii="Palatino" w:hAnsi="Palatino" w:cs="Palatino"/>
          <w:color w:val="000000"/>
          <w:sz w:val="20"/>
          <w:szCs w:val="20"/>
        </w:rPr>
        <w:t xml:space="preserve">simulation, and operational </w:t>
      </w:r>
      <w:commentRangeStart w:id="5"/>
      <w:r>
        <w:rPr>
          <w:rFonts w:ascii="Palatino" w:hAnsi="Palatino" w:cs="Palatino"/>
          <w:strike/>
          <w:color w:val="000000"/>
          <w:sz w:val="20"/>
          <w:szCs w:val="20"/>
        </w:rPr>
        <w:t>analysis</w:t>
      </w:r>
      <w:commentRangeEnd w:id="5"/>
      <w:r>
        <w:rPr>
          <w:rFonts w:ascii="Palatino" w:hAnsi="Palatino" w:cs="Palatino"/>
          <w:color w:val="000000"/>
          <w:sz w:val="20"/>
          <w:szCs w:val="20"/>
        </w:rPr>
        <w:commentReference w:id="5"/>
      </w:r>
      <w:r>
        <w:rPr>
          <w:rFonts w:ascii="Palatino" w:hAnsi="Palatino" w:cs="Palatino"/>
          <w:color w:val="000000"/>
          <w:sz w:val="20"/>
          <w:szCs w:val="20"/>
        </w:rPr>
        <w:t xml:space="preserve"> provide the necessary framework</w:t>
      </w:r>
      <w:commentRangeStart w:id="6"/>
      <w:r>
        <w:rPr>
          <w:rFonts w:ascii="Palatino" w:hAnsi="Palatino" w:cs="Palatino"/>
          <w:strike/>
          <w:color w:val="000000"/>
          <w:sz w:val="20"/>
          <w:szCs w:val="20"/>
        </w:rPr>
        <w:t xml:space="preserve"> to</w:t>
      </w:r>
      <w:commentRangeEnd w:id="6"/>
      <w:r>
        <w:rPr>
          <w:rFonts w:ascii="Palatino" w:hAnsi="Palatino" w:cs="Palatino"/>
          <w:color w:val="000000"/>
          <w:sz w:val="20"/>
          <w:szCs w:val="20"/>
        </w:rPr>
        <w:commentReference w:id="6"/>
      </w:r>
      <w:r>
        <w:rPr>
          <w:rFonts w:ascii="Palatino" w:hAnsi="Palatino" w:cs="Palatino"/>
          <w:color w:val="000000"/>
          <w:sz w:val="20"/>
          <w:szCs w:val="20"/>
        </w:rPr>
        <w:t xml:space="preserve"> evalu</w:t>
      </w:r>
      <w:commentRangeStart w:id="7"/>
      <w:r>
        <w:rPr>
          <w:rFonts w:ascii="Palatino" w:hAnsi="Palatino" w:cs="Palatino"/>
          <w:strike/>
          <w:color w:val="000000"/>
          <w:sz w:val="20"/>
          <w:szCs w:val="20"/>
        </w:rPr>
        <w:t>ate</w:t>
      </w:r>
      <w:commentRangeEnd w:id="7"/>
      <w:r>
        <w:rPr>
          <w:rFonts w:ascii="Palatino" w:hAnsi="Palatino" w:cs="Palatino"/>
          <w:color w:val="000000"/>
          <w:sz w:val="20"/>
          <w:szCs w:val="20"/>
        </w:rPr>
        <w:commentReference w:id="7"/>
      </w:r>
      <w:r>
        <w:rPr>
          <w:rFonts w:ascii="Palatino" w:hAnsi="Palatino" w:cs="Palatino"/>
          <w:color w:val="000000"/>
          <w:sz w:val="20"/>
          <w:szCs w:val="20"/>
        </w:rPr>
        <w:t xml:space="preserve"> the overall ris</w:t>
      </w:r>
      <w:commentRangeStart w:id="8"/>
      <w:r>
        <w:rPr>
          <w:rFonts w:ascii="Palatino" w:hAnsi="Palatino" w:cs="Palatino"/>
          <w:strike/>
          <w:color w:val="000000"/>
          <w:sz w:val="20"/>
          <w:szCs w:val="20"/>
        </w:rPr>
        <w:t>ks</w:t>
      </w:r>
      <w:commentRangeEnd w:id="8"/>
      <w:r>
        <w:rPr>
          <w:rFonts w:ascii="Palatino" w:hAnsi="Palatino" w:cs="Palatino"/>
          <w:color w:val="000000"/>
          <w:sz w:val="20"/>
          <w:szCs w:val="20"/>
        </w:rPr>
        <w:commentReference w:id="8"/>
      </w:r>
      <w:r>
        <w:rPr>
          <w:rFonts w:ascii="Palatino" w:hAnsi="Palatino" w:cs="Palatino"/>
          <w:color w:val="000000"/>
          <w:sz w:val="20"/>
          <w:szCs w:val="20"/>
        </w:rPr>
        <w:t xml:space="preserve"> that may be present and identify measures that reduce</w:t>
      </w:r>
      <w:commentRangeStart w:id="9"/>
      <w:commentRangeStart w:id="10"/>
      <w:r>
        <w:rPr>
          <w:rFonts w:ascii="Palatino" w:hAnsi="Palatino" w:cs="Palatino"/>
          <w:strike/>
          <w:color w:val="000000"/>
          <w:sz w:val="20"/>
          <w:szCs w:val="20"/>
        </w:rPr>
        <w:t>s</w:t>
      </w:r>
      <w:commentRangeEnd w:id="9"/>
      <w:r>
        <w:rPr>
          <w:rFonts w:ascii="Palatino" w:hAnsi="Palatino" w:cs="Palatino"/>
          <w:color w:val="000000"/>
          <w:sz w:val="20"/>
          <w:szCs w:val="20"/>
        </w:rPr>
        <w:commentReference w:id="9"/>
      </w:r>
      <w:r>
        <w:rPr>
          <w:rFonts w:ascii="Palatino" w:hAnsi="Palatino" w:cs="Palatino"/>
          <w:strike/>
          <w:color w:val="000000"/>
          <w:sz w:val="20"/>
          <w:szCs w:val="20"/>
        </w:rPr>
        <w:t xml:space="preserve"> the</w:t>
      </w:r>
      <w:commentRangeEnd w:id="10"/>
      <w:r>
        <w:rPr>
          <w:rFonts w:ascii="Palatino" w:hAnsi="Palatino" w:cs="Palatino"/>
          <w:color w:val="000000"/>
          <w:sz w:val="20"/>
          <w:szCs w:val="20"/>
        </w:rPr>
        <w:commentReference w:id="10"/>
      </w:r>
      <w:r>
        <w:rPr>
          <w:rFonts w:ascii="Palatino" w:hAnsi="Palatino" w:cs="Palatino"/>
          <w:color w:val="000000"/>
          <w:sz w:val="20"/>
          <w:szCs w:val="20"/>
        </w:rPr>
        <w:t xml:space="preserve"> risk </w:t>
      </w:r>
      <w:commentRangeStart w:id="11"/>
      <w:r>
        <w:rPr>
          <w:rFonts w:ascii="Palatino" w:hAnsi="Palatino" w:cs="Palatino"/>
          <w:strike/>
          <w:color w:val="000000"/>
          <w:sz w:val="20"/>
          <w:szCs w:val="20"/>
        </w:rPr>
        <w:t>to safe transit</w:t>
      </w:r>
      <w:commentRangeEnd w:id="11"/>
      <w:r>
        <w:rPr>
          <w:rFonts w:ascii="Palatino" w:hAnsi="Palatino" w:cs="Palatino"/>
          <w:color w:val="000000"/>
          <w:sz w:val="20"/>
          <w:szCs w:val="20"/>
        </w:rPr>
        <w:commentReference w:id="11"/>
      </w:r>
      <w:r>
        <w:rPr>
          <w:rFonts w:ascii="Palatino" w:hAnsi="Palatino" w:cs="Palatino"/>
          <w:color w:val="000000"/>
          <w:sz w:val="20"/>
          <w:szCs w:val="20"/>
        </w:rPr>
        <w:t xml:space="preserve"> to an acceptable level. </w:t>
      </w:r>
    </w:p>
    <w:p w14:paraId="0226986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Once the evaluation has been completed, Competent Authorities should use this information to design the AtoN system. In completing the design it is important to note that the entire waterway must be viewed using a systematic approach, recognizing that each individual element of the waterway design by itself will not reduce transit risk.  While individual regions of the waterway must be considered, the overall aids to navigation system must support a smooth transit of the waterway as a whole. The toolbox for the design consists of the IALA MBS (Annex A of this document) and the technical tools referred to in Chapter 3 (Aids to Navigation) and Chapter 4 (e-Navigation), and also described in many IALA Recommendations and Guidelines. </w:t>
      </w:r>
    </w:p>
    <w:p w14:paraId="1DB1692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specific aids to navigation system that is implemented should enable waterway users to transit an area safely and efficiently, avoiding groundings, obstructions to navigation, and collisions with other </w:t>
      </w:r>
    </w:p>
    <w:p w14:paraId="3A1AFC4B"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vessels. In order to satisfy the information requirements of the waterway users, a system of aids to navigation must: </w:t>
      </w:r>
    </w:p>
    <w:p w14:paraId="384DA9E8" w14:textId="77777777" w:rsidR="00541A14" w:rsidRDefault="00A450E1">
      <w:pPr>
        <w:pStyle w:val="Default"/>
        <w:numPr>
          <w:ilvl w:val="0"/>
          <w:numId w:val="114"/>
        </w:numPr>
        <w:rPr>
          <w:rFonts w:ascii="Palatino" w:hAnsi="Palatino" w:cs="Palatino"/>
          <w:sz w:val="20"/>
          <w:szCs w:val="20"/>
        </w:rPr>
      </w:pPr>
      <w:r>
        <w:rPr>
          <w:rFonts w:ascii="Palatino" w:hAnsi="Palatino" w:cs="Palatino"/>
          <w:sz w:val="20"/>
          <w:szCs w:val="20"/>
        </w:rPr>
        <w:t xml:space="preserve">be available at the time it is needed; </w:t>
      </w:r>
      <w:r>
        <w:rPr>
          <w:rFonts w:ascii="Palatino" w:hAnsi="Palatino" w:cs="Palatino"/>
          <w:sz w:val="20"/>
          <w:szCs w:val="20"/>
        </w:rPr>
        <w:commentReference w:id="12"/>
      </w:r>
    </w:p>
    <w:p w14:paraId="167BE8E6" w14:textId="77777777" w:rsidR="00541A14" w:rsidRDefault="00A450E1">
      <w:pPr>
        <w:pStyle w:val="Default"/>
        <w:numPr>
          <w:ilvl w:val="0"/>
          <w:numId w:val="114"/>
        </w:numPr>
        <w:rPr>
          <w:rFonts w:ascii="Palatino" w:hAnsi="Palatino" w:cs="Palatino"/>
          <w:sz w:val="20"/>
          <w:szCs w:val="20"/>
        </w:rPr>
      </w:pPr>
      <w:r>
        <w:rPr>
          <w:rFonts w:ascii="Palatino" w:hAnsi="Palatino" w:cs="Palatino"/>
          <w:sz w:val="20"/>
          <w:szCs w:val="20"/>
        </w:rPr>
        <w:t xml:space="preserve">provide timely warning of danger from channel limits and fixed obstructions to navigation; </w:t>
      </w:r>
    </w:p>
    <w:p w14:paraId="2AA27B33" w14:textId="77777777" w:rsidR="00541A14" w:rsidRDefault="00A450E1">
      <w:pPr>
        <w:pStyle w:val="Default"/>
        <w:numPr>
          <w:ilvl w:val="0"/>
          <w:numId w:val="114"/>
        </w:numPr>
        <w:rPr>
          <w:rFonts w:ascii="Palatino" w:hAnsi="Palatino" w:cs="Palatino"/>
          <w:sz w:val="20"/>
          <w:szCs w:val="20"/>
        </w:rPr>
      </w:pPr>
      <w:r>
        <w:rPr>
          <w:rFonts w:ascii="Palatino" w:hAnsi="Palatino" w:cs="Palatino"/>
          <w:sz w:val="20"/>
          <w:szCs w:val="20"/>
        </w:rPr>
        <w:t xml:space="preserve">enable the mariner to determine quickly their location within the channel, relative to fixed </w:t>
      </w:r>
    </w:p>
    <w:p w14:paraId="365D1D7C" w14:textId="77777777" w:rsidR="00541A14" w:rsidRDefault="00541A14">
      <w:pPr>
        <w:pStyle w:val="Default"/>
        <w:rPr>
          <w:rFonts w:ascii="Palatino" w:hAnsi="Palatino" w:cs="Palatino"/>
          <w:sz w:val="20"/>
          <w:szCs w:val="20"/>
        </w:rPr>
      </w:pPr>
    </w:p>
    <w:p w14:paraId="2D40DC3D" w14:textId="77777777" w:rsidR="00541A14" w:rsidRDefault="00A450E1">
      <w:pPr>
        <w:pStyle w:val="CM165"/>
        <w:spacing w:after="85" w:line="298" w:lineRule="atLeast"/>
        <w:ind w:left="367"/>
        <w:rPr>
          <w:rFonts w:ascii="Palatino" w:hAnsi="Palatino" w:cs="Palatino"/>
          <w:color w:val="000000"/>
          <w:sz w:val="20"/>
          <w:szCs w:val="20"/>
        </w:rPr>
      </w:pPr>
      <w:r>
        <w:rPr>
          <w:rFonts w:ascii="Palatino" w:hAnsi="Palatino" w:cs="Palatino"/>
          <w:color w:val="000000"/>
          <w:sz w:val="20"/>
          <w:szCs w:val="20"/>
        </w:rPr>
        <w:t xml:space="preserve">obstructions to navigation, and relative to other vessels; and </w:t>
      </w:r>
    </w:p>
    <w:p w14:paraId="2C4DE0DC" w14:textId="77777777" w:rsidR="00541A14" w:rsidRDefault="00A450E1">
      <w:pPr>
        <w:pStyle w:val="CM165"/>
        <w:spacing w:after="85" w:line="286" w:lineRule="atLeast"/>
        <w:ind w:left="57"/>
        <w:rPr>
          <w:rFonts w:ascii="Palatino" w:hAnsi="Palatino" w:cs="Palatino"/>
          <w:color w:val="000000"/>
          <w:sz w:val="20"/>
          <w:szCs w:val="20"/>
        </w:rPr>
      </w:pPr>
      <w:r>
        <w:rPr>
          <w:rFonts w:ascii="Palatino" w:hAnsi="Palatino" w:cs="Palatino"/>
          <w:color w:val="000000"/>
          <w:sz w:val="20"/>
          <w:szCs w:val="20"/>
        </w:rPr>
        <w:t xml:space="preserve">• enable a safe course for the vessel to be determined. </w:t>
      </w:r>
    </w:p>
    <w:p w14:paraId="42B82373"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As indicated in “Step 1” of the LOS/OPS statement (refer 8.2), AtoN systems may be provided for the safety of navigation in various areas: </w:t>
      </w:r>
    </w:p>
    <w:p w14:paraId="2D34D037" w14:textId="77777777" w:rsidR="00541A14" w:rsidRDefault="00A450E1">
      <w:pPr>
        <w:pStyle w:val="Default"/>
        <w:numPr>
          <w:ilvl w:val="0"/>
          <w:numId w:val="115"/>
        </w:numPr>
        <w:rPr>
          <w:rFonts w:ascii="Palatino" w:hAnsi="Palatino" w:cs="Palatino"/>
          <w:sz w:val="20"/>
          <w:szCs w:val="20"/>
        </w:rPr>
      </w:pPr>
      <w:r>
        <w:rPr>
          <w:rFonts w:ascii="Palatino" w:hAnsi="Palatino" w:cs="Palatino"/>
          <w:sz w:val="20"/>
          <w:szCs w:val="20"/>
        </w:rPr>
        <w:t xml:space="preserve">Fairways, dredged channels and canals. </w:t>
      </w:r>
    </w:p>
    <w:p w14:paraId="5E2494DC" w14:textId="77777777" w:rsidR="00541A14" w:rsidRDefault="00A450E1">
      <w:pPr>
        <w:pStyle w:val="Default"/>
        <w:numPr>
          <w:ilvl w:val="0"/>
          <w:numId w:val="115"/>
        </w:numPr>
        <w:rPr>
          <w:rFonts w:ascii="Palatino" w:hAnsi="Palatino" w:cs="Palatino"/>
          <w:sz w:val="20"/>
          <w:szCs w:val="20"/>
        </w:rPr>
      </w:pPr>
      <w:r>
        <w:rPr>
          <w:rFonts w:ascii="Palatino" w:hAnsi="Palatino" w:cs="Palatino"/>
          <w:sz w:val="20"/>
          <w:szCs w:val="20"/>
        </w:rPr>
        <w:t xml:space="preserve">Waters adjacent to the coast. </w:t>
      </w:r>
    </w:p>
    <w:p w14:paraId="3C6FB5AE" w14:textId="77777777" w:rsidR="00541A14" w:rsidRDefault="00A450E1">
      <w:pPr>
        <w:pStyle w:val="Default"/>
        <w:numPr>
          <w:ilvl w:val="0"/>
          <w:numId w:val="115"/>
        </w:numPr>
        <w:rPr>
          <w:rFonts w:ascii="Palatino" w:hAnsi="Palatino" w:cs="Palatino"/>
          <w:sz w:val="20"/>
          <w:szCs w:val="20"/>
        </w:rPr>
      </w:pPr>
      <w:r>
        <w:rPr>
          <w:rFonts w:ascii="Palatino" w:hAnsi="Palatino" w:cs="Palatino"/>
          <w:sz w:val="20"/>
          <w:szCs w:val="20"/>
        </w:rPr>
        <w:t xml:space="preserve">Archipelagic waters, in pristine and/or improved condition. </w:t>
      </w:r>
    </w:p>
    <w:p w14:paraId="2499B46C" w14:textId="77777777" w:rsidR="00541A14" w:rsidRDefault="00A450E1">
      <w:pPr>
        <w:pStyle w:val="Default"/>
        <w:numPr>
          <w:ilvl w:val="0"/>
          <w:numId w:val="115"/>
        </w:numPr>
        <w:rPr>
          <w:rFonts w:ascii="Palatino" w:hAnsi="Palatino" w:cs="Palatino"/>
          <w:sz w:val="20"/>
          <w:szCs w:val="20"/>
        </w:rPr>
      </w:pPr>
      <w:r>
        <w:rPr>
          <w:rFonts w:ascii="Palatino" w:hAnsi="Palatino" w:cs="Palatino"/>
          <w:sz w:val="20"/>
          <w:szCs w:val="20"/>
        </w:rPr>
        <w:t xml:space="preserve">Estuarine rivers. </w:t>
      </w:r>
    </w:p>
    <w:p w14:paraId="37AB4F67" w14:textId="77777777" w:rsidR="00541A14" w:rsidRDefault="00A450E1">
      <w:pPr>
        <w:pStyle w:val="Default"/>
        <w:numPr>
          <w:ilvl w:val="0"/>
          <w:numId w:val="115"/>
        </w:numPr>
        <w:rPr>
          <w:rFonts w:ascii="Palatino" w:hAnsi="Palatino" w:cs="Palatino"/>
          <w:sz w:val="20"/>
          <w:szCs w:val="20"/>
        </w:rPr>
      </w:pPr>
      <w:r>
        <w:rPr>
          <w:rFonts w:ascii="Palatino" w:hAnsi="Palatino" w:cs="Palatino"/>
          <w:sz w:val="20"/>
          <w:szCs w:val="20"/>
        </w:rPr>
        <w:t xml:space="preserve">River systems. </w:t>
      </w:r>
    </w:p>
    <w:p w14:paraId="4211F6CA" w14:textId="77777777" w:rsidR="00541A14" w:rsidRDefault="00A450E1">
      <w:pPr>
        <w:pStyle w:val="Default"/>
        <w:numPr>
          <w:ilvl w:val="0"/>
          <w:numId w:val="115"/>
        </w:numPr>
        <w:rPr>
          <w:rFonts w:ascii="Palatino" w:hAnsi="Palatino" w:cs="Palatino"/>
          <w:sz w:val="20"/>
          <w:szCs w:val="20"/>
        </w:rPr>
      </w:pPr>
      <w:r>
        <w:rPr>
          <w:rFonts w:ascii="Palatino" w:hAnsi="Palatino" w:cs="Palatino"/>
          <w:sz w:val="20"/>
          <w:szCs w:val="20"/>
        </w:rPr>
        <w:t xml:space="preserve">Straits. </w:t>
      </w:r>
    </w:p>
    <w:p w14:paraId="46356B17" w14:textId="77777777" w:rsidR="00541A14" w:rsidRDefault="00A450E1">
      <w:pPr>
        <w:pStyle w:val="Default"/>
        <w:numPr>
          <w:ilvl w:val="0"/>
          <w:numId w:val="115"/>
        </w:numPr>
        <w:rPr>
          <w:rFonts w:ascii="Palatino" w:hAnsi="Palatino" w:cs="Palatino"/>
          <w:sz w:val="20"/>
          <w:szCs w:val="20"/>
        </w:rPr>
      </w:pPr>
      <w:r>
        <w:rPr>
          <w:rFonts w:ascii="Palatino" w:hAnsi="Palatino" w:cs="Palatino"/>
          <w:sz w:val="20"/>
          <w:szCs w:val="20"/>
        </w:rPr>
        <w:t xml:space="preserve">Narrow stretches of land. </w:t>
      </w:r>
    </w:p>
    <w:p w14:paraId="0A5A24AE" w14:textId="77777777" w:rsidR="00541A14" w:rsidRDefault="00A450E1">
      <w:pPr>
        <w:pStyle w:val="Default"/>
        <w:numPr>
          <w:ilvl w:val="0"/>
          <w:numId w:val="115"/>
        </w:numPr>
        <w:rPr>
          <w:rFonts w:ascii="Palatino" w:hAnsi="Palatino" w:cs="Palatino"/>
          <w:sz w:val="20"/>
          <w:szCs w:val="20"/>
        </w:rPr>
      </w:pPr>
      <w:r>
        <w:rPr>
          <w:rFonts w:ascii="Palatino" w:hAnsi="Palatino" w:cs="Palatino"/>
          <w:sz w:val="20"/>
          <w:szCs w:val="20"/>
        </w:rPr>
        <w:t xml:space="preserve">Open sea with Ships’ Routeing Systems. </w:t>
      </w:r>
    </w:p>
    <w:p w14:paraId="3F3DDA16" w14:textId="77777777" w:rsidR="00541A14" w:rsidRDefault="00541A14">
      <w:pPr>
        <w:pStyle w:val="Default"/>
        <w:rPr>
          <w:rFonts w:ascii="Palatino" w:hAnsi="Palatino" w:cs="Palatino"/>
          <w:sz w:val="20"/>
          <w:szCs w:val="20"/>
        </w:rPr>
      </w:pPr>
    </w:p>
    <w:p w14:paraId="42E464A5" w14:textId="77777777" w:rsidR="00541A14" w:rsidRDefault="00A450E1">
      <w:pPr>
        <w:pStyle w:val="CM163"/>
        <w:spacing w:after="642" w:line="291" w:lineRule="atLeast"/>
        <w:ind w:right="897"/>
        <w:rPr>
          <w:rFonts w:ascii="Palatino" w:hAnsi="Palatino" w:cs="Palatino"/>
          <w:color w:val="000000"/>
          <w:sz w:val="20"/>
          <w:szCs w:val="20"/>
        </w:rPr>
      </w:pPr>
      <w:r>
        <w:rPr>
          <w:rFonts w:ascii="Palatino" w:hAnsi="Palatino" w:cs="Palatino"/>
          <w:color w:val="000000"/>
          <w:sz w:val="20"/>
          <w:szCs w:val="20"/>
        </w:rPr>
        <w:t xml:space="preserve">Once the system has been established, maintaining the availability of this system is critical tocontrolling overall risks. </w:t>
      </w:r>
    </w:p>
    <w:p w14:paraId="4EF5E1EF" w14:textId="77777777" w:rsidR="00541A14" w:rsidRDefault="00A450E1">
      <w:pPr>
        <w:pStyle w:val="CM12"/>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49E97F6A"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119 </w:t>
      </w:r>
    </w:p>
    <w:p w14:paraId="1DC9ED70" w14:textId="77777777" w:rsidR="00541A14" w:rsidRDefault="00DD420F">
      <w:pPr>
        <w:pStyle w:val="Default"/>
        <w:pageBreakBefore/>
        <w:framePr w:w="24782" w:wrap="auto" w:vAnchor="page" w:hAnchor="page" w:x="101" w:y="1"/>
        <w:spacing w:after="82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21203FA4" wp14:editId="6D3628A1">
            <wp:extent cx="7553960" cy="1056640"/>
            <wp:effectExtent l="0" t="0" r="0" b="1016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66A692B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It is useful to analyse the functional requirements of the design in a number of parts. For example, the open water component or outer channel, and the inner channel component which lies in relatively sheltered waters. </w:t>
      </w:r>
    </w:p>
    <w:p w14:paraId="1F566233"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design process requires inputs from a number of disciplines, including: </w:t>
      </w:r>
    </w:p>
    <w:p w14:paraId="50020675" w14:textId="77777777" w:rsidR="00541A14" w:rsidRDefault="00A450E1">
      <w:pPr>
        <w:pStyle w:val="Default"/>
        <w:numPr>
          <w:ilvl w:val="0"/>
          <w:numId w:val="116"/>
        </w:numPr>
        <w:rPr>
          <w:rFonts w:ascii="Palatino" w:hAnsi="Palatino" w:cs="Palatino"/>
          <w:sz w:val="20"/>
          <w:szCs w:val="20"/>
        </w:rPr>
      </w:pPr>
      <w:r>
        <w:rPr>
          <w:rFonts w:ascii="Palatino" w:hAnsi="Palatino" w:cs="Palatino"/>
          <w:sz w:val="20"/>
          <w:szCs w:val="20"/>
        </w:rPr>
        <w:t xml:space="preserve">ship dynamics; </w:t>
      </w:r>
    </w:p>
    <w:p w14:paraId="78BE9EBA" w14:textId="77777777" w:rsidR="00541A14" w:rsidRDefault="00A450E1">
      <w:pPr>
        <w:pStyle w:val="Default"/>
        <w:numPr>
          <w:ilvl w:val="0"/>
          <w:numId w:val="116"/>
        </w:numPr>
        <w:rPr>
          <w:rFonts w:ascii="Palatino" w:hAnsi="Palatino" w:cs="Palatino"/>
          <w:sz w:val="20"/>
          <w:szCs w:val="20"/>
        </w:rPr>
      </w:pPr>
      <w:r>
        <w:rPr>
          <w:rFonts w:ascii="Palatino" w:hAnsi="Palatino" w:cs="Palatino"/>
          <w:sz w:val="20"/>
          <w:szCs w:val="20"/>
        </w:rPr>
        <w:t xml:space="preserve">vessel size and behaviour; </w:t>
      </w:r>
    </w:p>
    <w:p w14:paraId="43DC38CF" w14:textId="77777777" w:rsidR="00541A14" w:rsidRDefault="00A450E1">
      <w:pPr>
        <w:pStyle w:val="Default"/>
        <w:numPr>
          <w:ilvl w:val="0"/>
          <w:numId w:val="116"/>
        </w:numPr>
        <w:rPr>
          <w:rFonts w:ascii="Palatino" w:hAnsi="Palatino" w:cs="Palatino"/>
          <w:sz w:val="20"/>
          <w:szCs w:val="20"/>
        </w:rPr>
      </w:pPr>
      <w:r>
        <w:rPr>
          <w:rFonts w:ascii="Palatino" w:hAnsi="Palatino" w:cs="Palatino"/>
          <w:sz w:val="20"/>
          <w:szCs w:val="20"/>
        </w:rPr>
        <w:t xml:space="preserve">human factors; </w:t>
      </w:r>
    </w:p>
    <w:p w14:paraId="727C451F" w14:textId="77777777" w:rsidR="00541A14" w:rsidRDefault="00A450E1">
      <w:pPr>
        <w:pStyle w:val="Default"/>
        <w:numPr>
          <w:ilvl w:val="0"/>
          <w:numId w:val="116"/>
        </w:numPr>
        <w:rPr>
          <w:rFonts w:ascii="Palatino" w:hAnsi="Palatino" w:cs="Palatino"/>
          <w:sz w:val="20"/>
          <w:szCs w:val="20"/>
        </w:rPr>
      </w:pPr>
      <w:r>
        <w:rPr>
          <w:rFonts w:ascii="Palatino" w:hAnsi="Palatino" w:cs="Palatino"/>
          <w:sz w:val="20"/>
          <w:szCs w:val="20"/>
        </w:rPr>
        <w:t xml:space="preserve">maritime engineering; </w:t>
      </w:r>
    </w:p>
    <w:p w14:paraId="2474B3FE" w14:textId="77777777" w:rsidR="00541A14" w:rsidRDefault="00A450E1">
      <w:pPr>
        <w:pStyle w:val="Default"/>
        <w:numPr>
          <w:ilvl w:val="0"/>
          <w:numId w:val="116"/>
        </w:numPr>
        <w:rPr>
          <w:rFonts w:ascii="Palatino" w:hAnsi="Palatino" w:cs="Palatino"/>
          <w:sz w:val="20"/>
          <w:szCs w:val="20"/>
        </w:rPr>
      </w:pPr>
      <w:r>
        <w:rPr>
          <w:rFonts w:ascii="Palatino" w:hAnsi="Palatino" w:cs="Palatino"/>
          <w:sz w:val="20"/>
          <w:szCs w:val="20"/>
        </w:rPr>
        <w:t xml:space="preserve">aids to navigation; </w:t>
      </w:r>
    </w:p>
    <w:p w14:paraId="2C29E952" w14:textId="77777777" w:rsidR="00541A14" w:rsidRDefault="00A450E1">
      <w:pPr>
        <w:pStyle w:val="Default"/>
        <w:numPr>
          <w:ilvl w:val="0"/>
          <w:numId w:val="116"/>
        </w:numPr>
        <w:rPr>
          <w:rFonts w:ascii="Palatino" w:hAnsi="Palatino" w:cs="Palatino"/>
          <w:sz w:val="20"/>
          <w:szCs w:val="20"/>
        </w:rPr>
      </w:pPr>
      <w:r>
        <w:rPr>
          <w:rFonts w:ascii="Palatino" w:hAnsi="Palatino" w:cs="Palatino"/>
          <w:sz w:val="20"/>
          <w:szCs w:val="20"/>
        </w:rPr>
        <w:t xml:space="preserve">the physical environment (including bathymetry and hydrometeorology). </w:t>
      </w:r>
    </w:p>
    <w:p w14:paraId="5EE8C4A8" w14:textId="77777777" w:rsidR="00541A14" w:rsidRDefault="00541A14">
      <w:pPr>
        <w:pStyle w:val="Default"/>
        <w:rPr>
          <w:rFonts w:ascii="Palatino" w:hAnsi="Palatino" w:cs="Palatino"/>
          <w:sz w:val="20"/>
          <w:szCs w:val="20"/>
        </w:rPr>
      </w:pPr>
    </w:p>
    <w:p w14:paraId="22CD4104"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The joint PIANC-IAPH Working Group II-30 in cooperation with IMPA published a document </w:t>
      </w:r>
    </w:p>
    <w:p w14:paraId="37440414"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“Approach Channels -A Guide for Design” June 1997. This Guide is currently under review by </w:t>
      </w:r>
    </w:p>
    <w:p w14:paraId="475D53FF" w14:textId="77777777" w:rsidR="00541A14" w:rsidRDefault="00A450E1">
      <w:pPr>
        <w:pStyle w:val="CM174"/>
        <w:spacing w:after="437" w:line="293" w:lineRule="atLeast"/>
        <w:ind w:left="300"/>
        <w:rPr>
          <w:rFonts w:ascii="Palatino" w:hAnsi="Palatino" w:cs="Palatino"/>
          <w:color w:val="000000"/>
          <w:sz w:val="20"/>
          <w:szCs w:val="20"/>
        </w:rPr>
      </w:pPr>
      <w:r>
        <w:rPr>
          <w:rFonts w:ascii="Palatino" w:hAnsi="Palatino" w:cs="Palatino"/>
          <w:color w:val="000000"/>
          <w:sz w:val="20"/>
          <w:szCs w:val="20"/>
        </w:rPr>
        <w:t xml:space="preserve">PIANC’s Marcom Working Group 49 and the report is expected to be available in 2010. </w:t>
      </w:r>
    </w:p>
    <w:p w14:paraId="626C4A95"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6.3.1 Design Elements </w:t>
      </w:r>
    </w:p>
    <w:p w14:paraId="6F761403"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During the design phase the required level of different design parameters should be considered. In this phase the functional requirements have to be translated into technical systems. However, it is often a question of utilising practical experience with AtoN, if the performance parameters are to be met. </w:t>
      </w:r>
    </w:p>
    <w:p w14:paraId="1FEAA7C9"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Accuracy </w:t>
      </w:r>
    </w:p>
    <w:p w14:paraId="083384B1" w14:textId="77777777" w:rsidR="00541A14" w:rsidRDefault="00A450E1">
      <w:pPr>
        <w:pStyle w:val="CM173"/>
        <w:spacing w:after="340" w:line="293" w:lineRule="atLeast"/>
        <w:ind w:right="327"/>
        <w:rPr>
          <w:rFonts w:ascii="Palatino" w:hAnsi="Palatino" w:cs="Palatino"/>
          <w:color w:val="000000"/>
          <w:sz w:val="20"/>
          <w:szCs w:val="20"/>
        </w:rPr>
      </w:pPr>
      <w:r>
        <w:rPr>
          <w:rFonts w:ascii="Palatino" w:hAnsi="Palatino" w:cs="Palatino"/>
          <w:color w:val="000000"/>
          <w:sz w:val="20"/>
          <w:szCs w:val="20"/>
        </w:rPr>
        <w:t xml:space="preserve">The required accuracy depends on the difference between the manoeuvring lane of the ship and the width of that part of the fairway, which is used by a ship of this draft. The available under keel clearance has to be taken into account. The ship’s manoeuvring lane depends on the ship’s beam, length and manoeuvring ability and on environmental conditions (wind, currents, etc.). </w:t>
      </w:r>
    </w:p>
    <w:p w14:paraId="3B763665"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Availability </w:t>
      </w:r>
    </w:p>
    <w:p w14:paraId="41118E1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 those areas in which the level of risk has been determined to be high, the use of certain types of aids to navigation may prove to provide greater risk mitigations. However, the planner must also consider the higher availability objectives that may be required. Competent Authorities should refer to IALA Recommendation O-130 on Categorisation and Availability Objectives for Short Range Aids to Navigation for additional information related to the categorization of individual aids to navigation, the calculation of availability targets, and recommended availability objectives. </w:t>
      </w:r>
    </w:p>
    <w:p w14:paraId="5984FA8C"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AtoN systems should be designed to assist mariners under various weather, sea and ice conditions found during the local navigation season for the various types of vessel. </w:t>
      </w:r>
    </w:p>
    <w:p w14:paraId="5D8C9FCE" w14:textId="77777777" w:rsidR="00541A14" w:rsidRDefault="00A450E1">
      <w:pPr>
        <w:pStyle w:val="CM164"/>
        <w:spacing w:after="1215" w:line="293" w:lineRule="atLeast"/>
        <w:ind w:right="177"/>
        <w:rPr>
          <w:rFonts w:ascii="Palatino" w:hAnsi="Palatino" w:cs="Palatino"/>
          <w:color w:val="000000"/>
          <w:sz w:val="20"/>
          <w:szCs w:val="20"/>
        </w:rPr>
      </w:pPr>
      <w:r>
        <w:rPr>
          <w:rFonts w:ascii="Palatino" w:hAnsi="Palatino" w:cs="Palatino"/>
          <w:color w:val="000000"/>
          <w:sz w:val="20"/>
          <w:szCs w:val="20"/>
        </w:rPr>
        <w:t xml:space="preserve">Short Range AtoN, especially buoys, should be designed regarding their visual information, radar information (active or passive) and other modes of information (Radionavigation, AIS as an AtoN). Design elements must take into account the visibility and radar availability implications. Designing for worst case visibility is not practical. Reduced visibility due to haze and fog must be considered. </w:t>
      </w:r>
    </w:p>
    <w:p w14:paraId="76DB7E98" w14:textId="77777777" w:rsidR="00541A14" w:rsidRDefault="00541A14">
      <w:pPr>
        <w:pStyle w:val="CM12"/>
        <w:jc w:val="both"/>
        <w:rPr>
          <w:rFonts w:ascii="Palatino" w:hAnsi="Palatino" w:cs="Palatino"/>
          <w:color w:val="000000"/>
          <w:sz w:val="20"/>
          <w:szCs w:val="20"/>
        </w:rPr>
      </w:pPr>
    </w:p>
    <w:p w14:paraId="5D948879" w14:textId="77777777" w:rsidR="00541A14" w:rsidRDefault="00DD420F">
      <w:pPr>
        <w:pStyle w:val="Default"/>
        <w:framePr w:w="122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51C18F37" wp14:editId="09A00C06">
            <wp:extent cx="266700" cy="142240"/>
            <wp:effectExtent l="0" t="0" r="12700" b="1016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66700" cy="142240"/>
                    </a:xfrm>
                    <a:prstGeom prst="rect">
                      <a:avLst/>
                    </a:prstGeom>
                    <a:noFill/>
                    <a:ln>
                      <a:noFill/>
                    </a:ln>
                  </pic:spPr>
                </pic:pic>
              </a:graphicData>
            </a:graphic>
          </wp:inline>
        </w:drawing>
      </w:r>
    </w:p>
    <w:p w14:paraId="26448285" w14:textId="77777777" w:rsidR="00541A14" w:rsidRDefault="00541A14">
      <w:pPr>
        <w:pStyle w:val="CM100"/>
        <w:ind w:left="8357"/>
        <w:rPr>
          <w:rFonts w:ascii="Palatino" w:hAnsi="Palatino" w:cs="Palatino"/>
          <w:color w:val="000000"/>
          <w:sz w:val="20"/>
          <w:szCs w:val="20"/>
        </w:rPr>
      </w:pPr>
    </w:p>
    <w:p w14:paraId="2D4FE5C2"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5BF9E9E4" wp14:editId="1D8EB402">
            <wp:extent cx="227330" cy="113665"/>
            <wp:effectExtent l="0" t="0" r="127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6D2E1B37"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069C84F3" wp14:editId="3DA5180C">
            <wp:extent cx="823595" cy="11366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1CD701B9" w14:textId="77777777" w:rsidR="00541A14" w:rsidRDefault="00DD420F">
      <w:pPr>
        <w:pStyle w:val="Default"/>
        <w:pageBreakBefore/>
        <w:framePr w:w="12876" w:wrap="auto" w:vAnchor="page" w:hAnchor="page" w:x="101" w:y="1"/>
        <w:spacing w:after="800"/>
        <w:rPr>
          <w:rFonts w:ascii="Palatino" w:hAnsi="Palatino" w:cs="Palatino"/>
          <w:sz w:val="20"/>
          <w:szCs w:val="20"/>
        </w:rPr>
      </w:pPr>
      <w:r>
        <w:rPr>
          <w:rFonts w:ascii="Palatino" w:hAnsi="Palatino" w:cs="Palatino"/>
          <w:noProof/>
          <w:sz w:val="20"/>
          <w:szCs w:val="20"/>
        </w:rPr>
        <w:drawing>
          <wp:inline distT="0" distB="0" distL="0" distR="0" wp14:anchorId="01985FED" wp14:editId="4DA4B939">
            <wp:extent cx="7553960" cy="1056640"/>
            <wp:effectExtent l="0" t="0" r="0" b="1016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7F69C9AE" w14:textId="77777777" w:rsidR="00541A14" w:rsidRDefault="00A450E1">
      <w:pPr>
        <w:pStyle w:val="CM16"/>
        <w:ind w:right="327"/>
        <w:rPr>
          <w:rFonts w:ascii="Palatino" w:hAnsi="Palatino" w:cs="Palatino"/>
          <w:color w:val="000000"/>
          <w:sz w:val="20"/>
          <w:szCs w:val="20"/>
        </w:rPr>
      </w:pPr>
      <w:r>
        <w:rPr>
          <w:rFonts w:ascii="Palatino" w:hAnsi="Palatino" w:cs="Palatino"/>
          <w:color w:val="000000"/>
          <w:sz w:val="20"/>
          <w:szCs w:val="20"/>
        </w:rPr>
        <w:t xml:space="preserve">In designing and redesigning systems, past incidents such as groundings, collisions or near-misses must be carefully considered.  Such incidents should be well documented to ensure accuracy of the </w:t>
      </w:r>
    </w:p>
    <w:p w14:paraId="186B104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information used for a decision to change or not to change the configuration of aids in a system. </w:t>
      </w:r>
    </w:p>
    <w:p w14:paraId="5E5B1A6D"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Additionally, integrity and continuity can be used to define requirements, if appropriate. </w:t>
      </w:r>
    </w:p>
    <w:p w14:paraId="6811A3C2"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07C4335B" w14:textId="77777777" w:rsidR="00541A14" w:rsidRDefault="009E3F25">
      <w:pPr>
        <w:pStyle w:val="CM174"/>
        <w:spacing w:after="437" w:line="293" w:lineRule="atLeast"/>
        <w:ind w:left="300"/>
        <w:rPr>
          <w:rFonts w:ascii="Palatino" w:hAnsi="Palatino" w:cs="Palatino"/>
          <w:color w:val="000000"/>
          <w:sz w:val="20"/>
          <w:szCs w:val="20"/>
        </w:rPr>
      </w:pPr>
      <w:hyperlink r:id="rId292" w:history="1">
        <w:r w:rsidR="00A450E1">
          <w:rPr>
            <w:rFonts w:ascii="Palatino" w:hAnsi="Palatino" w:cs="Palatino"/>
            <w:i/>
            <w:iCs/>
            <w:color w:val="000000"/>
            <w:sz w:val="20"/>
            <w:szCs w:val="20"/>
          </w:rPr>
          <w:t xml:space="preserve">IALA Recommendation O-130 on Categorisation and Availability Objectives for Short Range AtoN. </w:t>
        </w:r>
      </w:hyperlink>
    </w:p>
    <w:p w14:paraId="0CF2D06D"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6.3.2 Dredging Considerations </w:t>
      </w:r>
    </w:p>
    <w:p w14:paraId="5A329912"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Port and waterways authorities should consider the significant contribution that proper use of aids to navigation in improving positioning accuracy and navigational accuracy can make to the efficiency of </w:t>
      </w:r>
    </w:p>
    <w:p w14:paraId="62273F93"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major dredging projects and waterways maintenance. </w:t>
      </w:r>
    </w:p>
    <w:p w14:paraId="16BEC3CB"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In some cases the required channel width could be reduced as can the costs for major and maintenance dredging.  The PIANC Guide ‘Approach Channels’, June 1997, which is currently under review, contains further information on this issue. </w:t>
      </w:r>
    </w:p>
    <w:p w14:paraId="2F6A10F9"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6.3.3 Hydrographic Considerations </w:t>
      </w:r>
    </w:p>
    <w:p w14:paraId="1319EC36"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Usually, the uncertainty of positioning an AtoN should not be bigger than the uncertainty in survey and charting. </w:t>
      </w:r>
    </w:p>
    <w:p w14:paraId="64879F9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Horizontal Uncertainty is the uncertainty of a position defined as the uncertainty of the sounding or </w:t>
      </w:r>
    </w:p>
    <w:p w14:paraId="42026B1A"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 xml:space="preserve">feature within the geodetic reference frame.  Positions should be referenced to a geocentric reference frame based on the International Terrestrial Reference System (ITRS) e.g. WGS84.  The position </w:t>
      </w:r>
    </w:p>
    <w:p w14:paraId="71D398F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uncertainty at the 95% confidence level should be recorded together with the survey data. </w:t>
      </w:r>
    </w:p>
    <w:p w14:paraId="5DA0115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position of soundings, dangers, other significant submerged features, AtoN features significant </w:t>
      </w:r>
    </w:p>
    <w:p w14:paraId="60C75B0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to navigation, the coastline and topographical features should be determined such that the horizontal </w:t>
      </w:r>
    </w:p>
    <w:p w14:paraId="5AFBFC8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uncertainty meets the requirements specified.  This includes all uncertainty sources not just those </w:t>
      </w:r>
    </w:p>
    <w:p w14:paraId="101295FE"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associated with positioning equipment. </w:t>
      </w:r>
    </w:p>
    <w:p w14:paraId="3410DC6F"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6.3.4 Economic Considerations </w:t>
      </w:r>
    </w:p>
    <w:p w14:paraId="05E559C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 comparative analysis of cost effective combinations of aids (cost-effectiveness analysis) is required to select between viable alternatives. The effectiveness of different alternatives can be assessed by IALA risk assessment tools, especially the PAWSA (Port And Waterway Safety Assessment) tool as a qualitative risk assessment procedure and the IWRAP (IALA Waterway Risk Assessment Programme) as an analytical risk assessment program. </w:t>
      </w:r>
    </w:p>
    <w:p w14:paraId="4AB1FDC3" w14:textId="77777777" w:rsidR="00541A14" w:rsidRDefault="00A450E1">
      <w:pPr>
        <w:pStyle w:val="CM192"/>
        <w:spacing w:after="1992" w:line="293" w:lineRule="atLeast"/>
        <w:ind w:right="327"/>
        <w:rPr>
          <w:rFonts w:ascii="Palatino" w:hAnsi="Palatino" w:cs="Palatino"/>
          <w:color w:val="000000"/>
          <w:sz w:val="20"/>
          <w:szCs w:val="20"/>
        </w:rPr>
      </w:pPr>
      <w:r>
        <w:rPr>
          <w:rFonts w:ascii="Palatino" w:hAnsi="Palatino" w:cs="Palatino"/>
          <w:color w:val="000000"/>
          <w:sz w:val="20"/>
          <w:szCs w:val="20"/>
        </w:rPr>
        <w:t xml:space="preserve">It is necessary to establish the comparative direct costs - including maintenance costs - of each proposed AtoN alternative, to assist in determining the most cost-effective system of aids to navigation. Simulation offers a method to help ensure that AtoN are appropriate and cost effective.  </w:t>
      </w:r>
    </w:p>
    <w:p w14:paraId="2960ECD8" w14:textId="77777777" w:rsidR="00541A14" w:rsidRDefault="00A450E1">
      <w:pPr>
        <w:pStyle w:val="CM12"/>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066AED7E"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121 </w:t>
      </w:r>
    </w:p>
    <w:p w14:paraId="4F25B824" w14:textId="77777777" w:rsidR="00541A14" w:rsidRDefault="00DD420F">
      <w:pPr>
        <w:pStyle w:val="Default"/>
        <w:pageBreakBefore/>
        <w:framePr w:w="24782" w:wrap="auto" w:vAnchor="page" w:hAnchor="page" w:x="101" w:y="1"/>
        <w:spacing w:after="86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4362AD67" wp14:editId="3BA32AB9">
            <wp:extent cx="7553960" cy="1056640"/>
            <wp:effectExtent l="0" t="0" r="0" b="1016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75160DD9"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6.3.5 Design, Validation and Visualisation and the Use of Related Tools </w:t>
      </w:r>
    </w:p>
    <w:p w14:paraId="6A1E36B0" w14:textId="77777777" w:rsidR="00541A14" w:rsidRDefault="00A450E1">
      <w:pPr>
        <w:pStyle w:val="CM16"/>
        <w:ind w:right="327"/>
        <w:rPr>
          <w:rFonts w:ascii="Palatino" w:hAnsi="Palatino" w:cs="Palatino"/>
          <w:color w:val="000000"/>
          <w:sz w:val="20"/>
          <w:szCs w:val="20"/>
        </w:rPr>
      </w:pPr>
      <w:r>
        <w:rPr>
          <w:rFonts w:ascii="Palatino" w:hAnsi="Palatino" w:cs="Palatino"/>
          <w:color w:val="000000"/>
          <w:sz w:val="20"/>
          <w:szCs w:val="20"/>
        </w:rPr>
        <w:t xml:space="preserve">Prior to implementing a new AtoN system or changing an existing one, Competent Authorities should consider using simulation techniques to assess the overall safety and effectiveness of these </w:t>
      </w:r>
    </w:p>
    <w:p w14:paraId="2424FDB1"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changes. The use of Geographic Information System (GIS) technology can improve the efficiency of AtoN deployment and waterway layout. GIS enables the volume of traffic to be overlaid (e.g. taken from AIS data), and planning the position and type of AtoN to mitigate the identified risks for all users. Having designed a potential AtoN configuration in this manner, the Competent Authority </w:t>
      </w:r>
    </w:p>
    <w:p w14:paraId="3A253D8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can use simulation tools to model a ship passages using combinations of various types of vessels, in order to validate the design. Simulation is best done in consultation with appropriate stakeholders eg. local pilots. To achieve a high level of realism in the simulations, GIS data can be integrated to the waterway models used in the simulator. </w:t>
      </w:r>
    </w:p>
    <w:p w14:paraId="41B62FC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In addition to simulation could be useful for ensuring sufficient channel width, channel depth, and </w:t>
      </w:r>
    </w:p>
    <w:p w14:paraId="05547117"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optimal orientation and design of breakwaters as well as ensuring that the lay-out of a channel and port is suitable from a manoeuvring perspective. </w:t>
      </w:r>
    </w:p>
    <w:p w14:paraId="138339E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Sophisticated computer simulation techniques are becoming increasingly available, and they provide an important tool to assist in decision making. </w:t>
      </w:r>
    </w:p>
    <w:p w14:paraId="2C501AE5"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Simulating the placement and operation of AtoN by day and night, and under various conditions of visibility assists in ensuring that AtoN are effective and provided in a cost effective manner that suits the purpose of providing a predetermined level of safety. This is particularly important as aids </w:t>
      </w:r>
    </w:p>
    <w:p w14:paraId="182498D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to navigation become more sophisticated (synchronised and sequential lights, LED with flicker, and </w:t>
      </w:r>
    </w:p>
    <w:p w14:paraId="4F0814D2" w14:textId="77777777" w:rsidR="00541A14" w:rsidRDefault="00A450E1">
      <w:pPr>
        <w:pStyle w:val="CM163"/>
        <w:spacing w:after="642" w:line="291" w:lineRule="atLeast"/>
        <w:rPr>
          <w:rFonts w:ascii="Palatino" w:hAnsi="Palatino" w:cs="Palatino"/>
          <w:color w:val="000000"/>
          <w:sz w:val="20"/>
          <w:szCs w:val="20"/>
        </w:rPr>
      </w:pPr>
      <w:r>
        <w:rPr>
          <w:rFonts w:ascii="Palatino" w:hAnsi="Palatino" w:cs="Palatino"/>
          <w:color w:val="000000"/>
          <w:sz w:val="20"/>
          <w:szCs w:val="20"/>
        </w:rPr>
        <w:t xml:space="preserve">other new light characteristics). </w:t>
      </w:r>
    </w:p>
    <w:p w14:paraId="04139648" w14:textId="77777777" w:rsidR="00541A14" w:rsidRDefault="00DD420F">
      <w:pPr>
        <w:pStyle w:val="Default"/>
        <w:framePr w:w="9871" w:wrap="auto" w:vAnchor="page" w:hAnchor="page" w:x="1419" w:y="9702"/>
        <w:spacing w:after="80"/>
        <w:rPr>
          <w:rFonts w:ascii="Palatino" w:hAnsi="Palatino" w:cs="Palatino"/>
          <w:sz w:val="20"/>
          <w:szCs w:val="20"/>
        </w:rPr>
      </w:pPr>
      <w:r>
        <w:rPr>
          <w:rFonts w:ascii="Palatino" w:hAnsi="Palatino" w:cs="Palatino"/>
          <w:noProof/>
          <w:sz w:val="20"/>
          <w:szCs w:val="20"/>
        </w:rPr>
        <w:drawing>
          <wp:inline distT="0" distB="0" distL="0" distR="0" wp14:anchorId="7DAAE108" wp14:editId="1F87EA57">
            <wp:extent cx="5753100" cy="3464560"/>
            <wp:effectExtent l="0" t="0" r="1270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753100" cy="3464560"/>
                    </a:xfrm>
                    <a:prstGeom prst="rect">
                      <a:avLst/>
                    </a:prstGeom>
                    <a:noFill/>
                    <a:ln>
                      <a:noFill/>
                    </a:ln>
                  </pic:spPr>
                </pic:pic>
              </a:graphicData>
            </a:graphic>
          </wp:inline>
        </w:drawing>
      </w:r>
    </w:p>
    <w:p w14:paraId="7E790166" w14:textId="77777777" w:rsidR="00541A14" w:rsidRDefault="00A450E1">
      <w:pPr>
        <w:pStyle w:val="CM191"/>
        <w:spacing w:after="825"/>
        <w:jc w:val="center"/>
        <w:rPr>
          <w:rFonts w:ascii="Palatino" w:hAnsi="Palatino" w:cs="Palatino"/>
          <w:color w:val="000000"/>
          <w:sz w:val="20"/>
          <w:szCs w:val="20"/>
        </w:rPr>
      </w:pPr>
      <w:r>
        <w:rPr>
          <w:rFonts w:ascii="Palatino" w:hAnsi="Palatino" w:cs="Palatino"/>
          <w:i/>
          <w:iCs/>
          <w:color w:val="000000"/>
          <w:sz w:val="20"/>
          <w:szCs w:val="20"/>
        </w:rPr>
        <w:t xml:space="preserve">Full Mission Simulator – Photo courtesy of Force Technology </w:t>
      </w:r>
    </w:p>
    <w:p w14:paraId="03379D92" w14:textId="77777777" w:rsidR="00541A14" w:rsidRDefault="00541A14">
      <w:pPr>
        <w:pStyle w:val="CM12"/>
        <w:jc w:val="both"/>
        <w:rPr>
          <w:rFonts w:ascii="Palatino" w:hAnsi="Palatino" w:cs="Palatino"/>
          <w:color w:val="000000"/>
          <w:sz w:val="20"/>
          <w:szCs w:val="20"/>
        </w:rPr>
      </w:pPr>
    </w:p>
    <w:p w14:paraId="07A492BB" w14:textId="77777777" w:rsidR="00541A14" w:rsidRDefault="00DD420F">
      <w:pPr>
        <w:pStyle w:val="Default"/>
        <w:framePr w:w="122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3C35DDF4" wp14:editId="7990A504">
            <wp:extent cx="266700" cy="142240"/>
            <wp:effectExtent l="0" t="0" r="12700" b="1016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66700" cy="142240"/>
                    </a:xfrm>
                    <a:prstGeom prst="rect">
                      <a:avLst/>
                    </a:prstGeom>
                    <a:noFill/>
                    <a:ln>
                      <a:noFill/>
                    </a:ln>
                  </pic:spPr>
                </pic:pic>
              </a:graphicData>
            </a:graphic>
          </wp:inline>
        </w:drawing>
      </w:r>
    </w:p>
    <w:p w14:paraId="4F9DB540" w14:textId="77777777" w:rsidR="00541A14" w:rsidRDefault="00541A14">
      <w:pPr>
        <w:pStyle w:val="CM100"/>
        <w:ind w:left="8357"/>
        <w:rPr>
          <w:rFonts w:ascii="Palatino" w:hAnsi="Palatino" w:cs="Palatino"/>
          <w:color w:val="000000"/>
          <w:sz w:val="20"/>
          <w:szCs w:val="20"/>
        </w:rPr>
      </w:pPr>
    </w:p>
    <w:p w14:paraId="703F3440"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3D178051" wp14:editId="49A272A0">
            <wp:extent cx="227330" cy="113665"/>
            <wp:effectExtent l="0" t="0" r="127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43C46E44"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78143DBC" wp14:editId="3B915ECA">
            <wp:extent cx="823595" cy="11366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61C6F9A6" w14:textId="77777777" w:rsidR="00541A14" w:rsidRDefault="00DD420F">
      <w:pPr>
        <w:pStyle w:val="Default"/>
        <w:pageBreakBefore/>
        <w:framePr w:w="12876" w:wrap="auto" w:vAnchor="page" w:hAnchor="page" w:x="101" w:y="1"/>
        <w:spacing w:after="820"/>
        <w:rPr>
          <w:rFonts w:ascii="Palatino" w:hAnsi="Palatino" w:cs="Palatino"/>
          <w:sz w:val="20"/>
          <w:szCs w:val="20"/>
        </w:rPr>
      </w:pPr>
      <w:r>
        <w:rPr>
          <w:rFonts w:ascii="Palatino" w:hAnsi="Palatino" w:cs="Palatino"/>
          <w:noProof/>
          <w:sz w:val="20"/>
          <w:szCs w:val="20"/>
        </w:rPr>
        <w:drawing>
          <wp:inline distT="0" distB="0" distL="0" distR="0" wp14:anchorId="52EE5136" wp14:editId="1BAE58B0">
            <wp:extent cx="7553960" cy="1056640"/>
            <wp:effectExtent l="0" t="0" r="0" b="1016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29643211"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Simulation tools are capable of providing very realistic and accurate results and input to investigation and evaluation of channel and port design including the placement of AtoN. The purpose of simulation for design evaluation is to evaluate the risks of a given design ship operating in a </w:t>
      </w:r>
    </w:p>
    <w:p w14:paraId="03E18B1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specific fairway and port area. It also includes evaluation of channel lay-out, placement of AtoN and </w:t>
      </w:r>
    </w:p>
    <w:p w14:paraId="7EA103A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manoeuvring aspects. </w:t>
      </w:r>
    </w:p>
    <w:p w14:paraId="0216473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Simulations offer a relatively low cost method to help ensure that the AtoN solution provided meets </w:t>
      </w:r>
    </w:p>
    <w:p w14:paraId="2BB77E5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users’ requirements in an effective and efficient manner. </w:t>
      </w:r>
    </w:p>
    <w:p w14:paraId="3977D77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By providing a simulation tool to the user an overall improvement in safe and efficient operation </w:t>
      </w:r>
    </w:p>
    <w:p w14:paraId="459279C7"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can be realised by assisting in demonstrating the operation of the waterway, channel design and associated AtoN before the reality of navigating a vessel in the area. </w:t>
      </w:r>
    </w:p>
    <w:p w14:paraId="1F5696F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User consultation is an integral part of all AtoN planning and simulation processes. Accurate simulation tools will potentially improve the usefulness of the feedback obtained from users. It is important that the providers of the simulation services include the key stakeholders in the simulation studies including experienced mariners and engineers, local pilots and competent authorities who can ensure that applicable regulations and recommendations are followed. </w:t>
      </w:r>
    </w:p>
    <w:p w14:paraId="57E9789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use of simulators can be of real benefit in confirming the effectiveness of marking proposals that </w:t>
      </w:r>
    </w:p>
    <w:p w14:paraId="32C4E97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will have a high cost or that are intended to meet the needs of a complex navigational situation.  </w:t>
      </w:r>
    </w:p>
    <w:p w14:paraId="473C55B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When defining simulation tools for design evaluation (as opposed to training in, for example generic </w:t>
      </w:r>
    </w:p>
    <w:p w14:paraId="70B01F45"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ship handling or watch keeping) it is important that the ship, tug and area models used are very realistic and accurate and that the simulation provider can document the realism and accuracy such that it does not become a “black-box” study with non-transparent processes. </w:t>
      </w:r>
    </w:p>
    <w:p w14:paraId="2FAC8E3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requirement for realism and accuracy is increasingly important as the industry is constantly </w:t>
      </w:r>
    </w:p>
    <w:p w14:paraId="09D84FB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striving for improved safety levels and increased efficiency. </w:t>
      </w:r>
    </w:p>
    <w:p w14:paraId="4A76C56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 number of different simulation tools are available for design studies and have different usability and applications. The following simulation tools are the most common: </w:t>
      </w:r>
    </w:p>
    <w:p w14:paraId="497F8A15" w14:textId="77777777" w:rsidR="00541A14" w:rsidRDefault="00A450E1">
      <w:pPr>
        <w:pStyle w:val="Default"/>
        <w:numPr>
          <w:ilvl w:val="0"/>
          <w:numId w:val="117"/>
        </w:numPr>
        <w:spacing w:after="52"/>
        <w:rPr>
          <w:rFonts w:ascii="Palatino" w:hAnsi="Palatino" w:cs="Palatino"/>
          <w:sz w:val="20"/>
          <w:szCs w:val="20"/>
        </w:rPr>
      </w:pPr>
      <w:r>
        <w:rPr>
          <w:rFonts w:ascii="Palatino" w:hAnsi="Palatino" w:cs="Palatino"/>
          <w:sz w:val="20"/>
          <w:szCs w:val="20"/>
        </w:rPr>
        <w:t xml:space="preserve">Fast time simulation. </w:t>
      </w:r>
    </w:p>
    <w:p w14:paraId="3CE13207" w14:textId="77777777" w:rsidR="00541A14" w:rsidRDefault="00A450E1">
      <w:pPr>
        <w:pStyle w:val="Default"/>
        <w:numPr>
          <w:ilvl w:val="0"/>
          <w:numId w:val="117"/>
        </w:numPr>
        <w:spacing w:after="52"/>
        <w:rPr>
          <w:rFonts w:ascii="Palatino" w:hAnsi="Palatino" w:cs="Palatino"/>
          <w:sz w:val="20"/>
          <w:szCs w:val="20"/>
        </w:rPr>
      </w:pPr>
      <w:r>
        <w:rPr>
          <w:rFonts w:ascii="Palatino" w:hAnsi="Palatino" w:cs="Palatino"/>
          <w:sz w:val="20"/>
          <w:szCs w:val="20"/>
        </w:rPr>
        <w:t xml:space="preserve">Desktop simulation. </w:t>
      </w:r>
    </w:p>
    <w:p w14:paraId="26490DB0" w14:textId="77777777" w:rsidR="00541A14" w:rsidRDefault="00A450E1">
      <w:pPr>
        <w:pStyle w:val="Default"/>
        <w:numPr>
          <w:ilvl w:val="0"/>
          <w:numId w:val="117"/>
        </w:numPr>
        <w:spacing w:after="52"/>
        <w:rPr>
          <w:rFonts w:ascii="Palatino" w:hAnsi="Palatino" w:cs="Palatino"/>
          <w:sz w:val="20"/>
          <w:szCs w:val="20"/>
        </w:rPr>
      </w:pPr>
      <w:r>
        <w:rPr>
          <w:rFonts w:ascii="Palatino" w:hAnsi="Palatino" w:cs="Palatino"/>
          <w:sz w:val="20"/>
          <w:szCs w:val="20"/>
        </w:rPr>
        <w:t xml:space="preserve">Part task simulation. </w:t>
      </w:r>
    </w:p>
    <w:p w14:paraId="5B9ED5EE" w14:textId="77777777" w:rsidR="00541A14" w:rsidRDefault="00A450E1">
      <w:pPr>
        <w:pStyle w:val="Default"/>
        <w:numPr>
          <w:ilvl w:val="0"/>
          <w:numId w:val="117"/>
        </w:numPr>
        <w:spacing w:after="52"/>
        <w:rPr>
          <w:rFonts w:ascii="Palatino" w:hAnsi="Palatino" w:cs="Palatino"/>
          <w:sz w:val="20"/>
          <w:szCs w:val="20"/>
        </w:rPr>
      </w:pPr>
      <w:r>
        <w:rPr>
          <w:rFonts w:ascii="Palatino" w:hAnsi="Palatino" w:cs="Palatino"/>
          <w:sz w:val="20"/>
          <w:szCs w:val="20"/>
        </w:rPr>
        <w:t xml:space="preserve">Full mission simulation. </w:t>
      </w:r>
    </w:p>
    <w:p w14:paraId="7781DFC1" w14:textId="77777777" w:rsidR="00541A14" w:rsidRDefault="00A450E1">
      <w:pPr>
        <w:pStyle w:val="Default"/>
        <w:numPr>
          <w:ilvl w:val="0"/>
          <w:numId w:val="117"/>
        </w:numPr>
        <w:rPr>
          <w:rFonts w:ascii="Palatino" w:hAnsi="Palatino" w:cs="Palatino"/>
          <w:sz w:val="20"/>
          <w:szCs w:val="20"/>
        </w:rPr>
      </w:pPr>
      <w:r>
        <w:rPr>
          <w:rFonts w:ascii="Palatino" w:hAnsi="Palatino" w:cs="Palatino"/>
          <w:sz w:val="20"/>
          <w:szCs w:val="20"/>
        </w:rPr>
        <w:t xml:space="preserve">Traffic flow simulation. </w:t>
      </w:r>
    </w:p>
    <w:p w14:paraId="4C71D637" w14:textId="77777777" w:rsidR="00541A14" w:rsidRDefault="00541A14">
      <w:pPr>
        <w:pStyle w:val="Default"/>
        <w:rPr>
          <w:rFonts w:ascii="Palatino" w:hAnsi="Palatino" w:cs="Palatino"/>
          <w:sz w:val="20"/>
          <w:szCs w:val="20"/>
        </w:rPr>
      </w:pPr>
    </w:p>
    <w:p w14:paraId="4633D36C"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4D42AF19" w14:textId="77777777" w:rsidR="00541A14" w:rsidRDefault="009E3F25">
      <w:pPr>
        <w:pStyle w:val="CM165"/>
        <w:spacing w:after="85" w:line="293" w:lineRule="atLeast"/>
        <w:ind w:left="300"/>
        <w:rPr>
          <w:rFonts w:ascii="Palatino" w:hAnsi="Palatino" w:cs="Palatino"/>
          <w:color w:val="000000"/>
          <w:sz w:val="20"/>
          <w:szCs w:val="20"/>
        </w:rPr>
      </w:pPr>
      <w:hyperlink r:id="rId295" w:history="1">
        <w:r w:rsidR="00A450E1">
          <w:rPr>
            <w:rFonts w:ascii="Palatino" w:hAnsi="Palatino" w:cs="Palatino"/>
            <w:i/>
            <w:iCs/>
            <w:color w:val="000000"/>
            <w:sz w:val="20"/>
            <w:szCs w:val="20"/>
          </w:rPr>
          <w:t xml:space="preserve">IALA Recommendation O-138 on the Use of GIS and Simulation by Aids to Navigation Authorities. </w:t>
        </w:r>
      </w:hyperlink>
    </w:p>
    <w:p w14:paraId="12443C42" w14:textId="77777777" w:rsidR="00541A14" w:rsidRDefault="009E3F25">
      <w:pPr>
        <w:pStyle w:val="CM165"/>
        <w:spacing w:after="85" w:line="293" w:lineRule="atLeast"/>
        <w:ind w:left="300"/>
        <w:rPr>
          <w:rFonts w:ascii="Palatino" w:hAnsi="Palatino" w:cs="Palatino"/>
          <w:color w:val="000000"/>
          <w:sz w:val="20"/>
          <w:szCs w:val="20"/>
        </w:rPr>
      </w:pPr>
      <w:hyperlink r:id="rId296" w:history="1">
        <w:r w:rsidR="00A450E1">
          <w:rPr>
            <w:rFonts w:ascii="Palatino" w:hAnsi="Palatino" w:cs="Palatino"/>
            <w:i/>
            <w:iCs/>
            <w:color w:val="000000"/>
            <w:sz w:val="20"/>
            <w:szCs w:val="20"/>
          </w:rPr>
          <w:t xml:space="preserve">IALA Guideline 1058 on the Use of Simulation as a Tool for Waterway Design and AtoN Planning. </w:t>
        </w:r>
      </w:hyperlink>
    </w:p>
    <w:p w14:paraId="5EC87236" w14:textId="77777777" w:rsidR="00541A14" w:rsidRDefault="009E3F25">
      <w:pPr>
        <w:pStyle w:val="CM167"/>
        <w:spacing w:after="1902" w:line="293" w:lineRule="atLeast"/>
        <w:ind w:left="300"/>
        <w:rPr>
          <w:rFonts w:ascii="Palatino" w:hAnsi="Palatino" w:cs="Palatino"/>
          <w:color w:val="000000"/>
          <w:sz w:val="20"/>
          <w:szCs w:val="20"/>
        </w:rPr>
      </w:pPr>
      <w:hyperlink r:id="rId297" w:history="1">
        <w:r w:rsidR="00A450E1">
          <w:rPr>
            <w:rFonts w:ascii="Palatino" w:hAnsi="Palatino" w:cs="Palatino"/>
            <w:i/>
            <w:iCs/>
            <w:color w:val="000000"/>
            <w:sz w:val="20"/>
            <w:szCs w:val="20"/>
          </w:rPr>
          <w:t xml:space="preserve">IALA Guideline No. 1069 on Synchronisation of Lights. </w:t>
        </w:r>
      </w:hyperlink>
    </w:p>
    <w:p w14:paraId="4AD27156" w14:textId="77777777" w:rsidR="00541A14" w:rsidRDefault="00A450E1">
      <w:pPr>
        <w:pStyle w:val="CM12"/>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0652C36B"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123 </w:t>
      </w:r>
    </w:p>
    <w:p w14:paraId="301F84D0" w14:textId="77777777" w:rsidR="00541A14" w:rsidRDefault="00DD420F">
      <w:pPr>
        <w:pStyle w:val="Default"/>
        <w:pageBreakBefore/>
        <w:framePr w:w="24782" w:wrap="auto" w:vAnchor="page" w:hAnchor="page" w:x="101" w:y="1"/>
        <w:spacing w:after="84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0A8D2A23" wp14:editId="64963E27">
            <wp:extent cx="7553960" cy="1056640"/>
            <wp:effectExtent l="0" t="0" r="0" b="1016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4436E818"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6.4 The Marking of Man-Made Offshore Structures </w:t>
      </w:r>
    </w:p>
    <w:p w14:paraId="0972B3F8"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New uses of ocean and coastal waters, subsoil and seabed, are constantly emerging with consequent increases in the number and types of man-made structures being built in the maritime environment. </w:t>
      </w:r>
    </w:p>
    <w:p w14:paraId="106EDD0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Effective and consistent marking of these diverse structures, during their construction phase and when </w:t>
      </w:r>
    </w:p>
    <w:p w14:paraId="082133C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established, can be a significant challenge for Aids to Navigation Authorities. IALA Recommendation </w:t>
      </w:r>
    </w:p>
    <w:p w14:paraId="7CCC068C"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O-139 The Marking of Man-made Offshore Structures provides comprehensive information on the required marking. This replaces previous recommendations O-114, O-116, O-117 and O-131 which are now consolidated in this single document. </w:t>
      </w:r>
    </w:p>
    <w:p w14:paraId="3A241DF9"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This section outlines the general requirements but reference should be made to O-139 for detailed information. In O-139 the various structures are set out in four groups: </w:t>
      </w:r>
    </w:p>
    <w:p w14:paraId="169EAFB4" w14:textId="77777777" w:rsidR="00541A14" w:rsidRDefault="00A450E1">
      <w:pPr>
        <w:pStyle w:val="Default"/>
        <w:numPr>
          <w:ilvl w:val="0"/>
          <w:numId w:val="118"/>
        </w:numPr>
        <w:rPr>
          <w:rFonts w:ascii="Palatino" w:hAnsi="Palatino" w:cs="Palatino"/>
          <w:sz w:val="20"/>
          <w:szCs w:val="20"/>
        </w:rPr>
      </w:pPr>
      <w:r>
        <w:rPr>
          <w:rFonts w:ascii="Palatino" w:hAnsi="Palatino" w:cs="Palatino"/>
          <w:sz w:val="20"/>
          <w:szCs w:val="20"/>
        </w:rPr>
        <w:t xml:space="preserve">Offshore Structures in General (those not included in other groups). </w:t>
      </w:r>
    </w:p>
    <w:p w14:paraId="60C7427D" w14:textId="77777777" w:rsidR="00541A14" w:rsidRDefault="00A450E1">
      <w:pPr>
        <w:pStyle w:val="Default"/>
        <w:numPr>
          <w:ilvl w:val="0"/>
          <w:numId w:val="118"/>
        </w:numPr>
        <w:rPr>
          <w:rFonts w:ascii="Palatino" w:hAnsi="Palatino" w:cs="Palatino"/>
          <w:sz w:val="20"/>
          <w:szCs w:val="20"/>
        </w:rPr>
      </w:pPr>
      <w:r>
        <w:rPr>
          <w:rFonts w:ascii="Palatino" w:hAnsi="Palatino" w:cs="Palatino"/>
          <w:sz w:val="20"/>
          <w:szCs w:val="20"/>
        </w:rPr>
        <w:t xml:space="preserve">Aquaculture Farms. </w:t>
      </w:r>
    </w:p>
    <w:p w14:paraId="574E94CB" w14:textId="77777777" w:rsidR="00541A14" w:rsidRDefault="00A450E1">
      <w:pPr>
        <w:pStyle w:val="Default"/>
        <w:numPr>
          <w:ilvl w:val="0"/>
          <w:numId w:val="118"/>
        </w:numPr>
        <w:rPr>
          <w:rFonts w:ascii="Palatino" w:hAnsi="Palatino" w:cs="Palatino"/>
          <w:sz w:val="20"/>
          <w:szCs w:val="20"/>
        </w:rPr>
      </w:pPr>
      <w:r>
        <w:rPr>
          <w:rFonts w:ascii="Palatino" w:hAnsi="Palatino" w:cs="Palatino"/>
          <w:sz w:val="20"/>
          <w:szCs w:val="20"/>
        </w:rPr>
        <w:t xml:space="preserve">Wind farms. </w:t>
      </w:r>
    </w:p>
    <w:p w14:paraId="7CAF1259" w14:textId="77777777" w:rsidR="00541A14" w:rsidRDefault="00A450E1">
      <w:pPr>
        <w:pStyle w:val="Default"/>
        <w:numPr>
          <w:ilvl w:val="0"/>
          <w:numId w:val="118"/>
        </w:numPr>
        <w:rPr>
          <w:rFonts w:ascii="Palatino" w:hAnsi="Palatino" w:cs="Palatino"/>
          <w:sz w:val="20"/>
          <w:szCs w:val="20"/>
        </w:rPr>
      </w:pPr>
      <w:r>
        <w:rPr>
          <w:rFonts w:ascii="Palatino" w:hAnsi="Palatino" w:cs="Palatino"/>
          <w:sz w:val="20"/>
          <w:szCs w:val="20"/>
        </w:rPr>
        <w:t xml:space="preserve">Wave and Tidal Energy Devices. </w:t>
      </w:r>
    </w:p>
    <w:p w14:paraId="635FE208" w14:textId="77777777" w:rsidR="00541A14" w:rsidRDefault="00541A14">
      <w:pPr>
        <w:pStyle w:val="Default"/>
        <w:rPr>
          <w:rFonts w:ascii="Palatino" w:hAnsi="Palatino" w:cs="Palatino"/>
          <w:sz w:val="20"/>
          <w:szCs w:val="20"/>
        </w:rPr>
      </w:pPr>
    </w:p>
    <w:p w14:paraId="706F36ED"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6.4.1 Offshore Structures in General (those not included in other groups) </w:t>
      </w:r>
    </w:p>
    <w:p w14:paraId="759B231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Early consultation between all relevant parties is important to avoid prejudicing the safe use of </w:t>
      </w:r>
    </w:p>
    <w:p w14:paraId="5B9F545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Traffic Separation Schemes, Inshore Traffic Zones, recognised sea lanes and safe access to anchorages, </w:t>
      </w:r>
    </w:p>
    <w:p w14:paraId="0A74A0F3" w14:textId="77777777" w:rsidR="00541A14" w:rsidRDefault="00A450E1">
      <w:pPr>
        <w:pStyle w:val="CM165"/>
        <w:spacing w:after="85" w:line="300" w:lineRule="atLeast"/>
        <w:ind w:right="465"/>
        <w:rPr>
          <w:rFonts w:ascii="Palatino" w:hAnsi="Palatino" w:cs="Palatino"/>
          <w:color w:val="000000"/>
          <w:sz w:val="20"/>
          <w:szCs w:val="20"/>
        </w:rPr>
      </w:pPr>
      <w:r>
        <w:rPr>
          <w:rFonts w:ascii="Palatino" w:hAnsi="Palatino" w:cs="Palatino"/>
          <w:color w:val="000000"/>
          <w:sz w:val="20"/>
          <w:szCs w:val="20"/>
        </w:rPr>
        <w:t xml:space="preserve">harbours and places of refuge. On a case-by-case basis consideration may be given to establishing exclusion or Safety zones. </w:t>
      </w:r>
    </w:p>
    <w:p w14:paraId="374F34F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Offshore Structures mentioned in this section should be marked as a single unit or as a block or </w:t>
      </w:r>
    </w:p>
    <w:p w14:paraId="74B095E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field as follows: </w:t>
      </w:r>
    </w:p>
    <w:p w14:paraId="3574213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At night by one or more white lights (Morse letter « U » • •–), operated in unison, so that at least </w:t>
      </w:r>
    </w:p>
    <w:p w14:paraId="432A90A5"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one light is visible upon approaching the structure from any direction. </w:t>
      </w:r>
    </w:p>
    <w:p w14:paraId="52FBF217" w14:textId="77777777" w:rsidR="00541A14" w:rsidRDefault="00A450E1">
      <w:pPr>
        <w:pStyle w:val="Default"/>
        <w:numPr>
          <w:ilvl w:val="0"/>
          <w:numId w:val="119"/>
        </w:numPr>
        <w:rPr>
          <w:rFonts w:ascii="Palatino" w:hAnsi="Palatino" w:cs="Palatino"/>
          <w:sz w:val="20"/>
          <w:szCs w:val="20"/>
        </w:rPr>
      </w:pPr>
      <w:r>
        <w:rPr>
          <w:rFonts w:ascii="Palatino" w:hAnsi="Palatino" w:cs="Palatino"/>
          <w:sz w:val="20"/>
          <w:szCs w:val="20"/>
        </w:rPr>
        <w:t xml:space="preserve">The horizontal and vertical extremities of the structure shall be adequately marked. </w:t>
      </w:r>
    </w:p>
    <w:p w14:paraId="268348A1" w14:textId="77777777" w:rsidR="00541A14" w:rsidRDefault="00A450E1">
      <w:pPr>
        <w:pStyle w:val="Default"/>
        <w:numPr>
          <w:ilvl w:val="0"/>
          <w:numId w:val="119"/>
        </w:numPr>
        <w:rPr>
          <w:rFonts w:ascii="Palatino" w:hAnsi="Palatino" w:cs="Palatino"/>
          <w:sz w:val="20"/>
          <w:szCs w:val="20"/>
        </w:rPr>
      </w:pPr>
      <w:r>
        <w:rPr>
          <w:rFonts w:ascii="Palatino" w:hAnsi="Palatino" w:cs="Palatino"/>
          <w:sz w:val="20"/>
          <w:szCs w:val="20"/>
        </w:rPr>
        <w:t xml:space="preserve">Each structure shall, where practicable, display identification panels with black letters or </w:t>
      </w:r>
    </w:p>
    <w:p w14:paraId="15860E06" w14:textId="77777777" w:rsidR="00541A14" w:rsidRDefault="00A450E1">
      <w:pPr>
        <w:pStyle w:val="Default"/>
        <w:numPr>
          <w:ilvl w:val="0"/>
          <w:numId w:val="119"/>
        </w:numPr>
        <w:rPr>
          <w:rFonts w:ascii="Palatino" w:hAnsi="Palatino" w:cs="Palatino"/>
          <w:sz w:val="20"/>
          <w:szCs w:val="20"/>
        </w:rPr>
      </w:pPr>
      <w:r>
        <w:rPr>
          <w:rFonts w:ascii="Palatino" w:hAnsi="Palatino" w:cs="Palatino"/>
          <w:sz w:val="20"/>
          <w:szCs w:val="20"/>
        </w:rPr>
        <w:t xml:space="preserve">numbers 1 m high on a yellow background visible in all directions in daylight as well as at night. </w:t>
      </w:r>
    </w:p>
    <w:p w14:paraId="52D4C53C" w14:textId="77777777" w:rsidR="00541A14" w:rsidRDefault="00A450E1">
      <w:pPr>
        <w:pStyle w:val="Default"/>
        <w:numPr>
          <w:ilvl w:val="0"/>
          <w:numId w:val="119"/>
        </w:numPr>
        <w:rPr>
          <w:rFonts w:ascii="Palatino" w:hAnsi="Palatino" w:cs="Palatino"/>
          <w:sz w:val="20"/>
          <w:szCs w:val="20"/>
        </w:rPr>
      </w:pPr>
      <w:r>
        <w:rPr>
          <w:rFonts w:ascii="Palatino" w:hAnsi="Palatino" w:cs="Palatino"/>
          <w:sz w:val="20"/>
          <w:szCs w:val="20"/>
        </w:rPr>
        <w:t xml:space="preserve">Each structure may carry one or more sound signals (Morse letter « U » • • – every 30 seconds) </w:t>
      </w:r>
    </w:p>
    <w:p w14:paraId="479F6C75" w14:textId="77777777" w:rsidR="00541A14" w:rsidRDefault="00541A14">
      <w:pPr>
        <w:pStyle w:val="Default"/>
        <w:rPr>
          <w:rFonts w:ascii="Palatino" w:hAnsi="Palatino" w:cs="Palatino"/>
          <w:sz w:val="20"/>
          <w:szCs w:val="20"/>
        </w:rPr>
      </w:pPr>
    </w:p>
    <w:p w14:paraId="4A10A04A" w14:textId="77777777" w:rsidR="00541A14" w:rsidRDefault="00A450E1">
      <w:pPr>
        <w:pStyle w:val="CM165"/>
        <w:spacing w:after="85" w:line="296" w:lineRule="atLeast"/>
        <w:jc w:val="center"/>
        <w:rPr>
          <w:rFonts w:ascii="Palatino" w:hAnsi="Palatino" w:cs="Palatino"/>
          <w:color w:val="000000"/>
          <w:sz w:val="20"/>
          <w:szCs w:val="20"/>
        </w:rPr>
      </w:pPr>
      <w:r>
        <w:rPr>
          <w:rFonts w:ascii="Palatino" w:hAnsi="Palatino" w:cs="Palatino"/>
          <w:color w:val="000000"/>
          <w:sz w:val="20"/>
          <w:szCs w:val="20"/>
        </w:rPr>
        <w:t xml:space="preserve">audible upon approaching the structure from any direction with a range of at least 2 nautical miles. </w:t>
      </w:r>
    </w:p>
    <w:p w14:paraId="7AE22446" w14:textId="77777777" w:rsidR="00541A14" w:rsidRDefault="00A450E1">
      <w:pPr>
        <w:pStyle w:val="Default"/>
        <w:numPr>
          <w:ilvl w:val="0"/>
          <w:numId w:val="120"/>
        </w:numPr>
        <w:rPr>
          <w:rFonts w:ascii="Palatino" w:hAnsi="Palatino" w:cs="Palatino"/>
          <w:sz w:val="20"/>
          <w:szCs w:val="20"/>
        </w:rPr>
      </w:pPr>
      <w:r>
        <w:rPr>
          <w:rFonts w:ascii="Palatino" w:hAnsi="Palatino" w:cs="Palatino"/>
          <w:sz w:val="20"/>
          <w:szCs w:val="20"/>
        </w:rPr>
        <w:t xml:space="preserve">A radar beacon may be fitted (on a temporary uncharted structure this shall be coded « D » – • • ). </w:t>
      </w:r>
    </w:p>
    <w:p w14:paraId="50969920" w14:textId="77777777" w:rsidR="00541A14" w:rsidRDefault="00A450E1">
      <w:pPr>
        <w:pStyle w:val="Default"/>
        <w:numPr>
          <w:ilvl w:val="0"/>
          <w:numId w:val="120"/>
        </w:numPr>
        <w:rPr>
          <w:rFonts w:ascii="Palatino" w:hAnsi="Palatino" w:cs="Palatino"/>
          <w:sz w:val="20"/>
          <w:szCs w:val="20"/>
        </w:rPr>
      </w:pPr>
      <w:r>
        <w:rPr>
          <w:rFonts w:ascii="Palatino" w:hAnsi="Palatino" w:cs="Palatino"/>
          <w:sz w:val="20"/>
          <w:szCs w:val="20"/>
        </w:rPr>
        <w:t xml:space="preserve">Where necessary buoys or beacons shall be placed to mark the perimeter of a group of structures, or to mark channels through a group of structures, or to mark any fixed structure while being </w:t>
      </w:r>
    </w:p>
    <w:p w14:paraId="3C7D38AB" w14:textId="77777777" w:rsidR="00541A14" w:rsidRDefault="00541A14">
      <w:pPr>
        <w:pStyle w:val="Default"/>
        <w:rPr>
          <w:rFonts w:ascii="Palatino" w:hAnsi="Palatino" w:cs="Palatino"/>
          <w:sz w:val="20"/>
          <w:szCs w:val="20"/>
        </w:rPr>
      </w:pPr>
    </w:p>
    <w:p w14:paraId="2AF3BC02"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erected or dismantled. </w:t>
      </w:r>
    </w:p>
    <w:p w14:paraId="638061E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Additional marking and Maritime Safety Information may be required during construction / </w:t>
      </w:r>
    </w:p>
    <w:p w14:paraId="4F39D30F" w14:textId="77777777" w:rsidR="00541A14" w:rsidRDefault="00A450E1">
      <w:pPr>
        <w:pStyle w:val="CM192"/>
        <w:spacing w:after="1992" w:line="293" w:lineRule="atLeast"/>
        <w:ind w:left="300"/>
        <w:rPr>
          <w:rFonts w:ascii="Palatino" w:hAnsi="Palatino" w:cs="Palatino"/>
          <w:color w:val="000000"/>
          <w:sz w:val="20"/>
          <w:szCs w:val="20"/>
        </w:rPr>
      </w:pPr>
      <w:r>
        <w:rPr>
          <w:rFonts w:ascii="Palatino" w:hAnsi="Palatino" w:cs="Palatino"/>
          <w:color w:val="000000"/>
          <w:sz w:val="20"/>
          <w:szCs w:val="20"/>
        </w:rPr>
        <w:t xml:space="preserve">decommissioning. </w:t>
      </w:r>
    </w:p>
    <w:p w14:paraId="7862B9FE" w14:textId="77777777" w:rsidR="00541A14" w:rsidRDefault="00541A14">
      <w:pPr>
        <w:pStyle w:val="CM12"/>
        <w:jc w:val="both"/>
        <w:rPr>
          <w:rFonts w:ascii="Palatino" w:hAnsi="Palatino" w:cs="Palatino"/>
          <w:color w:val="000000"/>
          <w:sz w:val="20"/>
          <w:szCs w:val="20"/>
        </w:rPr>
      </w:pPr>
    </w:p>
    <w:p w14:paraId="7E86336A" w14:textId="77777777" w:rsidR="00541A14" w:rsidRDefault="00DD420F">
      <w:pPr>
        <w:pStyle w:val="Default"/>
        <w:framePr w:w="122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72DB5C45" wp14:editId="646FB7CE">
            <wp:extent cx="266700" cy="142240"/>
            <wp:effectExtent l="0" t="0" r="12700" b="1016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66700" cy="142240"/>
                    </a:xfrm>
                    <a:prstGeom prst="rect">
                      <a:avLst/>
                    </a:prstGeom>
                    <a:noFill/>
                    <a:ln>
                      <a:noFill/>
                    </a:ln>
                  </pic:spPr>
                </pic:pic>
              </a:graphicData>
            </a:graphic>
          </wp:inline>
        </w:drawing>
      </w:r>
    </w:p>
    <w:p w14:paraId="7D6F6A4E" w14:textId="77777777" w:rsidR="00541A14" w:rsidRDefault="00541A14">
      <w:pPr>
        <w:pStyle w:val="CM100"/>
        <w:ind w:left="8357"/>
        <w:rPr>
          <w:rFonts w:ascii="Palatino" w:hAnsi="Palatino" w:cs="Palatino"/>
          <w:color w:val="000000"/>
          <w:sz w:val="20"/>
          <w:szCs w:val="20"/>
        </w:rPr>
      </w:pPr>
    </w:p>
    <w:p w14:paraId="364E3BD5"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2CEB33AD" wp14:editId="562A4585">
            <wp:extent cx="227330" cy="113665"/>
            <wp:effectExtent l="0" t="0" r="127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725A19D7"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2EB9D8B5" wp14:editId="2ABB65FB">
            <wp:extent cx="823595" cy="11366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059E478B" w14:textId="77777777" w:rsidR="00541A14" w:rsidRDefault="00DD420F">
      <w:pPr>
        <w:pStyle w:val="Default"/>
        <w:pageBreakBefore/>
        <w:framePr w:w="12876" w:wrap="auto" w:vAnchor="page" w:hAnchor="page" w:x="101" w:y="1"/>
        <w:spacing w:after="860"/>
        <w:rPr>
          <w:rFonts w:ascii="Palatino" w:hAnsi="Palatino" w:cs="Palatino"/>
          <w:sz w:val="20"/>
          <w:szCs w:val="20"/>
        </w:rPr>
      </w:pPr>
      <w:r>
        <w:rPr>
          <w:rFonts w:ascii="Palatino" w:hAnsi="Palatino" w:cs="Palatino"/>
          <w:noProof/>
          <w:sz w:val="20"/>
          <w:szCs w:val="20"/>
        </w:rPr>
        <w:drawing>
          <wp:inline distT="0" distB="0" distL="0" distR="0" wp14:anchorId="724419EF" wp14:editId="39A3D82A">
            <wp:extent cx="7553960" cy="1056640"/>
            <wp:effectExtent l="0" t="0" r="0" b="1016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242B4B7B"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6.4.2 Offshore Aquaculture Farms </w:t>
      </w:r>
    </w:p>
    <w:p w14:paraId="2BFB7910" w14:textId="77777777" w:rsidR="00541A14" w:rsidRDefault="00A450E1">
      <w:pPr>
        <w:pStyle w:val="CM172"/>
        <w:spacing w:after="202"/>
        <w:jc w:val="both"/>
        <w:rPr>
          <w:rFonts w:ascii="Palatino" w:hAnsi="Palatino" w:cs="Palatino"/>
          <w:color w:val="000000"/>
          <w:sz w:val="20"/>
          <w:szCs w:val="20"/>
        </w:rPr>
      </w:pPr>
      <w:r>
        <w:rPr>
          <w:rFonts w:ascii="Palatino" w:hAnsi="Palatino" w:cs="Palatino"/>
          <w:color w:val="000000"/>
          <w:sz w:val="20"/>
          <w:szCs w:val="20"/>
        </w:rPr>
        <w:t xml:space="preserve">Aquaculture farms should be marked in accordance with the IALA Maritime Buoyage System: </w:t>
      </w:r>
    </w:p>
    <w:p w14:paraId="69602A4F"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sz w:val="20"/>
          <w:szCs w:val="20"/>
        </w:rPr>
        <w:t xml:space="preserve">• Farms are normally marked by special marks, lateral or cardinal marks and the use of Racons </w:t>
      </w:r>
    </w:p>
    <w:p w14:paraId="29440E30" w14:textId="77777777" w:rsidR="00541A14" w:rsidRDefault="00A450E1">
      <w:pPr>
        <w:pStyle w:val="CM165"/>
        <w:spacing w:after="85"/>
        <w:ind w:left="310"/>
        <w:jc w:val="both"/>
        <w:rPr>
          <w:rFonts w:ascii="Palatino" w:hAnsi="Palatino" w:cs="Palatino"/>
          <w:color w:val="000000"/>
          <w:sz w:val="20"/>
          <w:szCs w:val="20"/>
        </w:rPr>
      </w:pPr>
      <w:r>
        <w:rPr>
          <w:rFonts w:ascii="Palatino" w:hAnsi="Palatino" w:cs="Palatino"/>
          <w:color w:val="000000"/>
          <w:sz w:val="20"/>
          <w:szCs w:val="20"/>
        </w:rPr>
        <w:t xml:space="preserve">or AIS may also be considered. </w:t>
      </w:r>
    </w:p>
    <w:p w14:paraId="32E11A16" w14:textId="77777777" w:rsidR="00541A14" w:rsidRDefault="00A450E1">
      <w:pPr>
        <w:pStyle w:val="Default"/>
        <w:numPr>
          <w:ilvl w:val="0"/>
          <w:numId w:val="121"/>
        </w:numPr>
        <w:rPr>
          <w:rFonts w:ascii="Palatino" w:hAnsi="Palatino" w:cs="Palatino"/>
          <w:sz w:val="20"/>
          <w:szCs w:val="20"/>
        </w:rPr>
      </w:pPr>
      <w:r>
        <w:rPr>
          <w:rFonts w:ascii="Palatino" w:hAnsi="Palatino" w:cs="Palatino"/>
          <w:sz w:val="20"/>
          <w:szCs w:val="20"/>
        </w:rPr>
        <w:t xml:space="preserve">Channels between aquaculture farms should normally be marked with lateral marks. </w:t>
      </w:r>
    </w:p>
    <w:p w14:paraId="00B27EE2" w14:textId="77777777" w:rsidR="00541A14" w:rsidRDefault="00A450E1">
      <w:pPr>
        <w:pStyle w:val="Default"/>
        <w:numPr>
          <w:ilvl w:val="0"/>
          <w:numId w:val="121"/>
        </w:numPr>
        <w:rPr>
          <w:rFonts w:ascii="Palatino" w:hAnsi="Palatino" w:cs="Palatino"/>
          <w:sz w:val="20"/>
          <w:szCs w:val="20"/>
        </w:rPr>
      </w:pPr>
      <w:r>
        <w:rPr>
          <w:rFonts w:ascii="Palatino" w:hAnsi="Palatino" w:cs="Palatino"/>
          <w:sz w:val="20"/>
          <w:szCs w:val="20"/>
        </w:rPr>
        <w:t xml:space="preserve">Radar reflectors and reflective material should be considered. </w:t>
      </w:r>
    </w:p>
    <w:p w14:paraId="5ABA631D" w14:textId="77777777" w:rsidR="00541A14" w:rsidRDefault="00541A14">
      <w:pPr>
        <w:pStyle w:val="Default"/>
        <w:rPr>
          <w:rFonts w:ascii="Palatino" w:hAnsi="Palatino" w:cs="Palatino"/>
          <w:sz w:val="20"/>
          <w:szCs w:val="20"/>
        </w:rPr>
      </w:pPr>
    </w:p>
    <w:p w14:paraId="3B794686"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sz w:val="20"/>
          <w:szCs w:val="20"/>
        </w:rPr>
        <w:t xml:space="preserve">Depending on the size and shape of the farm the minimum marking arrangement may range from </w:t>
      </w:r>
    </w:p>
    <w:p w14:paraId="369352B4" w14:textId="77777777" w:rsidR="00541A14" w:rsidRDefault="00A450E1">
      <w:pPr>
        <w:pStyle w:val="CM12"/>
        <w:jc w:val="both"/>
        <w:rPr>
          <w:rFonts w:ascii="Palatino" w:hAnsi="Palatino" w:cs="Palatino"/>
          <w:color w:val="000000"/>
          <w:sz w:val="20"/>
          <w:szCs w:val="20"/>
        </w:rPr>
      </w:pPr>
      <w:r>
        <w:rPr>
          <w:rFonts w:ascii="Palatino" w:hAnsi="Palatino" w:cs="Palatino"/>
          <w:color w:val="000000"/>
          <w:sz w:val="20"/>
          <w:szCs w:val="20"/>
        </w:rPr>
        <w:t xml:space="preserve">a light in the middle of the aquaculture farm for small farms (sides or diameter ≤ 500) to lights and </w:t>
      </w:r>
    </w:p>
    <w:p w14:paraId="4CD89CEE" w14:textId="77777777" w:rsidR="00541A14" w:rsidRDefault="00A450E1">
      <w:pPr>
        <w:pStyle w:val="CM162"/>
        <w:spacing w:after="552" w:line="296" w:lineRule="atLeast"/>
        <w:jc w:val="both"/>
        <w:rPr>
          <w:rFonts w:ascii="Palatino" w:hAnsi="Palatino" w:cs="Palatino"/>
          <w:color w:val="000000"/>
          <w:sz w:val="20"/>
          <w:szCs w:val="20"/>
        </w:rPr>
      </w:pPr>
      <w:r>
        <w:rPr>
          <w:rFonts w:ascii="Palatino" w:hAnsi="Palatino" w:cs="Palatino"/>
          <w:color w:val="000000"/>
          <w:sz w:val="20"/>
          <w:szCs w:val="20"/>
        </w:rPr>
        <w:t xml:space="preserve">daymarks on corners or sectors on farms where sides are greater than 900 / 2,500 metres or radius greater than 2,000 metres, as shown in Figure 23. </w:t>
      </w:r>
    </w:p>
    <w:p w14:paraId="2D0932A0" w14:textId="77777777" w:rsidR="00541A14" w:rsidRDefault="00DD420F">
      <w:pPr>
        <w:pStyle w:val="Default"/>
        <w:framePr w:w="10241" w:wrap="auto" w:vAnchor="page" w:hAnchor="page" w:x="1387" w:y="6263"/>
        <w:spacing w:after="240"/>
        <w:rPr>
          <w:rFonts w:ascii="Palatino" w:hAnsi="Palatino" w:cs="Palatino"/>
          <w:sz w:val="20"/>
          <w:szCs w:val="20"/>
        </w:rPr>
      </w:pPr>
      <w:r>
        <w:rPr>
          <w:rFonts w:ascii="Palatino" w:hAnsi="Palatino" w:cs="Palatino"/>
          <w:noProof/>
          <w:sz w:val="20"/>
          <w:szCs w:val="20"/>
        </w:rPr>
        <w:drawing>
          <wp:inline distT="0" distB="0" distL="0" distR="0" wp14:anchorId="5DA8A44A" wp14:editId="29B38D57">
            <wp:extent cx="5991860" cy="2567305"/>
            <wp:effectExtent l="0" t="0" r="254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991860" cy="2567305"/>
                    </a:xfrm>
                    <a:prstGeom prst="rect">
                      <a:avLst/>
                    </a:prstGeom>
                    <a:noFill/>
                    <a:ln>
                      <a:noFill/>
                    </a:ln>
                  </pic:spPr>
                </pic:pic>
              </a:graphicData>
            </a:graphic>
          </wp:inline>
        </w:drawing>
      </w:r>
    </w:p>
    <w:p w14:paraId="54E7E7A2" w14:textId="77777777" w:rsidR="00541A14" w:rsidRDefault="00A450E1">
      <w:pPr>
        <w:pStyle w:val="CM165"/>
        <w:spacing w:after="85" w:line="216" w:lineRule="atLeast"/>
        <w:ind w:left="55"/>
        <w:rPr>
          <w:rFonts w:ascii="Helvetica 55 Roman" w:hAnsi="Helvetica 55 Roman" w:cs="Helvetica 55 Roman"/>
          <w:color w:val="000000"/>
          <w:sz w:val="18"/>
          <w:szCs w:val="18"/>
        </w:rPr>
      </w:pPr>
      <w:r>
        <w:rPr>
          <w:rFonts w:ascii="Helvetica 55 Roman" w:hAnsi="Helvetica 55 Roman" w:cs="Helvetica 55 Roman"/>
          <w:color w:val="000000"/>
          <w:sz w:val="18"/>
          <w:szCs w:val="18"/>
        </w:rPr>
        <w:t xml:space="preserve">Small - Sides/ Diameter &lt; 500 metres Larger - Sides between 900 and 2,500 metres or radius &gt; 2,000 metres </w:t>
      </w:r>
    </w:p>
    <w:p w14:paraId="5FAE24F1" w14:textId="77777777" w:rsidR="00541A14" w:rsidRDefault="00A450E1">
      <w:pPr>
        <w:pStyle w:val="CM191"/>
        <w:spacing w:after="825" w:line="296" w:lineRule="atLeast"/>
        <w:jc w:val="center"/>
        <w:rPr>
          <w:rFonts w:ascii="Palatino" w:hAnsi="Palatino" w:cs="Palatino"/>
          <w:color w:val="000000"/>
          <w:sz w:val="20"/>
          <w:szCs w:val="20"/>
        </w:rPr>
      </w:pPr>
      <w:r>
        <w:rPr>
          <w:rFonts w:ascii="Palatino" w:hAnsi="Palatino" w:cs="Palatino"/>
          <w:i/>
          <w:iCs/>
          <w:color w:val="000000"/>
          <w:sz w:val="20"/>
          <w:szCs w:val="20"/>
        </w:rPr>
        <w:t xml:space="preserve">Figure 23 – Sample marking system for offshore aquaculture farms </w:t>
      </w:r>
    </w:p>
    <w:p w14:paraId="36CC0B64"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6.4.3 Offshore Wind Farms </w:t>
      </w:r>
    </w:p>
    <w:p w14:paraId="4CDDCD0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This group includes Meteorological Masts, Wind Generators and Wind Farms. These AtoN have an availability of not less than 99.0% (IALA Category 2). </w:t>
      </w:r>
    </w:p>
    <w:p w14:paraId="740E526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Early consultation between all relevant parties is important. In general, these developments should </w:t>
      </w:r>
    </w:p>
    <w:p w14:paraId="647B948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not prejudice the safe use of Traffic Separation Schemes, Inshore Traffic Zones, recognised sea lanes </w:t>
      </w:r>
    </w:p>
    <w:p w14:paraId="73FED75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and safe access to anchorages, harbours and places of refuge. On a case-by-case basis consideration may be given to establishing exclusion or safety zones. </w:t>
      </w:r>
    </w:p>
    <w:p w14:paraId="1297F096" w14:textId="77777777" w:rsidR="00541A14" w:rsidRDefault="00A450E1">
      <w:pPr>
        <w:pStyle w:val="CM164"/>
        <w:spacing w:after="1215" w:line="296" w:lineRule="atLeast"/>
        <w:ind w:right="402"/>
        <w:rPr>
          <w:rFonts w:ascii="Palatino" w:hAnsi="Palatino" w:cs="Palatino"/>
          <w:color w:val="000000"/>
          <w:sz w:val="20"/>
          <w:szCs w:val="20"/>
        </w:rPr>
      </w:pPr>
      <w:r>
        <w:rPr>
          <w:rFonts w:ascii="Palatino" w:hAnsi="Palatino" w:cs="Palatino"/>
          <w:color w:val="000000"/>
          <w:sz w:val="20"/>
          <w:szCs w:val="20"/>
        </w:rPr>
        <w:t xml:space="preserve">There is evidence to show that wind farms can interfere with shipborne and shore based radar systems. </w:t>
      </w:r>
    </w:p>
    <w:p w14:paraId="69F56529" w14:textId="77777777" w:rsidR="00541A14" w:rsidRDefault="00A450E1">
      <w:pPr>
        <w:pStyle w:val="CM12"/>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0636B85B"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125 </w:t>
      </w:r>
    </w:p>
    <w:p w14:paraId="7C4B2218" w14:textId="77777777" w:rsidR="00541A14" w:rsidRDefault="00DD420F">
      <w:pPr>
        <w:pStyle w:val="Default"/>
        <w:pageBreakBefore/>
        <w:framePr w:w="24782" w:wrap="auto" w:vAnchor="page" w:hAnchor="page" w:x="101" w:y="1"/>
        <w:spacing w:after="90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68421001" wp14:editId="496CE88E">
            <wp:extent cx="7553960" cy="1056640"/>
            <wp:effectExtent l="0" t="0" r="0" b="1016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6967E4E8"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A Significant Peripheral Structure (SPS) is the ‘corner’ or other significant point on the periphery of </w:t>
      </w:r>
    </w:p>
    <w:p w14:paraId="51C59197"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the wind farm. The distance between SPSs should not normally exceed three (3) nautical miles. </w:t>
      </w:r>
    </w:p>
    <w:p w14:paraId="236F2A9E"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There are different requirements for isolated structures which, because of the increased danger they </w:t>
      </w:r>
    </w:p>
    <w:p w14:paraId="7AC2C44A"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pose, should be lighted with a white light flashing Morse code « U » (• • –). </w:t>
      </w:r>
    </w:p>
    <w:p w14:paraId="1CF1435F"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The overall marking requirements are: </w:t>
      </w:r>
    </w:p>
    <w:p w14:paraId="6EB249FB" w14:textId="77777777" w:rsidR="00541A14" w:rsidRDefault="00A450E1">
      <w:pPr>
        <w:pStyle w:val="CM165"/>
        <w:spacing w:after="85"/>
        <w:ind w:left="300" w:hanging="300"/>
        <w:rPr>
          <w:rFonts w:ascii="Palatino" w:hAnsi="Palatino" w:cs="Palatino"/>
          <w:color w:val="000000"/>
          <w:sz w:val="20"/>
          <w:szCs w:val="20"/>
        </w:rPr>
      </w:pPr>
      <w:r>
        <w:rPr>
          <w:rFonts w:ascii="Palatino" w:hAnsi="Palatino" w:cs="Palatino"/>
          <w:color w:val="000000"/>
          <w:sz w:val="20"/>
          <w:szCs w:val="20"/>
        </w:rPr>
        <w:t xml:space="preserve">• Turbine tower painted yellow (or yellow bands) all round from the level of Highest Astronomical </w:t>
      </w:r>
    </w:p>
    <w:p w14:paraId="48CD2469"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 xml:space="preserve">Tide (HAT) to 15 metres or the height of the Aid to Navigation. </w:t>
      </w:r>
    </w:p>
    <w:p w14:paraId="00FA9E4D" w14:textId="77777777" w:rsidR="00541A14" w:rsidRDefault="00A450E1">
      <w:pPr>
        <w:pStyle w:val="CM165"/>
        <w:spacing w:after="85"/>
        <w:ind w:left="300" w:hanging="300"/>
        <w:rPr>
          <w:rFonts w:ascii="Palatino" w:hAnsi="Palatino" w:cs="Palatino"/>
          <w:color w:val="000000"/>
          <w:sz w:val="20"/>
          <w:szCs w:val="20"/>
        </w:rPr>
      </w:pPr>
      <w:r>
        <w:rPr>
          <w:rFonts w:ascii="Palatino" w:hAnsi="Palatino" w:cs="Palatino"/>
          <w:color w:val="000000"/>
          <w:sz w:val="20"/>
          <w:szCs w:val="20"/>
        </w:rPr>
        <w:t xml:space="preserve">• AtoN should be mounted below the lowest point of the arc of the rotor blades and at least 6 metres </w:t>
      </w:r>
    </w:p>
    <w:p w14:paraId="29978E65" w14:textId="77777777" w:rsidR="00541A14" w:rsidRDefault="00A450E1">
      <w:pPr>
        <w:pStyle w:val="CM165"/>
        <w:spacing w:after="85"/>
        <w:ind w:firstLine="300"/>
        <w:rPr>
          <w:rFonts w:ascii="Palatino" w:hAnsi="Palatino" w:cs="Palatino"/>
          <w:color w:val="000000"/>
          <w:sz w:val="20"/>
          <w:szCs w:val="20"/>
        </w:rPr>
      </w:pPr>
      <w:r>
        <w:rPr>
          <w:rFonts w:ascii="Palatino" w:hAnsi="Palatino" w:cs="Palatino"/>
          <w:color w:val="000000"/>
          <w:sz w:val="20"/>
          <w:szCs w:val="20"/>
        </w:rPr>
        <w:t xml:space="preserve">above HAT. </w:t>
      </w:r>
    </w:p>
    <w:p w14:paraId="363E88CB"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Each SPS should be fitted with lights visible from all directions in the horizontal plane. These lights should be synchronized to display flashing yellow, with a range of not less than five (5) nautical </w:t>
      </w:r>
    </w:p>
    <w:p w14:paraId="18129965" w14:textId="77777777" w:rsidR="00541A14" w:rsidRDefault="00A450E1">
      <w:pPr>
        <w:pStyle w:val="CM165"/>
        <w:spacing w:after="85" w:line="303" w:lineRule="atLeast"/>
        <w:ind w:firstLine="300"/>
        <w:rPr>
          <w:rFonts w:ascii="Palatino" w:hAnsi="Palatino" w:cs="Palatino"/>
          <w:color w:val="000000"/>
          <w:sz w:val="20"/>
          <w:szCs w:val="20"/>
        </w:rPr>
      </w:pPr>
      <w:r>
        <w:rPr>
          <w:rFonts w:ascii="Palatino" w:hAnsi="Palatino" w:cs="Palatino"/>
          <w:color w:val="000000"/>
          <w:sz w:val="20"/>
          <w:szCs w:val="20"/>
        </w:rPr>
        <w:t xml:space="preserve">miles. </w:t>
      </w:r>
    </w:p>
    <w:p w14:paraId="1C9377FB" w14:textId="77777777" w:rsidR="00541A14" w:rsidRDefault="00A450E1">
      <w:pPr>
        <w:pStyle w:val="CM122"/>
        <w:ind w:left="300" w:right="305" w:hanging="300"/>
        <w:rPr>
          <w:rFonts w:ascii="Palatino" w:hAnsi="Palatino" w:cs="Palatino"/>
          <w:color w:val="000000"/>
          <w:sz w:val="20"/>
          <w:szCs w:val="20"/>
        </w:rPr>
      </w:pPr>
      <w:r>
        <w:rPr>
          <w:rFonts w:ascii="Palatino" w:hAnsi="Palatino" w:cs="Palatino"/>
          <w:color w:val="000000"/>
          <w:sz w:val="20"/>
          <w:szCs w:val="20"/>
        </w:rPr>
        <w:t xml:space="preserve">• Selected intermediate (I) structures on the periphery of a wind farm other than the SPSs, should be marked with flashing yellow lights which are visible to the mariner from all directions in the horizontal plane. The flash character of these lights should be distinctly different from those </w:t>
      </w:r>
    </w:p>
    <w:p w14:paraId="606EAC2D" w14:textId="77777777" w:rsidR="00541A14" w:rsidRDefault="00A450E1">
      <w:pPr>
        <w:pStyle w:val="CM165"/>
        <w:spacing w:after="85" w:line="300" w:lineRule="atLeast"/>
        <w:ind w:left="300" w:right="440"/>
        <w:rPr>
          <w:rFonts w:ascii="Palatino" w:hAnsi="Palatino" w:cs="Palatino"/>
          <w:color w:val="000000"/>
          <w:sz w:val="20"/>
          <w:szCs w:val="20"/>
        </w:rPr>
      </w:pPr>
      <w:r>
        <w:rPr>
          <w:rFonts w:ascii="Palatino" w:hAnsi="Palatino" w:cs="Palatino"/>
          <w:color w:val="000000"/>
          <w:sz w:val="20"/>
          <w:szCs w:val="20"/>
        </w:rPr>
        <w:t xml:space="preserve">displayed on the SPSs, with a range of not less than two (2) nautical miles. The lateral distance between such lit structures or the nearest SPS should not exceed two (2) nautical miles. </w:t>
      </w:r>
    </w:p>
    <w:p w14:paraId="10D02BF1" w14:textId="77777777" w:rsidR="00541A14" w:rsidRDefault="00A450E1">
      <w:pPr>
        <w:pStyle w:val="CM117"/>
        <w:ind w:left="300" w:right="137" w:hanging="300"/>
        <w:rPr>
          <w:rFonts w:ascii="Palatino" w:hAnsi="Palatino" w:cs="Palatino"/>
          <w:color w:val="000000"/>
          <w:sz w:val="20"/>
          <w:szCs w:val="20"/>
        </w:rPr>
      </w:pPr>
      <w:r>
        <w:rPr>
          <w:rFonts w:ascii="Palatino" w:hAnsi="Palatino" w:cs="Palatino"/>
          <w:color w:val="000000"/>
          <w:sz w:val="20"/>
          <w:szCs w:val="20"/>
        </w:rPr>
        <w:t xml:space="preserve">• In addition to the above further consideration should be given to lighting all peripheral structures or lighting all structures within the wind farm and to the use of Racons, Radar Reflectors, Radar </w:t>
      </w:r>
    </w:p>
    <w:p w14:paraId="1D327E1E" w14:textId="77777777" w:rsidR="00541A14" w:rsidRDefault="00A450E1">
      <w:pPr>
        <w:pStyle w:val="CM165"/>
        <w:spacing w:after="85" w:line="303" w:lineRule="atLeast"/>
        <w:ind w:firstLine="300"/>
        <w:rPr>
          <w:rFonts w:ascii="Palatino" w:hAnsi="Palatino" w:cs="Palatino"/>
          <w:color w:val="000000"/>
          <w:sz w:val="20"/>
          <w:szCs w:val="20"/>
        </w:rPr>
      </w:pPr>
      <w:r>
        <w:rPr>
          <w:rFonts w:ascii="Palatino" w:hAnsi="Palatino" w:cs="Palatino"/>
          <w:color w:val="000000"/>
          <w:sz w:val="20"/>
          <w:szCs w:val="20"/>
        </w:rPr>
        <w:t xml:space="preserve">Target Enhancers and/or AIS as an Aid to Navigation. </w:t>
      </w:r>
    </w:p>
    <w:p w14:paraId="351CF5E7"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Consideration may be given to the provision of sound signals, taking into account the prevailing visibility, topography and vessel traffic conditions. The typical range of such a sound signal should </w:t>
      </w:r>
    </w:p>
    <w:p w14:paraId="331270D1" w14:textId="77777777" w:rsidR="00541A14" w:rsidRDefault="00A450E1">
      <w:pPr>
        <w:pStyle w:val="CM165"/>
        <w:spacing w:after="85" w:line="303" w:lineRule="atLeast"/>
        <w:ind w:firstLine="300"/>
        <w:rPr>
          <w:rFonts w:ascii="Palatino" w:hAnsi="Palatino" w:cs="Palatino"/>
          <w:color w:val="000000"/>
          <w:sz w:val="20"/>
          <w:szCs w:val="20"/>
        </w:rPr>
      </w:pPr>
      <w:r>
        <w:rPr>
          <w:rFonts w:ascii="Palatino" w:hAnsi="Palatino" w:cs="Palatino"/>
          <w:color w:val="000000"/>
          <w:sz w:val="20"/>
          <w:szCs w:val="20"/>
        </w:rPr>
        <w:t xml:space="preserve">not be less than two (2) nautical miles. </w:t>
      </w:r>
    </w:p>
    <w:p w14:paraId="657EC9DB" w14:textId="77777777" w:rsidR="00541A14" w:rsidRDefault="00A450E1">
      <w:pPr>
        <w:pStyle w:val="Default"/>
        <w:numPr>
          <w:ilvl w:val="0"/>
          <w:numId w:val="122"/>
        </w:numPr>
        <w:rPr>
          <w:rFonts w:ascii="Palatino" w:hAnsi="Palatino" w:cs="Palatino"/>
          <w:sz w:val="20"/>
          <w:szCs w:val="20"/>
        </w:rPr>
      </w:pPr>
      <w:r>
        <w:rPr>
          <w:rFonts w:ascii="Palatino" w:hAnsi="Palatino" w:cs="Palatino"/>
          <w:sz w:val="20"/>
          <w:szCs w:val="20"/>
        </w:rPr>
        <w:t xml:space="preserve">Additional marking of individual structures may also be considered. This may include lighting of each structure, unlighted structures with retro-reflective areas, structures illuminated with down-lights on, flashing yellow lights or identifying numbers (either lit or unlit). </w:t>
      </w:r>
    </w:p>
    <w:p w14:paraId="4C12BEC9" w14:textId="77777777" w:rsidR="00541A14" w:rsidRDefault="00A450E1">
      <w:pPr>
        <w:pStyle w:val="Default"/>
        <w:numPr>
          <w:ilvl w:val="0"/>
          <w:numId w:val="122"/>
        </w:numPr>
        <w:rPr>
          <w:rFonts w:ascii="Palatino" w:hAnsi="Palatino" w:cs="Palatino"/>
          <w:sz w:val="20"/>
          <w:szCs w:val="20"/>
        </w:rPr>
      </w:pPr>
      <w:r>
        <w:rPr>
          <w:rFonts w:ascii="Palatino" w:hAnsi="Palatino" w:cs="Palatino"/>
          <w:sz w:val="20"/>
          <w:szCs w:val="20"/>
        </w:rPr>
        <w:t xml:space="preserve">Consideration should be given to use of synchronised lights to mitigate the effect of the </w:t>
      </w:r>
    </w:p>
    <w:p w14:paraId="062DF1E6" w14:textId="77777777" w:rsidR="00541A14" w:rsidRDefault="00541A14">
      <w:pPr>
        <w:pStyle w:val="Default"/>
        <w:rPr>
          <w:rFonts w:ascii="Palatino" w:hAnsi="Palatino" w:cs="Palatino"/>
          <w:sz w:val="20"/>
          <w:szCs w:val="20"/>
        </w:rPr>
      </w:pPr>
    </w:p>
    <w:p w14:paraId="2BA5C5F8" w14:textId="77777777" w:rsidR="00541A14" w:rsidRDefault="00A450E1">
      <w:pPr>
        <w:pStyle w:val="CM48"/>
        <w:ind w:firstLine="300"/>
        <w:rPr>
          <w:rFonts w:ascii="Palatino" w:hAnsi="Palatino" w:cs="Palatino"/>
          <w:color w:val="000000"/>
          <w:sz w:val="20"/>
          <w:szCs w:val="20"/>
        </w:rPr>
      </w:pPr>
      <w:r>
        <w:rPr>
          <w:rFonts w:ascii="Palatino" w:hAnsi="Palatino" w:cs="Palatino"/>
          <w:color w:val="000000"/>
          <w:sz w:val="20"/>
          <w:szCs w:val="20"/>
        </w:rPr>
        <w:t xml:space="preserve">proliferation of lights in high density developments. An electrical transformer station or a meteorological or wind measuring mast, if considered to be a composite part of the wind farm, should be included as part of the overall wind farm marking. If not considered to be within the wind farm block it should be marked as an offshore structure (i.e. a white </w:t>
      </w:r>
    </w:p>
    <w:p w14:paraId="11A88487" w14:textId="77777777" w:rsidR="00541A14" w:rsidRDefault="00A450E1">
      <w:pPr>
        <w:pStyle w:val="CM165"/>
        <w:spacing w:after="85" w:line="320" w:lineRule="atLeast"/>
        <w:rPr>
          <w:rFonts w:ascii="Palatino" w:hAnsi="Palatino" w:cs="Palatino"/>
          <w:color w:val="000000"/>
          <w:sz w:val="20"/>
          <w:szCs w:val="20"/>
        </w:rPr>
      </w:pPr>
      <w:r>
        <w:rPr>
          <w:rFonts w:ascii="Palatino" w:hAnsi="Palatino" w:cs="Palatino"/>
          <w:color w:val="000000"/>
          <w:sz w:val="20"/>
          <w:szCs w:val="20"/>
        </w:rPr>
        <w:t xml:space="preserve">light flashing Morse code « U » (• • – )). </w:t>
      </w:r>
    </w:p>
    <w:p w14:paraId="08F0E2D2" w14:textId="77777777" w:rsidR="00541A14" w:rsidRDefault="00A450E1">
      <w:pPr>
        <w:pStyle w:val="CM59"/>
        <w:rPr>
          <w:rFonts w:ascii="Palatino" w:hAnsi="Palatino" w:cs="Palatino"/>
          <w:color w:val="000000"/>
          <w:sz w:val="20"/>
          <w:szCs w:val="20"/>
        </w:rPr>
      </w:pPr>
      <w:r>
        <w:rPr>
          <w:rFonts w:ascii="Palatino" w:hAnsi="Palatino" w:cs="Palatino"/>
          <w:color w:val="000000"/>
          <w:sz w:val="20"/>
          <w:szCs w:val="20"/>
        </w:rPr>
        <w:t xml:space="preserve">As far as practicable, aeronautical obstruction warning lights fitted to the tops of wind generators </w:t>
      </w:r>
    </w:p>
    <w:p w14:paraId="1C3A5979" w14:textId="77777777" w:rsidR="00541A14" w:rsidRDefault="00A450E1">
      <w:pPr>
        <w:pStyle w:val="CM59"/>
        <w:rPr>
          <w:rFonts w:ascii="Palatino" w:hAnsi="Palatino" w:cs="Palatino"/>
          <w:color w:val="000000"/>
          <w:sz w:val="20"/>
          <w:szCs w:val="20"/>
        </w:rPr>
      </w:pPr>
      <w:r>
        <w:rPr>
          <w:rFonts w:ascii="Palatino" w:hAnsi="Palatino" w:cs="Palatino"/>
          <w:color w:val="000000"/>
          <w:sz w:val="20"/>
          <w:szCs w:val="20"/>
        </w:rPr>
        <w:t xml:space="preserve">should not be visible below the horizontal plane of these lights. Aviation Authorities should be </w:t>
      </w:r>
    </w:p>
    <w:p w14:paraId="05873FDE" w14:textId="77777777" w:rsidR="00541A14" w:rsidRDefault="00A450E1">
      <w:pPr>
        <w:pStyle w:val="CM59"/>
        <w:rPr>
          <w:rFonts w:ascii="Palatino" w:hAnsi="Palatino" w:cs="Palatino"/>
          <w:color w:val="000000"/>
          <w:sz w:val="20"/>
          <w:szCs w:val="20"/>
        </w:rPr>
      </w:pPr>
      <w:r>
        <w:rPr>
          <w:rFonts w:ascii="Palatino" w:hAnsi="Palatino" w:cs="Palatino"/>
          <w:color w:val="000000"/>
          <w:sz w:val="20"/>
          <w:szCs w:val="20"/>
        </w:rPr>
        <w:t xml:space="preserve">consulted regarding the specification of such lights. Additional marking and Maritime Safety </w:t>
      </w:r>
    </w:p>
    <w:p w14:paraId="30A9D103" w14:textId="77777777" w:rsidR="00541A14" w:rsidRDefault="00A450E1">
      <w:pPr>
        <w:pStyle w:val="CM202"/>
        <w:spacing w:after="1827" w:line="293" w:lineRule="atLeast"/>
        <w:ind w:right="570"/>
        <w:rPr>
          <w:rFonts w:ascii="Palatino" w:hAnsi="Palatino" w:cs="Palatino"/>
          <w:color w:val="000000"/>
          <w:sz w:val="20"/>
          <w:szCs w:val="20"/>
        </w:rPr>
      </w:pPr>
      <w:r>
        <w:rPr>
          <w:rFonts w:ascii="Palatino" w:hAnsi="Palatino" w:cs="Palatino"/>
          <w:color w:val="000000"/>
          <w:sz w:val="20"/>
          <w:szCs w:val="20"/>
        </w:rPr>
        <w:t xml:space="preserve">Information may be required during construction / decommissioning. An example is provide in Figure 24. </w:t>
      </w:r>
    </w:p>
    <w:p w14:paraId="7DC41DC1" w14:textId="77777777" w:rsidR="00541A14" w:rsidRDefault="00541A14">
      <w:pPr>
        <w:pStyle w:val="CM12"/>
        <w:jc w:val="both"/>
        <w:rPr>
          <w:rFonts w:ascii="Palatino" w:hAnsi="Palatino" w:cs="Palatino"/>
          <w:color w:val="000000"/>
          <w:sz w:val="20"/>
          <w:szCs w:val="20"/>
        </w:rPr>
      </w:pPr>
    </w:p>
    <w:p w14:paraId="67B661C2" w14:textId="77777777" w:rsidR="00541A14" w:rsidRDefault="00DD420F">
      <w:pPr>
        <w:pStyle w:val="Default"/>
        <w:framePr w:w="122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72226287" wp14:editId="2C2AD82B">
            <wp:extent cx="266700" cy="142240"/>
            <wp:effectExtent l="0" t="0" r="12700" b="1016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66700" cy="142240"/>
                    </a:xfrm>
                    <a:prstGeom prst="rect">
                      <a:avLst/>
                    </a:prstGeom>
                    <a:noFill/>
                    <a:ln>
                      <a:noFill/>
                    </a:ln>
                  </pic:spPr>
                </pic:pic>
              </a:graphicData>
            </a:graphic>
          </wp:inline>
        </w:drawing>
      </w:r>
    </w:p>
    <w:p w14:paraId="5AD13800" w14:textId="77777777" w:rsidR="00541A14" w:rsidRDefault="00541A14">
      <w:pPr>
        <w:pStyle w:val="CM100"/>
        <w:ind w:left="8357"/>
        <w:rPr>
          <w:rFonts w:ascii="Palatino" w:hAnsi="Palatino" w:cs="Palatino"/>
          <w:color w:val="000000"/>
          <w:sz w:val="20"/>
          <w:szCs w:val="20"/>
        </w:rPr>
      </w:pPr>
    </w:p>
    <w:p w14:paraId="275E40C0"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02B3BEAB" wp14:editId="44A65FD1">
            <wp:extent cx="227330" cy="113665"/>
            <wp:effectExtent l="0" t="0" r="127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65E6DD0A"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3DB6A986" wp14:editId="239246EF">
            <wp:extent cx="823595" cy="11366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64BAB9EC" w14:textId="77777777" w:rsidR="00541A14" w:rsidRDefault="00A450E1">
      <w:pPr>
        <w:pStyle w:val="Default"/>
        <w:spacing w:after="587"/>
        <w:jc w:val="center"/>
        <w:rPr>
          <w:rFonts w:ascii="Palatino" w:hAnsi="Palatino" w:cs="Palatino"/>
          <w:sz w:val="20"/>
          <w:szCs w:val="20"/>
        </w:rPr>
      </w:pPr>
      <w:r>
        <w:rPr>
          <w:rFonts w:ascii="Palatino" w:hAnsi="Palatino" w:cs="Palatino"/>
          <w:i/>
          <w:iCs/>
          <w:sz w:val="20"/>
          <w:szCs w:val="20"/>
        </w:rPr>
        <w:t xml:space="preserve">Figure 24 - Sample marking of a Wind Farm </w:t>
      </w:r>
    </w:p>
    <w:p w14:paraId="6A7B8526" w14:textId="77777777" w:rsidR="00541A14" w:rsidRDefault="00DD420F">
      <w:pPr>
        <w:pStyle w:val="Default"/>
        <w:pageBreakBefore/>
        <w:framePr w:w="12876" w:wrap="auto" w:vAnchor="page" w:hAnchor="page" w:x="101" w:y="4739"/>
        <w:spacing w:after="120"/>
        <w:rPr>
          <w:rFonts w:ascii="Palatino" w:hAnsi="Palatino" w:cs="Palatino"/>
          <w:sz w:val="20"/>
          <w:szCs w:val="20"/>
        </w:rPr>
      </w:pPr>
      <w:r>
        <w:rPr>
          <w:rFonts w:ascii="Palatino" w:hAnsi="Palatino" w:cs="Palatino"/>
          <w:noProof/>
          <w:sz w:val="20"/>
          <w:szCs w:val="20"/>
        </w:rPr>
        <w:drawing>
          <wp:inline distT="0" distB="0" distL="0" distR="0" wp14:anchorId="3DB7FCB7" wp14:editId="5666D3AB">
            <wp:extent cx="4549140" cy="757047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549140" cy="7570470"/>
                    </a:xfrm>
                    <a:prstGeom prst="rect">
                      <a:avLst/>
                    </a:prstGeom>
                    <a:noFill/>
                    <a:ln>
                      <a:noFill/>
                    </a:ln>
                  </pic:spPr>
                </pic:pic>
              </a:graphicData>
            </a:graphic>
          </wp:inline>
        </w:drawing>
      </w:r>
    </w:p>
    <w:p w14:paraId="1FAFEAA8"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6.4.4 Offshore Wave and Tidal Energy Devices </w:t>
      </w:r>
    </w:p>
    <w:p w14:paraId="3AC9FF6E"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A diverse range of Wave and Tidal Energy Devices are being trialled and established. </w:t>
      </w:r>
    </w:p>
    <w:p w14:paraId="7258F4FA" w14:textId="77777777" w:rsidR="00541A14" w:rsidRDefault="00A450E1">
      <w:pPr>
        <w:pStyle w:val="Default"/>
        <w:rPr>
          <w:rFonts w:ascii="Palatino" w:hAnsi="Palatino" w:cs="Palatino"/>
          <w:sz w:val="20"/>
          <w:szCs w:val="20"/>
        </w:rPr>
      </w:pPr>
      <w:r>
        <w:rPr>
          <w:rFonts w:ascii="Palatino" w:hAnsi="Palatino" w:cs="Palatino"/>
          <w:sz w:val="20"/>
          <w:szCs w:val="20"/>
        </w:rPr>
        <w:t xml:space="preserve">Many of these devices are low freeboard floating structures that are moored to the seabed. They may </w:t>
      </w:r>
    </w:p>
    <w:p w14:paraId="59BB08B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be moored in deep or shallow water and some may be located on the seabed or just below the surface or with subsurface or surface piercing elements. There may also be subsurface moving blades to be considered. </w:t>
      </w:r>
    </w:p>
    <w:p w14:paraId="774B267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Early consultation between all relevant parties is important. In general, these developments should </w:t>
      </w:r>
    </w:p>
    <w:p w14:paraId="1910252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not prejudice the safe use of Traffic Separation Schemes, Inshore Traffic Zones, recognised sea lanes </w:t>
      </w:r>
    </w:p>
    <w:p w14:paraId="1B6D6B49"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and safe access to anchorages, harbours and places of refuge. On a case-by-case basis consideration may be given to establishing exclusion or safety zones. </w:t>
      </w:r>
    </w:p>
    <w:p w14:paraId="4FB99281"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Aids to Navigation for these devices should normally have an availability of not less than 99.0% (IALA Category 2). </w:t>
      </w:r>
    </w:p>
    <w:p w14:paraId="1D36478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Offshore Wave and Tidal Energy Devices should be marked as follows: </w:t>
      </w:r>
    </w:p>
    <w:p w14:paraId="46634975"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When structures are fixed to the seabed and extend above the surface, they should be marked in </w:t>
      </w:r>
    </w:p>
    <w:p w14:paraId="6A05DC8D"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accordance with the recommendations set out for the marking of Offshore Wind farms (see above). </w:t>
      </w:r>
    </w:p>
    <w:p w14:paraId="7DEAFF43"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Areas containing surface or sub-surface devices should be marked by lighted navigation buoys in </w:t>
      </w:r>
    </w:p>
    <w:p w14:paraId="3B4F98B6"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accordance with the IALA MBS. </w:t>
      </w:r>
    </w:p>
    <w:p w14:paraId="77A26331" w14:textId="77777777" w:rsidR="00541A14" w:rsidRDefault="00A450E1">
      <w:pPr>
        <w:pStyle w:val="Default"/>
        <w:numPr>
          <w:ilvl w:val="0"/>
          <w:numId w:val="123"/>
        </w:numPr>
        <w:rPr>
          <w:rFonts w:ascii="Palatino" w:hAnsi="Palatino" w:cs="Palatino"/>
          <w:sz w:val="20"/>
          <w:szCs w:val="20"/>
        </w:rPr>
      </w:pPr>
      <w:r>
        <w:rPr>
          <w:rFonts w:ascii="Palatino" w:hAnsi="Palatino" w:cs="Palatino"/>
          <w:sz w:val="20"/>
          <w:szCs w:val="20"/>
        </w:rPr>
        <w:t xml:space="preserve">In addition to buoys active or passive radar reflectors, retro reflecting material, Racons and/or AIS transponders should be fitted as the level of traffic and degree of risk requires. </w:t>
      </w:r>
    </w:p>
    <w:p w14:paraId="2BC45047" w14:textId="77777777" w:rsidR="00541A14" w:rsidRDefault="00A450E1">
      <w:pPr>
        <w:pStyle w:val="Default"/>
        <w:numPr>
          <w:ilvl w:val="0"/>
          <w:numId w:val="123"/>
        </w:numPr>
        <w:rPr>
          <w:rFonts w:ascii="Palatino" w:hAnsi="Palatino" w:cs="Palatino"/>
          <w:sz w:val="20"/>
          <w:szCs w:val="20"/>
        </w:rPr>
      </w:pPr>
      <w:r>
        <w:rPr>
          <w:rFonts w:ascii="Palatino" w:hAnsi="Palatino" w:cs="Palatino"/>
          <w:sz w:val="20"/>
          <w:szCs w:val="20"/>
        </w:rPr>
        <w:t xml:space="preserve">Site boundary markings should be visible to the Mariner from all relevant directions in the </w:t>
      </w:r>
    </w:p>
    <w:p w14:paraId="254888D7" w14:textId="77777777" w:rsidR="00541A14" w:rsidRDefault="00541A14">
      <w:pPr>
        <w:pStyle w:val="Default"/>
        <w:rPr>
          <w:rFonts w:ascii="Palatino" w:hAnsi="Palatino" w:cs="Palatino"/>
          <w:sz w:val="20"/>
          <w:szCs w:val="20"/>
        </w:rPr>
      </w:pPr>
    </w:p>
    <w:p w14:paraId="6AB659CC"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horizontal plane, by day and by night. </w:t>
      </w:r>
    </w:p>
    <w:p w14:paraId="709FE210" w14:textId="77777777" w:rsidR="00541A14" w:rsidRDefault="00A450E1">
      <w:pPr>
        <w:pStyle w:val="CM176"/>
        <w:spacing w:after="1320" w:line="296" w:lineRule="atLeast"/>
        <w:ind w:left="300" w:hanging="300"/>
        <w:rPr>
          <w:rFonts w:ascii="Palatino" w:hAnsi="Palatino" w:cs="Palatino"/>
          <w:color w:val="000000"/>
          <w:sz w:val="20"/>
          <w:szCs w:val="20"/>
        </w:rPr>
      </w:pPr>
      <w:r>
        <w:rPr>
          <w:rFonts w:ascii="Palatino" w:hAnsi="Palatino" w:cs="Palatino"/>
          <w:color w:val="000000"/>
          <w:sz w:val="20"/>
          <w:szCs w:val="20"/>
        </w:rPr>
        <w:t xml:space="preserve">• Lights should have a nominal range of at least 5 (five) nautical miles. </w:t>
      </w:r>
    </w:p>
    <w:p w14:paraId="40B082CA" w14:textId="77777777" w:rsidR="00541A14" w:rsidRDefault="00A450E1">
      <w:pPr>
        <w:pStyle w:val="CM12"/>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4E964657"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127 </w:t>
      </w:r>
    </w:p>
    <w:p w14:paraId="761551F7" w14:textId="77777777" w:rsidR="00541A14" w:rsidRDefault="00DD420F">
      <w:pPr>
        <w:pStyle w:val="Default"/>
        <w:pageBreakBefore/>
        <w:framePr w:w="24782" w:wrap="auto" w:vAnchor="page" w:hAnchor="page" w:x="101" w:y="1"/>
        <w:spacing w:after="84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41D32322" wp14:editId="5BF7AB4A">
            <wp:extent cx="7553960" cy="1056640"/>
            <wp:effectExtent l="0" t="0" r="0" b="1016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2AF6732F" w14:textId="77777777" w:rsidR="00541A14" w:rsidRDefault="00A450E1">
      <w:pPr>
        <w:pStyle w:val="CM53"/>
        <w:ind w:left="300" w:right="227" w:hanging="300"/>
        <w:jc w:val="both"/>
        <w:rPr>
          <w:rFonts w:ascii="Palatino" w:hAnsi="Palatino" w:cs="Palatino"/>
          <w:color w:val="000000"/>
          <w:sz w:val="20"/>
          <w:szCs w:val="20"/>
        </w:rPr>
      </w:pPr>
      <w:r>
        <w:rPr>
          <w:rFonts w:ascii="Palatino" w:hAnsi="Palatino" w:cs="Palatino"/>
          <w:color w:val="000000"/>
          <w:sz w:val="20"/>
          <w:szCs w:val="20"/>
        </w:rPr>
        <w:t xml:space="preserve">• The Northerly, Easterly, Southerly and Westerly boundaries should normally be marked with the appropriate IALA Cardinal mark. However, depending on the shape and size of the field, there </w:t>
      </w:r>
    </w:p>
    <w:p w14:paraId="4BAD8EB1" w14:textId="77777777" w:rsidR="00541A14" w:rsidRDefault="00A450E1">
      <w:pPr>
        <w:pStyle w:val="CM165"/>
        <w:spacing w:after="85" w:line="286" w:lineRule="atLeast"/>
        <w:ind w:firstLine="295"/>
        <w:jc w:val="both"/>
        <w:rPr>
          <w:rFonts w:ascii="Palatino" w:hAnsi="Palatino" w:cs="Palatino"/>
          <w:color w:val="000000"/>
          <w:sz w:val="20"/>
          <w:szCs w:val="20"/>
        </w:rPr>
      </w:pPr>
      <w:r>
        <w:rPr>
          <w:rFonts w:ascii="Palatino" w:hAnsi="Palatino" w:cs="Palatino"/>
          <w:color w:val="000000"/>
          <w:sz w:val="20"/>
          <w:szCs w:val="20"/>
        </w:rPr>
        <w:t xml:space="preserve">may be a need to deploy lateral or special marks. </w:t>
      </w:r>
    </w:p>
    <w:p w14:paraId="5C47F41E"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In the case of a large or extended energy extraction field, the distance between navigation buoys </w:t>
      </w:r>
    </w:p>
    <w:p w14:paraId="4F6CF83E"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that mark the boundary should not normally exceed 3 (three) nautical miles. </w:t>
      </w:r>
    </w:p>
    <w:p w14:paraId="227C3818"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Individual devices within a field which extend above the surface should be painted yellow above </w:t>
      </w:r>
    </w:p>
    <w:p w14:paraId="1280B4D5" w14:textId="77777777" w:rsidR="00541A14" w:rsidRDefault="00A450E1">
      <w:pPr>
        <w:pStyle w:val="CM165"/>
        <w:spacing w:after="85" w:line="286" w:lineRule="atLeast"/>
        <w:ind w:firstLine="295"/>
        <w:jc w:val="both"/>
        <w:rPr>
          <w:rFonts w:ascii="Palatino" w:hAnsi="Palatino" w:cs="Palatino"/>
          <w:color w:val="000000"/>
          <w:sz w:val="20"/>
          <w:szCs w:val="20"/>
        </w:rPr>
      </w:pPr>
      <w:r>
        <w:rPr>
          <w:rFonts w:ascii="Palatino" w:hAnsi="Palatino" w:cs="Palatino"/>
          <w:color w:val="000000"/>
          <w:sz w:val="20"/>
          <w:szCs w:val="20"/>
        </w:rPr>
        <w:t xml:space="preserve">the waterline. </w:t>
      </w:r>
    </w:p>
    <w:p w14:paraId="6EA6071F" w14:textId="77777777" w:rsidR="00541A14" w:rsidRDefault="00A450E1">
      <w:pPr>
        <w:pStyle w:val="CM44"/>
        <w:ind w:left="300" w:right="205" w:hanging="300"/>
        <w:rPr>
          <w:rFonts w:ascii="Palatino" w:hAnsi="Palatino" w:cs="Palatino"/>
          <w:color w:val="000000"/>
          <w:sz w:val="20"/>
          <w:szCs w:val="20"/>
        </w:rPr>
      </w:pPr>
      <w:r>
        <w:rPr>
          <w:rFonts w:ascii="Palatino" w:hAnsi="Palatino" w:cs="Palatino"/>
          <w:color w:val="000000"/>
          <w:sz w:val="20"/>
          <w:szCs w:val="20"/>
        </w:rPr>
        <w:t xml:space="preserve">• Depending on the boundary marking, individual devices within the field need not be marked. However, if marked, they should have flashing yellow lights with a minimum range of 2 nautical </w:t>
      </w:r>
    </w:p>
    <w:p w14:paraId="726C35DB" w14:textId="77777777" w:rsidR="00541A14" w:rsidRDefault="00A450E1">
      <w:pPr>
        <w:pStyle w:val="CM165"/>
        <w:spacing w:after="85" w:line="286" w:lineRule="atLeast"/>
        <w:ind w:firstLine="295"/>
        <w:jc w:val="both"/>
        <w:rPr>
          <w:rFonts w:ascii="Palatino" w:hAnsi="Palatino" w:cs="Palatino"/>
          <w:color w:val="000000"/>
          <w:sz w:val="20"/>
          <w:szCs w:val="20"/>
        </w:rPr>
      </w:pPr>
      <w:r>
        <w:rPr>
          <w:rFonts w:ascii="Palatino" w:hAnsi="Palatino" w:cs="Palatino"/>
          <w:color w:val="000000"/>
          <w:sz w:val="20"/>
          <w:szCs w:val="20"/>
        </w:rPr>
        <w:t xml:space="preserve">miles so as to be visible to the mariner from all relevant directions. </w:t>
      </w:r>
    </w:p>
    <w:p w14:paraId="3C5B0DAB"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Consideration should be given to the provision of AIS as an Aid to Navigation on selected </w:t>
      </w:r>
    </w:p>
    <w:p w14:paraId="0C281D62"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peripheral devices. </w:t>
      </w:r>
    </w:p>
    <w:p w14:paraId="79FBFE48"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A single structure, standing alone, that extends above should be marked as an Isolated Danger as </w:t>
      </w:r>
    </w:p>
    <w:p w14:paraId="53570D83"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described in the IALA MBS. </w:t>
      </w:r>
    </w:p>
    <w:p w14:paraId="4DAE3015"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In the case of a single device which is not visible above the surface, but is considered to be a hazard </w:t>
      </w:r>
    </w:p>
    <w:p w14:paraId="2E777923"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to surface navigation, it should be marked by a Lighted Special Mark buoy with a range of not less than 5 nautical miles. </w:t>
      </w:r>
    </w:p>
    <w:p w14:paraId="386EEF95" w14:textId="77777777" w:rsidR="00541A14" w:rsidRDefault="00A450E1">
      <w:pPr>
        <w:pStyle w:val="Default"/>
        <w:numPr>
          <w:ilvl w:val="0"/>
          <w:numId w:val="124"/>
        </w:numPr>
        <w:rPr>
          <w:rFonts w:ascii="Palatino" w:hAnsi="Palatino" w:cs="Palatino"/>
          <w:sz w:val="20"/>
          <w:szCs w:val="20"/>
        </w:rPr>
      </w:pPr>
      <w:r>
        <w:rPr>
          <w:rFonts w:ascii="Palatino" w:hAnsi="Palatino" w:cs="Palatino"/>
          <w:sz w:val="20"/>
          <w:szCs w:val="20"/>
        </w:rPr>
        <w:t xml:space="preserve">Additional marking of individual structures may also be considered. This may include lighting of each structure, unlighted structures with retro-reflective areas, structures illuminated with down-lights on, flashing yellow lights or identifying numbers (either lit or unlit). </w:t>
      </w:r>
    </w:p>
    <w:p w14:paraId="12EA05FE" w14:textId="77777777" w:rsidR="00541A14" w:rsidRDefault="00A450E1">
      <w:pPr>
        <w:pStyle w:val="Default"/>
        <w:numPr>
          <w:ilvl w:val="0"/>
          <w:numId w:val="124"/>
        </w:numPr>
        <w:rPr>
          <w:rFonts w:ascii="Palatino" w:hAnsi="Palatino" w:cs="Palatino"/>
          <w:sz w:val="20"/>
          <w:szCs w:val="20"/>
        </w:rPr>
      </w:pPr>
      <w:r>
        <w:rPr>
          <w:rFonts w:ascii="Palatino" w:hAnsi="Palatino" w:cs="Palatino"/>
          <w:sz w:val="20"/>
          <w:szCs w:val="20"/>
        </w:rPr>
        <w:t xml:space="preserve">Consideration should be given to use of synchronised lights to mitigate the effect of the </w:t>
      </w:r>
    </w:p>
    <w:p w14:paraId="36F4931A" w14:textId="77777777" w:rsidR="00541A14" w:rsidRDefault="00541A14">
      <w:pPr>
        <w:pStyle w:val="Default"/>
        <w:rPr>
          <w:rFonts w:ascii="Palatino" w:hAnsi="Palatino" w:cs="Palatino"/>
          <w:sz w:val="20"/>
          <w:szCs w:val="20"/>
        </w:rPr>
      </w:pPr>
    </w:p>
    <w:p w14:paraId="5FBC1E44"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proliferation of lights in high density developments. </w:t>
      </w:r>
    </w:p>
    <w:p w14:paraId="4EE1FE07" w14:textId="77777777" w:rsidR="00541A14" w:rsidRDefault="00A450E1">
      <w:pPr>
        <w:pStyle w:val="CM56"/>
        <w:ind w:right="197"/>
        <w:jc w:val="both"/>
        <w:rPr>
          <w:rFonts w:ascii="Palatino" w:hAnsi="Palatino" w:cs="Palatino"/>
          <w:color w:val="000000"/>
          <w:sz w:val="20"/>
          <w:szCs w:val="20"/>
        </w:rPr>
      </w:pPr>
      <w:r>
        <w:rPr>
          <w:rFonts w:ascii="Palatino" w:hAnsi="Palatino" w:cs="Palatino"/>
          <w:color w:val="000000"/>
          <w:sz w:val="20"/>
          <w:szCs w:val="20"/>
        </w:rPr>
        <w:t xml:space="preserve">An electrical transformer station or other structure, if considered to be a composite part of the energy </w:t>
      </w:r>
    </w:p>
    <w:p w14:paraId="4EDB3EE4" w14:textId="77777777" w:rsidR="00541A14" w:rsidRDefault="00A450E1">
      <w:pPr>
        <w:pStyle w:val="CM165"/>
        <w:spacing w:after="85" w:line="286" w:lineRule="atLeast"/>
        <w:ind w:right="197"/>
        <w:jc w:val="both"/>
        <w:rPr>
          <w:rFonts w:ascii="Palatino" w:hAnsi="Palatino" w:cs="Palatino"/>
          <w:color w:val="000000"/>
          <w:sz w:val="20"/>
          <w:szCs w:val="20"/>
        </w:rPr>
      </w:pPr>
      <w:r>
        <w:rPr>
          <w:rFonts w:ascii="Palatino" w:hAnsi="Palatino" w:cs="Palatino"/>
          <w:color w:val="000000"/>
          <w:sz w:val="20"/>
          <w:szCs w:val="20"/>
        </w:rPr>
        <w:t xml:space="preserve">extraction field, should be included as part of the overall marking. If not considered to be within the boundaries of the field, it should be marked as an Isolated Danger as described in the IALA MBS. </w:t>
      </w:r>
    </w:p>
    <w:p w14:paraId="4C087D54" w14:textId="77777777" w:rsidR="00541A14" w:rsidRDefault="00A450E1">
      <w:pPr>
        <w:pStyle w:val="CM165"/>
        <w:spacing w:after="85" w:line="286" w:lineRule="atLeast"/>
        <w:ind w:right="197"/>
        <w:jc w:val="both"/>
        <w:rPr>
          <w:rFonts w:ascii="Palatino" w:hAnsi="Palatino" w:cs="Palatino"/>
          <w:color w:val="000000"/>
          <w:sz w:val="20"/>
          <w:szCs w:val="20"/>
        </w:rPr>
      </w:pPr>
      <w:r>
        <w:rPr>
          <w:rFonts w:ascii="Palatino" w:hAnsi="Palatino" w:cs="Palatino"/>
          <w:color w:val="000000"/>
          <w:sz w:val="20"/>
          <w:szCs w:val="20"/>
        </w:rPr>
        <w:t xml:space="preserve">Contingency plans should be established to provide an appropriate response in the event of a device breaking loose and becoming a hazard. </w:t>
      </w:r>
    </w:p>
    <w:p w14:paraId="7CBCEACF" w14:textId="77777777" w:rsidR="00541A14" w:rsidRDefault="00A450E1">
      <w:pPr>
        <w:pStyle w:val="CM173"/>
        <w:spacing w:after="340" w:line="300" w:lineRule="atLeast"/>
        <w:ind w:right="842"/>
        <w:jc w:val="both"/>
        <w:rPr>
          <w:rFonts w:ascii="Palatino" w:hAnsi="Palatino" w:cs="Palatino"/>
          <w:color w:val="000000"/>
          <w:sz w:val="20"/>
          <w:szCs w:val="20"/>
        </w:rPr>
      </w:pPr>
      <w:r>
        <w:rPr>
          <w:rFonts w:ascii="Palatino" w:hAnsi="Palatino" w:cs="Palatino"/>
          <w:color w:val="000000"/>
          <w:sz w:val="20"/>
          <w:szCs w:val="20"/>
        </w:rPr>
        <w:t xml:space="preserve">Additional marking and Maritime Safety Information may be required during construction / decommissioning. </w:t>
      </w:r>
    </w:p>
    <w:p w14:paraId="76890B98" w14:textId="77777777" w:rsidR="00541A14" w:rsidRDefault="00A450E1">
      <w:pPr>
        <w:pStyle w:val="CM165"/>
        <w:spacing w:after="85"/>
        <w:jc w:val="both"/>
        <w:rPr>
          <w:rFonts w:ascii="Futura Book" w:hAnsi="Futura Book" w:cs="Futura Book"/>
          <w:color w:val="2C5062"/>
          <w:sz w:val="28"/>
          <w:szCs w:val="28"/>
        </w:rPr>
      </w:pPr>
      <w:r>
        <w:rPr>
          <w:rFonts w:ascii="Futura Book" w:hAnsi="Futura Book" w:cs="Futura Book"/>
          <w:b/>
          <w:bCs/>
          <w:color w:val="2C5062"/>
          <w:sz w:val="28"/>
          <w:szCs w:val="28"/>
        </w:rPr>
        <w:t xml:space="preserve">6.5 Sound Signals </w:t>
      </w:r>
    </w:p>
    <w:p w14:paraId="028EC4ED"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Although sound signals still exist, it has been IALA policy since 1985 that these devices should only be used as a hazard warning. </w:t>
      </w:r>
    </w:p>
    <w:p w14:paraId="3A257191"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The Competent Authority shall determine whether a hazard requires a sound signal and the level </w:t>
      </w:r>
    </w:p>
    <w:p w14:paraId="4982ADBB"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of reduced visibility per year that justifies its installation (e.g. 10 days of visibility under 1nm/year). </w:t>
      </w:r>
    </w:p>
    <w:p w14:paraId="354FB88C" w14:textId="77777777" w:rsidR="00541A14" w:rsidRDefault="00A450E1">
      <w:pPr>
        <w:pStyle w:val="CM172"/>
        <w:spacing w:after="202" w:line="296" w:lineRule="atLeast"/>
        <w:jc w:val="both"/>
        <w:rPr>
          <w:rFonts w:ascii="Palatino" w:hAnsi="Palatino" w:cs="Palatino"/>
          <w:color w:val="000000"/>
          <w:sz w:val="20"/>
          <w:szCs w:val="20"/>
        </w:rPr>
      </w:pPr>
      <w:r>
        <w:rPr>
          <w:rFonts w:ascii="Palatino" w:hAnsi="Palatino" w:cs="Palatino"/>
          <w:color w:val="000000"/>
          <w:sz w:val="20"/>
          <w:szCs w:val="20"/>
        </w:rPr>
        <w:t xml:space="preserve">Certain man-made structures such as offshore structures, bridges, breakwaters and isolated AtoN may be considered a hazard requiring a sound signal. </w:t>
      </w:r>
    </w:p>
    <w:p w14:paraId="4E67B5FD" w14:textId="77777777" w:rsidR="00541A14" w:rsidRDefault="00A450E1">
      <w:pPr>
        <w:pStyle w:val="CM123"/>
        <w:ind w:firstLine="295"/>
        <w:jc w:val="both"/>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7BBD90A9" w14:textId="77777777" w:rsidR="00541A14" w:rsidRDefault="009E3F25">
      <w:pPr>
        <w:pStyle w:val="CM33"/>
        <w:ind w:left="305"/>
        <w:jc w:val="both"/>
        <w:rPr>
          <w:rFonts w:ascii="Palatino" w:hAnsi="Palatino" w:cs="Palatino"/>
          <w:color w:val="000000"/>
          <w:sz w:val="20"/>
          <w:szCs w:val="20"/>
        </w:rPr>
      </w:pPr>
      <w:hyperlink r:id="rId302" w:history="1">
        <w:r w:rsidR="00A450E1">
          <w:rPr>
            <w:rFonts w:ascii="Palatino" w:hAnsi="Palatino" w:cs="Palatino"/>
            <w:i/>
            <w:iCs/>
            <w:color w:val="000000"/>
            <w:sz w:val="20"/>
            <w:szCs w:val="20"/>
          </w:rPr>
          <w:t xml:space="preserve">IALA Recommendation E-109 for the Calculation of the Range of a Sound Signal. </w:t>
        </w:r>
      </w:hyperlink>
    </w:p>
    <w:p w14:paraId="326396DC" w14:textId="77777777" w:rsidR="00541A14" w:rsidRDefault="009E3F25">
      <w:pPr>
        <w:pStyle w:val="CM191"/>
        <w:spacing w:after="825" w:line="336" w:lineRule="atLeast"/>
        <w:ind w:left="295"/>
        <w:jc w:val="both"/>
        <w:rPr>
          <w:rFonts w:ascii="Palatino" w:hAnsi="Palatino" w:cs="Palatino"/>
          <w:color w:val="000000"/>
          <w:sz w:val="20"/>
          <w:szCs w:val="20"/>
        </w:rPr>
      </w:pPr>
      <w:hyperlink r:id="rId303" w:history="1">
        <w:r w:rsidR="00A450E1">
          <w:rPr>
            <w:rFonts w:ascii="Palatino" w:hAnsi="Palatino" w:cs="Palatino"/>
            <w:i/>
            <w:iCs/>
            <w:color w:val="000000"/>
            <w:sz w:val="20"/>
            <w:szCs w:val="20"/>
          </w:rPr>
          <w:t xml:space="preserve">IALA Recommendation O-113 for the Marking of Fixed Bridges over Navigable Waters. </w:t>
        </w:r>
      </w:hyperlink>
      <w:hyperlink r:id="rId304" w:history="1">
        <w:r w:rsidR="00A450E1">
          <w:rPr>
            <w:rFonts w:ascii="Palatino" w:hAnsi="Palatino" w:cs="Palatino"/>
            <w:i/>
            <w:iCs/>
            <w:color w:val="000000"/>
            <w:sz w:val="20"/>
            <w:szCs w:val="20"/>
          </w:rPr>
          <w:t xml:space="preserve">IALA Recommendation O-139 for the Marking of Man-Made Offshore Structures. </w:t>
        </w:r>
      </w:hyperlink>
    </w:p>
    <w:p w14:paraId="319F4C51" w14:textId="77777777" w:rsidR="00541A14" w:rsidRDefault="00541A14">
      <w:pPr>
        <w:pStyle w:val="CM12"/>
        <w:jc w:val="both"/>
        <w:rPr>
          <w:rFonts w:ascii="Palatino" w:hAnsi="Palatino" w:cs="Palatino"/>
          <w:color w:val="000000"/>
          <w:sz w:val="20"/>
          <w:szCs w:val="20"/>
        </w:rPr>
      </w:pPr>
    </w:p>
    <w:p w14:paraId="473F8376" w14:textId="77777777" w:rsidR="00541A14" w:rsidRDefault="00DD420F">
      <w:pPr>
        <w:pStyle w:val="Default"/>
        <w:framePr w:w="122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47730ADA" wp14:editId="2374264A">
            <wp:extent cx="266700" cy="142240"/>
            <wp:effectExtent l="0" t="0" r="12700" b="1016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66700" cy="142240"/>
                    </a:xfrm>
                    <a:prstGeom prst="rect">
                      <a:avLst/>
                    </a:prstGeom>
                    <a:noFill/>
                    <a:ln>
                      <a:noFill/>
                    </a:ln>
                  </pic:spPr>
                </pic:pic>
              </a:graphicData>
            </a:graphic>
          </wp:inline>
        </w:drawing>
      </w:r>
    </w:p>
    <w:p w14:paraId="6AA31D02" w14:textId="77777777" w:rsidR="00541A14" w:rsidRDefault="00541A14">
      <w:pPr>
        <w:pStyle w:val="CM100"/>
        <w:ind w:left="8357"/>
        <w:rPr>
          <w:rFonts w:ascii="Palatino" w:hAnsi="Palatino" w:cs="Palatino"/>
          <w:color w:val="000000"/>
          <w:sz w:val="20"/>
          <w:szCs w:val="20"/>
        </w:rPr>
      </w:pPr>
    </w:p>
    <w:p w14:paraId="0E9CB916" w14:textId="77777777" w:rsidR="00541A14" w:rsidRDefault="00DD420F">
      <w:pPr>
        <w:pStyle w:val="Default"/>
        <w:framePr w:w="1100" w:wrap="auto" w:vAnchor="page" w:hAnchor="page" w:x="8964" w:y="16323"/>
        <w:rPr>
          <w:rFonts w:ascii="Palatino" w:hAnsi="Palatino" w:cs="Palatino"/>
          <w:sz w:val="20"/>
          <w:szCs w:val="20"/>
        </w:rPr>
      </w:pPr>
      <w:r>
        <w:rPr>
          <w:rFonts w:ascii="Palatino" w:hAnsi="Palatino" w:cs="Palatino"/>
          <w:noProof/>
          <w:sz w:val="20"/>
          <w:szCs w:val="20"/>
        </w:rPr>
        <w:drawing>
          <wp:inline distT="0" distB="0" distL="0" distR="0" wp14:anchorId="39ED973C" wp14:editId="6ACFB508">
            <wp:extent cx="227330" cy="113665"/>
            <wp:effectExtent l="0" t="0" r="127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2D752EED" w14:textId="77777777" w:rsidR="00541A14" w:rsidRDefault="00DD420F">
      <w:pPr>
        <w:pStyle w:val="Default"/>
        <w:framePr w:w="2088" w:wrap="auto" w:vAnchor="page" w:hAnchor="page" w:x="9249" w:y="16323"/>
        <w:rPr>
          <w:rFonts w:ascii="Palatino" w:hAnsi="Palatino" w:cs="Palatino"/>
          <w:sz w:val="20"/>
          <w:szCs w:val="20"/>
        </w:rPr>
      </w:pPr>
      <w:r>
        <w:rPr>
          <w:rFonts w:ascii="Palatino" w:hAnsi="Palatino" w:cs="Palatino"/>
          <w:noProof/>
          <w:sz w:val="20"/>
          <w:szCs w:val="20"/>
        </w:rPr>
        <w:drawing>
          <wp:inline distT="0" distB="0" distL="0" distR="0" wp14:anchorId="3D60E4C0" wp14:editId="49346281">
            <wp:extent cx="823595" cy="11366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0395FAD7" w14:textId="77777777" w:rsidR="00541A14" w:rsidRDefault="00DD420F">
      <w:pPr>
        <w:pStyle w:val="Default"/>
        <w:pageBreakBefore/>
        <w:framePr w:w="12876" w:wrap="auto" w:vAnchor="page" w:hAnchor="page" w:x="101" w:y="1"/>
        <w:spacing w:after="860"/>
        <w:rPr>
          <w:rFonts w:ascii="Palatino" w:hAnsi="Palatino" w:cs="Palatino"/>
          <w:sz w:val="20"/>
          <w:szCs w:val="20"/>
        </w:rPr>
      </w:pPr>
      <w:r>
        <w:rPr>
          <w:rFonts w:ascii="Palatino" w:hAnsi="Palatino" w:cs="Palatino"/>
          <w:noProof/>
          <w:sz w:val="20"/>
          <w:szCs w:val="20"/>
        </w:rPr>
        <w:drawing>
          <wp:inline distT="0" distB="0" distL="0" distR="0" wp14:anchorId="79B3D703" wp14:editId="034C7A5E">
            <wp:extent cx="7553960" cy="1056640"/>
            <wp:effectExtent l="0" t="0" r="0" b="1016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2BC4BB2F"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6.5.1 Considerations on Sound Signals and their use </w:t>
      </w:r>
    </w:p>
    <w:p w14:paraId="354DD2F1"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Consideration may be given to providing one or more sound signals on offshore structures and wind farms. Where provided the sound signals should have a range of at least 2 nautical miles.  There are a number of considerations to be taken into account with regards to sound signals and their use: </w:t>
      </w:r>
    </w:p>
    <w:p w14:paraId="05A22B5D" w14:textId="77777777" w:rsidR="00541A14" w:rsidRDefault="00A450E1">
      <w:pPr>
        <w:pStyle w:val="Default"/>
        <w:numPr>
          <w:ilvl w:val="0"/>
          <w:numId w:val="125"/>
        </w:numPr>
        <w:rPr>
          <w:rFonts w:ascii="Palatino" w:hAnsi="Palatino" w:cs="Palatino"/>
          <w:sz w:val="20"/>
          <w:szCs w:val="20"/>
        </w:rPr>
      </w:pPr>
      <w:r>
        <w:rPr>
          <w:rFonts w:ascii="Palatino" w:hAnsi="Palatino" w:cs="Palatino"/>
          <w:sz w:val="20"/>
          <w:szCs w:val="20"/>
        </w:rPr>
        <w:t xml:space="preserve">Sound propagates in the atmosphere in a variable manner, making the perception of direction and distance to the emitter difficult. It may be very difficult to estimate the location of a danger. </w:t>
      </w:r>
    </w:p>
    <w:p w14:paraId="39665106" w14:textId="77777777" w:rsidR="00541A14" w:rsidRDefault="00A450E1">
      <w:pPr>
        <w:pStyle w:val="Default"/>
        <w:numPr>
          <w:ilvl w:val="0"/>
          <w:numId w:val="125"/>
        </w:numPr>
        <w:rPr>
          <w:rFonts w:ascii="Palatino" w:hAnsi="Palatino" w:cs="Palatino"/>
          <w:sz w:val="20"/>
          <w:szCs w:val="20"/>
        </w:rPr>
      </w:pPr>
      <w:r>
        <w:rPr>
          <w:rFonts w:ascii="Palatino" w:hAnsi="Palatino" w:cs="Palatino"/>
          <w:sz w:val="20"/>
          <w:szCs w:val="20"/>
        </w:rPr>
        <w:t xml:space="preserve">A linear increase in the perception of a sound corresponds to an exponential power increase in the </w:t>
      </w:r>
    </w:p>
    <w:p w14:paraId="253F1C89" w14:textId="77777777" w:rsidR="00541A14" w:rsidRDefault="00541A14">
      <w:pPr>
        <w:pStyle w:val="Default"/>
        <w:rPr>
          <w:rFonts w:ascii="Palatino" w:hAnsi="Palatino" w:cs="Palatino"/>
          <w:sz w:val="20"/>
          <w:szCs w:val="20"/>
        </w:rPr>
      </w:pPr>
    </w:p>
    <w:p w14:paraId="013686F2"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sound source. </w:t>
      </w:r>
    </w:p>
    <w:p w14:paraId="23E396DB" w14:textId="77777777" w:rsidR="00541A14" w:rsidRDefault="00A450E1">
      <w:pPr>
        <w:pStyle w:val="Default"/>
        <w:numPr>
          <w:ilvl w:val="0"/>
          <w:numId w:val="126"/>
        </w:numPr>
        <w:rPr>
          <w:rFonts w:ascii="Palatino" w:hAnsi="Palatino" w:cs="Palatino"/>
          <w:sz w:val="20"/>
          <w:szCs w:val="20"/>
        </w:rPr>
      </w:pPr>
      <w:r>
        <w:rPr>
          <w:rFonts w:ascii="Palatino" w:hAnsi="Palatino" w:cs="Palatino"/>
          <w:sz w:val="20"/>
          <w:szCs w:val="20"/>
        </w:rPr>
        <w:t xml:space="preserve">Background noise level on board vessels may prevent recognition of a sound signal. </w:t>
      </w:r>
    </w:p>
    <w:p w14:paraId="6D1F1817" w14:textId="77777777" w:rsidR="00541A14" w:rsidRDefault="00A450E1">
      <w:pPr>
        <w:pStyle w:val="Default"/>
        <w:numPr>
          <w:ilvl w:val="0"/>
          <w:numId w:val="126"/>
        </w:numPr>
        <w:rPr>
          <w:rFonts w:ascii="Palatino" w:hAnsi="Palatino" w:cs="Palatino"/>
          <w:sz w:val="20"/>
          <w:szCs w:val="20"/>
        </w:rPr>
      </w:pPr>
      <w:r>
        <w:rPr>
          <w:rFonts w:ascii="Palatino" w:hAnsi="Palatino" w:cs="Palatino"/>
          <w:sz w:val="20"/>
          <w:szCs w:val="20"/>
        </w:rPr>
        <w:t xml:space="preserve">Occasionally, sound propagation is such that a signal may be almost inaudible close to the source, </w:t>
      </w:r>
    </w:p>
    <w:p w14:paraId="5CEC091A" w14:textId="77777777" w:rsidR="00541A14" w:rsidRDefault="00541A14">
      <w:pPr>
        <w:pStyle w:val="Default"/>
        <w:rPr>
          <w:rFonts w:ascii="Palatino" w:hAnsi="Palatino" w:cs="Palatino"/>
          <w:sz w:val="20"/>
          <w:szCs w:val="20"/>
        </w:rPr>
      </w:pPr>
    </w:p>
    <w:p w14:paraId="66260B7A"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but of the expected level further away from the source. </w:t>
      </w:r>
    </w:p>
    <w:p w14:paraId="5C9329C6"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The identification of the sound signal characteristics may not be reliable as a result of fluctuations </w:t>
      </w:r>
    </w:p>
    <w:p w14:paraId="14B684B2"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in propagation causing interruption of reception.  </w:t>
      </w:r>
    </w:p>
    <w:p w14:paraId="390D6C7E" w14:textId="77777777" w:rsidR="00541A14" w:rsidRDefault="00A450E1">
      <w:pPr>
        <w:pStyle w:val="Default"/>
        <w:numPr>
          <w:ilvl w:val="0"/>
          <w:numId w:val="127"/>
        </w:numPr>
        <w:rPr>
          <w:rFonts w:ascii="Palatino" w:hAnsi="Palatino" w:cs="Palatino"/>
          <w:sz w:val="20"/>
          <w:szCs w:val="20"/>
        </w:rPr>
      </w:pPr>
      <w:r>
        <w:rPr>
          <w:rFonts w:ascii="Palatino" w:hAnsi="Palatino" w:cs="Palatino"/>
          <w:sz w:val="20"/>
          <w:szCs w:val="20"/>
        </w:rPr>
        <w:t xml:space="preserve">A sound signal may be considered a nuisance by the local community. </w:t>
      </w:r>
    </w:p>
    <w:p w14:paraId="5307F0B8" w14:textId="77777777" w:rsidR="00541A14" w:rsidRDefault="00A450E1">
      <w:pPr>
        <w:pStyle w:val="Default"/>
        <w:numPr>
          <w:ilvl w:val="0"/>
          <w:numId w:val="127"/>
        </w:numPr>
        <w:rPr>
          <w:rFonts w:ascii="Palatino" w:hAnsi="Palatino" w:cs="Palatino"/>
          <w:sz w:val="20"/>
          <w:szCs w:val="20"/>
        </w:rPr>
      </w:pPr>
      <w:r>
        <w:rPr>
          <w:rFonts w:ascii="Palatino" w:hAnsi="Palatino" w:cs="Palatino"/>
          <w:sz w:val="20"/>
          <w:szCs w:val="20"/>
        </w:rPr>
        <w:t xml:space="preserve">In some situations, there is the need to combine two or more sound sources or to install a baffle </w:t>
      </w:r>
    </w:p>
    <w:p w14:paraId="72AA9F9A" w14:textId="77777777" w:rsidR="00541A14" w:rsidRDefault="00541A14">
      <w:pPr>
        <w:pStyle w:val="Default"/>
        <w:rPr>
          <w:rFonts w:ascii="Palatino" w:hAnsi="Palatino" w:cs="Palatino"/>
          <w:sz w:val="20"/>
          <w:szCs w:val="20"/>
        </w:rPr>
      </w:pPr>
    </w:p>
    <w:p w14:paraId="16B9D235"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device to avoid the propagation of sound in a certain direction. In both cases, care must be taken to </w:t>
      </w:r>
    </w:p>
    <w:p w14:paraId="71C1E716"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avoid the sound of one source being cancelled by the sound of the other or by the reflected sound. </w:t>
      </w:r>
    </w:p>
    <w:p w14:paraId="36CB1ACC" w14:textId="77777777" w:rsidR="00541A14" w:rsidRDefault="00A450E1">
      <w:pPr>
        <w:pStyle w:val="CM175"/>
        <w:spacing w:after="267" w:line="296" w:lineRule="atLeast"/>
        <w:ind w:left="300" w:hanging="300"/>
        <w:rPr>
          <w:rFonts w:ascii="Palatino" w:hAnsi="Palatino" w:cs="Palatino"/>
          <w:color w:val="000000"/>
          <w:sz w:val="20"/>
          <w:szCs w:val="20"/>
        </w:rPr>
      </w:pPr>
      <w:r>
        <w:rPr>
          <w:rFonts w:ascii="Palatino" w:hAnsi="Palatino" w:cs="Palatino"/>
          <w:color w:val="000000"/>
          <w:sz w:val="20"/>
          <w:szCs w:val="20"/>
        </w:rPr>
        <w:t xml:space="preserve">• Sound signals are normally operated automatically using a fog detector. </w:t>
      </w:r>
    </w:p>
    <w:p w14:paraId="28CFDBDA"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6.5.2 Considerations on Fog Detectors </w:t>
      </w:r>
    </w:p>
    <w:p w14:paraId="49320892" w14:textId="77777777" w:rsidR="00541A14" w:rsidRDefault="00A450E1">
      <w:pPr>
        <w:pStyle w:val="CM26"/>
        <w:ind w:right="177"/>
        <w:rPr>
          <w:rFonts w:ascii="Palatino" w:hAnsi="Palatino" w:cs="Palatino"/>
          <w:color w:val="000000"/>
          <w:sz w:val="20"/>
          <w:szCs w:val="20"/>
        </w:rPr>
      </w:pPr>
      <w:r>
        <w:rPr>
          <w:rFonts w:ascii="Palatino" w:hAnsi="Palatino" w:cs="Palatino"/>
          <w:color w:val="000000"/>
          <w:sz w:val="20"/>
          <w:szCs w:val="20"/>
        </w:rPr>
        <w:t xml:space="preserve">Until approximately thirty years ago, sound signals were operated by lighthouse keepers observing local visibility and turning on the signal as required. At present, automatic fog detectors that emit an </w:t>
      </w:r>
    </w:p>
    <w:p w14:paraId="1F7FA2B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infrared beam, measure the reflection from the water particles in the air, and activate the sound signal </w:t>
      </w:r>
    </w:p>
    <w:p w14:paraId="7E92A3A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at certain visibility thresholds. </w:t>
      </w:r>
    </w:p>
    <w:p w14:paraId="5A9DB8C0" w14:textId="77777777" w:rsidR="00541A14" w:rsidRDefault="00A450E1">
      <w:pPr>
        <w:pStyle w:val="CM173"/>
        <w:spacing w:after="340" w:line="291" w:lineRule="atLeast"/>
        <w:ind w:right="107"/>
        <w:rPr>
          <w:rFonts w:ascii="Palatino" w:hAnsi="Palatino" w:cs="Palatino"/>
          <w:color w:val="000000"/>
          <w:sz w:val="20"/>
          <w:szCs w:val="20"/>
        </w:rPr>
      </w:pPr>
      <w:r>
        <w:rPr>
          <w:rFonts w:ascii="Palatino" w:hAnsi="Palatino" w:cs="Palatino"/>
          <w:color w:val="000000"/>
          <w:sz w:val="20"/>
          <w:szCs w:val="20"/>
        </w:rPr>
        <w:t xml:space="preserve">Reliable remote visibility meters, developed for use at remote meteorological stations, are used as fog detectors. These may be activated by heavy rain or snow, as well as fog. </w:t>
      </w:r>
    </w:p>
    <w:p w14:paraId="6FC591A9"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6.5.3 Sound Signals in the World </w:t>
      </w:r>
    </w:p>
    <w:p w14:paraId="09720087"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Some countries, including Finland, Iceland, Australia and Norway have abolished the use of sound signals. </w:t>
      </w:r>
    </w:p>
    <w:p w14:paraId="758ADF88" w14:textId="77777777" w:rsidR="00541A14" w:rsidRDefault="00A450E1">
      <w:pPr>
        <w:pStyle w:val="CM173"/>
        <w:spacing w:after="340" w:line="298" w:lineRule="atLeast"/>
        <w:ind w:right="507"/>
        <w:rPr>
          <w:rFonts w:ascii="Palatino" w:hAnsi="Palatino" w:cs="Palatino"/>
          <w:color w:val="000000"/>
          <w:sz w:val="20"/>
          <w:szCs w:val="20"/>
        </w:rPr>
      </w:pPr>
      <w:r>
        <w:rPr>
          <w:rFonts w:ascii="Palatino" w:hAnsi="Palatino" w:cs="Palatino"/>
          <w:color w:val="000000"/>
          <w:sz w:val="20"/>
          <w:szCs w:val="20"/>
        </w:rPr>
        <w:t xml:space="preserve">Other countries continue to use fog signals, usually 2 mile range electric signals, on offshore lighthouses and light vessels. In countries with high incidence of fog, some large compressed air powered signals are still in use. </w:t>
      </w:r>
    </w:p>
    <w:p w14:paraId="6BAE4FDA"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6.5.4 Range of a sound signal </w:t>
      </w:r>
    </w:p>
    <w:p w14:paraId="193A4A5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Nominal Range: the distance at which, in fog, a lookout positioned in the wing of the bridge has a </w:t>
      </w:r>
    </w:p>
    <w:p w14:paraId="6C41E37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probability of 90% of hearing the signal when subjected to a noise as defined by IALA as being equal </w:t>
      </w:r>
    </w:p>
    <w:p w14:paraId="36BFFE22" w14:textId="77777777" w:rsidR="00541A14" w:rsidRDefault="00A450E1">
      <w:pPr>
        <w:pStyle w:val="CM199"/>
        <w:spacing w:after="955" w:line="296" w:lineRule="atLeast"/>
        <w:ind w:right="402"/>
        <w:rPr>
          <w:rFonts w:ascii="Palatino" w:hAnsi="Palatino" w:cs="Palatino"/>
          <w:color w:val="000000"/>
          <w:sz w:val="20"/>
          <w:szCs w:val="20"/>
        </w:rPr>
      </w:pPr>
      <w:r>
        <w:rPr>
          <w:rFonts w:ascii="Palatino" w:hAnsi="Palatino" w:cs="Palatino"/>
          <w:color w:val="000000"/>
          <w:sz w:val="20"/>
          <w:szCs w:val="20"/>
        </w:rPr>
        <w:t xml:space="preserve">to or in excess of that found in 84% of large merchant vessels, the propagation between the sound signal emitter and the listener occurring during relatively calm weather and with no intervening obstacles (refer Table 19). </w:t>
      </w:r>
    </w:p>
    <w:p w14:paraId="7E85374A" w14:textId="77777777" w:rsidR="00541A14" w:rsidRDefault="00A450E1">
      <w:pPr>
        <w:pStyle w:val="CM12"/>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57A70306"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129 </w:t>
      </w:r>
    </w:p>
    <w:p w14:paraId="3D2BE1CF" w14:textId="77777777" w:rsidR="00541A14" w:rsidRDefault="00DD420F">
      <w:pPr>
        <w:pStyle w:val="Default"/>
        <w:pageBreakBefore/>
        <w:framePr w:w="24782" w:wrap="auto" w:vAnchor="page" w:hAnchor="page" w:x="101" w:y="1"/>
        <w:spacing w:after="88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27FF0765" wp14:editId="7DCB7DB7">
            <wp:extent cx="7553960" cy="1056640"/>
            <wp:effectExtent l="0" t="0" r="0" b="1016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578299DD"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80768" behindDoc="0" locked="0" layoutInCell="0" allowOverlap="1" wp14:anchorId="02A2C607" wp14:editId="3993A76D">
                <wp:simplePos x="0" y="0"/>
                <wp:positionH relativeFrom="page">
                  <wp:posOffset>772795</wp:posOffset>
                </wp:positionH>
                <wp:positionV relativeFrom="page">
                  <wp:posOffset>1386205</wp:posOffset>
                </wp:positionV>
                <wp:extent cx="3463290" cy="4027805"/>
                <wp:effectExtent l="0" t="0" r="0" b="0"/>
                <wp:wrapThrough wrapText="bothSides">
                  <wp:wrapPolygon edited="0">
                    <wp:start x="0" y="0"/>
                    <wp:lineTo x="21600" y="0"/>
                    <wp:lineTo x="21600" y="21600"/>
                    <wp:lineTo x="0" y="21600"/>
                    <wp:lineTo x="0" y="0"/>
                  </wp:wrapPolygon>
                </wp:wrapThrough>
                <wp:docPr id="53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3290" cy="402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D3383" w14:textId="77777777" w:rsidR="00541A14" w:rsidRDefault="00A450E1">
                            <w:pPr>
                              <w:widowControl w:val="0"/>
                              <w:autoSpaceDE w:val="0"/>
                              <w:autoSpaceDN w:val="0"/>
                              <w:adjustRightInd w:val="0"/>
                              <w:spacing w:after="240"/>
                              <w:rPr>
                                <w:rFonts w:ascii="Palatino" w:hAnsi="Palatino" w:cs="Palatino"/>
                                <w:color w:val="000000"/>
                              </w:rPr>
                            </w:pPr>
                            <w:r>
                              <w:rPr>
                                <w:rFonts w:ascii="Palatino" w:hAnsi="Palatino" w:cs="Palatino"/>
                                <w:b/>
                                <w:bCs/>
                              </w:rPr>
                              <w:t xml:space="preserve">table 19 – Nominal Range </w:t>
                            </w:r>
                          </w:p>
                          <w:tbl>
                            <w:tblPr>
                              <w:tblW w:w="0" w:type="auto"/>
                              <w:tblBorders>
                                <w:top w:val="nil"/>
                                <w:left w:val="nil"/>
                                <w:bottom w:val="nil"/>
                                <w:right w:val="nil"/>
                              </w:tblBorders>
                              <w:tblLayout w:type="fixed"/>
                              <w:tblLook w:val="0000" w:firstRow="0" w:lastRow="0" w:firstColumn="0" w:lastColumn="0" w:noHBand="0" w:noVBand="0"/>
                            </w:tblPr>
                            <w:tblGrid>
                              <w:gridCol w:w="1045"/>
                              <w:gridCol w:w="972"/>
                              <w:gridCol w:w="930"/>
                              <w:gridCol w:w="870"/>
                              <w:gridCol w:w="837"/>
                            </w:tblGrid>
                            <w:tr w:rsidR="00541A14" w14:paraId="0C7D0CCF" w14:textId="77777777">
                              <w:trPr>
                                <w:trHeight w:val="160"/>
                              </w:trPr>
                              <w:tc>
                                <w:tcPr>
                                  <w:tcW w:w="4650" w:type="dxa"/>
                                  <w:gridSpan w:val="5"/>
                                  <w:tcBorders>
                                    <w:top w:val="single" w:sz="4" w:space="0" w:color="001219"/>
                                    <w:left w:val="single" w:sz="4" w:space="0" w:color="000204"/>
                                    <w:right w:val="single" w:sz="4" w:space="0" w:color="000204"/>
                                  </w:tcBorders>
                                  <w:shd w:val="clear" w:color="auto" w:fill="01769F"/>
                                  <w:vAlign w:val="center"/>
                                </w:tcPr>
                                <w:p w14:paraId="533DFF6E"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Sound Pressure Level </w:t>
                                  </w:r>
                                </w:p>
                              </w:tc>
                            </w:tr>
                            <w:tr w:rsidR="00541A14" w14:paraId="6B534D81" w14:textId="77777777">
                              <w:trPr>
                                <w:trHeight w:val="265"/>
                              </w:trPr>
                              <w:tc>
                                <w:tcPr>
                                  <w:tcW w:w="1045" w:type="dxa"/>
                                  <w:tcBorders>
                                    <w:left w:val="single" w:sz="4" w:space="0" w:color="000204"/>
                                    <w:bottom w:val="single" w:sz="4" w:space="0" w:color="001219"/>
                                    <w:right w:val="single" w:sz="4" w:space="0" w:color="000406"/>
                                  </w:tcBorders>
                                  <w:shd w:val="clear" w:color="auto" w:fill="01769F"/>
                                  <w:vAlign w:val="center"/>
                                </w:tcPr>
                                <w:p w14:paraId="34611F9E"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Pn(NM) f(Hz) </w:t>
                                  </w:r>
                                </w:p>
                              </w:tc>
                              <w:tc>
                                <w:tcPr>
                                  <w:tcW w:w="972" w:type="dxa"/>
                                  <w:tcBorders>
                                    <w:left w:val="single" w:sz="4" w:space="0" w:color="000406"/>
                                    <w:bottom w:val="single" w:sz="4" w:space="0" w:color="001219"/>
                                    <w:right w:val="single" w:sz="4" w:space="0" w:color="000406"/>
                                  </w:tcBorders>
                                  <w:shd w:val="clear" w:color="auto" w:fill="01769F"/>
                                  <w:vAlign w:val="center"/>
                                </w:tcPr>
                                <w:p w14:paraId="0D06AFA4"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0.5 </w:t>
                                  </w:r>
                                </w:p>
                              </w:tc>
                              <w:tc>
                                <w:tcPr>
                                  <w:tcW w:w="930" w:type="dxa"/>
                                  <w:tcBorders>
                                    <w:left w:val="single" w:sz="4" w:space="0" w:color="000406"/>
                                    <w:bottom w:val="single" w:sz="4" w:space="0" w:color="001219"/>
                                    <w:right w:val="single" w:sz="4" w:space="0" w:color="000406"/>
                                  </w:tcBorders>
                                  <w:shd w:val="clear" w:color="auto" w:fill="01769F"/>
                                  <w:vAlign w:val="center"/>
                                </w:tcPr>
                                <w:p w14:paraId="548CE5BE"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 </w:t>
                                  </w:r>
                                </w:p>
                              </w:tc>
                              <w:tc>
                                <w:tcPr>
                                  <w:tcW w:w="870" w:type="dxa"/>
                                  <w:tcBorders>
                                    <w:left w:val="single" w:sz="4" w:space="0" w:color="000406"/>
                                    <w:bottom w:val="single" w:sz="4" w:space="0" w:color="001219"/>
                                    <w:right w:val="single" w:sz="4" w:space="0" w:color="000406"/>
                                  </w:tcBorders>
                                  <w:shd w:val="clear" w:color="auto" w:fill="01769F"/>
                                  <w:vAlign w:val="center"/>
                                </w:tcPr>
                                <w:p w14:paraId="3C568895"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1,5 </w:t>
                                  </w:r>
                                </w:p>
                              </w:tc>
                              <w:tc>
                                <w:tcPr>
                                  <w:tcW w:w="837" w:type="dxa"/>
                                  <w:tcBorders>
                                    <w:left w:val="single" w:sz="4" w:space="0" w:color="000406"/>
                                    <w:bottom w:val="single" w:sz="4" w:space="0" w:color="001219"/>
                                    <w:right w:val="single" w:sz="4" w:space="0" w:color="000204"/>
                                  </w:tcBorders>
                                  <w:shd w:val="clear" w:color="auto" w:fill="01769F"/>
                                  <w:vAlign w:val="center"/>
                                </w:tcPr>
                                <w:p w14:paraId="5EC29ECF"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2 </w:t>
                                  </w:r>
                                </w:p>
                              </w:tc>
                            </w:tr>
                            <w:tr w:rsidR="00541A14" w14:paraId="719B4923" w14:textId="77777777">
                              <w:trPr>
                                <w:trHeight w:val="156"/>
                              </w:trPr>
                              <w:tc>
                                <w:tcPr>
                                  <w:tcW w:w="1045" w:type="dxa"/>
                                  <w:tcBorders>
                                    <w:top w:val="single" w:sz="4" w:space="0" w:color="001219"/>
                                    <w:left w:val="single" w:sz="4" w:space="0" w:color="000204"/>
                                    <w:right w:val="single" w:sz="4" w:space="0" w:color="000406"/>
                                  </w:tcBorders>
                                  <w:shd w:val="clear" w:color="auto" w:fill="E3E9EE"/>
                                  <w:vAlign w:val="center"/>
                                </w:tcPr>
                                <w:p w14:paraId="75D133B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 </w:t>
                                  </w:r>
                                </w:p>
                              </w:tc>
                              <w:tc>
                                <w:tcPr>
                                  <w:tcW w:w="972" w:type="dxa"/>
                                  <w:tcBorders>
                                    <w:top w:val="single" w:sz="4" w:space="0" w:color="001219"/>
                                    <w:left w:val="single" w:sz="4" w:space="0" w:color="000406"/>
                                    <w:right w:val="single" w:sz="4" w:space="0" w:color="000406"/>
                                  </w:tcBorders>
                                  <w:shd w:val="clear" w:color="auto" w:fill="E3E9EE"/>
                                  <w:vAlign w:val="center"/>
                                </w:tcPr>
                                <w:p w14:paraId="75B8E17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162 </w:t>
                                  </w:r>
                                </w:p>
                              </w:tc>
                              <w:tc>
                                <w:tcPr>
                                  <w:tcW w:w="930" w:type="dxa"/>
                                  <w:tcBorders>
                                    <w:top w:val="single" w:sz="4" w:space="0" w:color="001219"/>
                                    <w:left w:val="single" w:sz="4" w:space="0" w:color="000406"/>
                                    <w:right w:val="single" w:sz="4" w:space="0" w:color="000406"/>
                                  </w:tcBorders>
                                  <w:shd w:val="clear" w:color="auto" w:fill="E3E9EE"/>
                                  <w:vAlign w:val="center"/>
                                </w:tcPr>
                                <w:p w14:paraId="50ADABA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172 </w:t>
                                  </w:r>
                                </w:p>
                              </w:tc>
                              <w:tc>
                                <w:tcPr>
                                  <w:tcW w:w="870" w:type="dxa"/>
                                  <w:tcBorders>
                                    <w:top w:val="single" w:sz="4" w:space="0" w:color="001219"/>
                                    <w:left w:val="single" w:sz="4" w:space="0" w:color="000406"/>
                                    <w:right w:val="single" w:sz="4" w:space="0" w:color="000406"/>
                                  </w:tcBorders>
                                  <w:shd w:val="clear" w:color="auto" w:fill="E3E9EE"/>
                                  <w:vAlign w:val="center"/>
                                </w:tcPr>
                                <w:p w14:paraId="319F0C6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176 </w:t>
                                  </w:r>
                                </w:p>
                              </w:tc>
                              <w:tc>
                                <w:tcPr>
                                  <w:tcW w:w="837" w:type="dxa"/>
                                  <w:tcBorders>
                                    <w:top w:val="single" w:sz="4" w:space="0" w:color="001219"/>
                                    <w:left w:val="single" w:sz="4" w:space="0" w:color="000406"/>
                                    <w:right w:val="single" w:sz="4" w:space="0" w:color="000204"/>
                                  </w:tcBorders>
                                  <w:shd w:val="clear" w:color="auto" w:fill="E3E9EE"/>
                                  <w:vAlign w:val="center"/>
                                </w:tcPr>
                                <w:p w14:paraId="3DAB59A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178 </w:t>
                                  </w:r>
                                </w:p>
                              </w:tc>
                            </w:tr>
                            <w:tr w:rsidR="00541A14" w14:paraId="2CCE4481" w14:textId="77777777">
                              <w:trPr>
                                <w:trHeight w:val="157"/>
                              </w:trPr>
                              <w:tc>
                                <w:tcPr>
                                  <w:tcW w:w="1045" w:type="dxa"/>
                                  <w:tcBorders>
                                    <w:left w:val="single" w:sz="4" w:space="0" w:color="000204"/>
                                    <w:right w:val="single" w:sz="4" w:space="0" w:color="000406"/>
                                  </w:tcBorders>
                                  <w:vAlign w:val="center"/>
                                </w:tcPr>
                                <w:p w14:paraId="6D51AC0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50 </w:t>
                                  </w:r>
                                </w:p>
                              </w:tc>
                              <w:tc>
                                <w:tcPr>
                                  <w:tcW w:w="972" w:type="dxa"/>
                                  <w:tcBorders>
                                    <w:left w:val="single" w:sz="4" w:space="0" w:color="000406"/>
                                    <w:right w:val="single" w:sz="4" w:space="0" w:color="000406"/>
                                  </w:tcBorders>
                                  <w:vAlign w:val="center"/>
                                </w:tcPr>
                                <w:p w14:paraId="7140E94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149 </w:t>
                                  </w:r>
                                </w:p>
                              </w:tc>
                              <w:tc>
                                <w:tcPr>
                                  <w:tcW w:w="930" w:type="dxa"/>
                                  <w:tcBorders>
                                    <w:left w:val="single" w:sz="4" w:space="0" w:color="000406"/>
                                    <w:right w:val="single" w:sz="4" w:space="0" w:color="000406"/>
                                  </w:tcBorders>
                                  <w:vAlign w:val="center"/>
                                </w:tcPr>
                                <w:p w14:paraId="6242EC56"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161 </w:t>
                                  </w:r>
                                </w:p>
                              </w:tc>
                              <w:tc>
                                <w:tcPr>
                                  <w:tcW w:w="870" w:type="dxa"/>
                                  <w:tcBorders>
                                    <w:left w:val="single" w:sz="4" w:space="0" w:color="000406"/>
                                    <w:right w:val="single" w:sz="4" w:space="0" w:color="000406"/>
                                  </w:tcBorders>
                                  <w:vAlign w:val="center"/>
                                </w:tcPr>
                                <w:p w14:paraId="3C71967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165 </w:t>
                                  </w:r>
                                </w:p>
                              </w:tc>
                              <w:tc>
                                <w:tcPr>
                                  <w:tcW w:w="837" w:type="dxa"/>
                                  <w:tcBorders>
                                    <w:left w:val="single" w:sz="4" w:space="0" w:color="000406"/>
                                    <w:right w:val="single" w:sz="4" w:space="0" w:color="000204"/>
                                  </w:tcBorders>
                                  <w:vAlign w:val="center"/>
                                </w:tcPr>
                                <w:p w14:paraId="6CA5B99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168 </w:t>
                                  </w:r>
                                </w:p>
                              </w:tc>
                            </w:tr>
                            <w:tr w:rsidR="00541A14" w14:paraId="0C9A9B30" w14:textId="77777777">
                              <w:trPr>
                                <w:trHeight w:val="156"/>
                              </w:trPr>
                              <w:tc>
                                <w:tcPr>
                                  <w:tcW w:w="1045" w:type="dxa"/>
                                  <w:tcBorders>
                                    <w:left w:val="single" w:sz="4" w:space="0" w:color="000204"/>
                                    <w:right w:val="single" w:sz="4" w:space="0" w:color="000406"/>
                                  </w:tcBorders>
                                  <w:shd w:val="clear" w:color="auto" w:fill="E3E9EE"/>
                                  <w:vAlign w:val="center"/>
                                </w:tcPr>
                                <w:p w14:paraId="0026D09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100 </w:t>
                                  </w:r>
                                </w:p>
                              </w:tc>
                              <w:tc>
                                <w:tcPr>
                                  <w:tcW w:w="972" w:type="dxa"/>
                                  <w:tcBorders>
                                    <w:left w:val="single" w:sz="4" w:space="0" w:color="000406"/>
                                    <w:right w:val="single" w:sz="4" w:space="0" w:color="000406"/>
                                  </w:tcBorders>
                                  <w:shd w:val="clear" w:color="auto" w:fill="E3E9EE"/>
                                  <w:vAlign w:val="center"/>
                                </w:tcPr>
                                <w:p w14:paraId="6C1C445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138 </w:t>
                                  </w:r>
                                </w:p>
                              </w:tc>
                              <w:tc>
                                <w:tcPr>
                                  <w:tcW w:w="930" w:type="dxa"/>
                                  <w:tcBorders>
                                    <w:left w:val="single" w:sz="4" w:space="0" w:color="000406"/>
                                    <w:right w:val="single" w:sz="4" w:space="0" w:color="000406"/>
                                  </w:tcBorders>
                                  <w:shd w:val="clear" w:color="auto" w:fill="E3E9EE"/>
                                  <w:vAlign w:val="center"/>
                                </w:tcPr>
                                <w:p w14:paraId="137756A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c>
                                <w:tcPr>
                                  <w:tcW w:w="870" w:type="dxa"/>
                                  <w:tcBorders>
                                    <w:left w:val="single" w:sz="4" w:space="0" w:color="000406"/>
                                    <w:right w:val="single" w:sz="4" w:space="0" w:color="000406"/>
                                  </w:tcBorders>
                                  <w:shd w:val="clear" w:color="auto" w:fill="E3E9EE"/>
                                  <w:vAlign w:val="center"/>
                                </w:tcPr>
                                <w:p w14:paraId="6444868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154 </w:t>
                                  </w:r>
                                </w:p>
                              </w:tc>
                              <w:tc>
                                <w:tcPr>
                                  <w:tcW w:w="837" w:type="dxa"/>
                                  <w:tcBorders>
                                    <w:left w:val="single" w:sz="4" w:space="0" w:color="000406"/>
                                    <w:right w:val="single" w:sz="4" w:space="0" w:color="000204"/>
                                  </w:tcBorders>
                                  <w:shd w:val="clear" w:color="auto" w:fill="E3E9EE"/>
                                  <w:vAlign w:val="center"/>
                                </w:tcPr>
                                <w:p w14:paraId="33E8FF6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157 </w:t>
                                  </w:r>
                                </w:p>
                              </w:tc>
                            </w:tr>
                            <w:tr w:rsidR="00541A14" w14:paraId="67827370" w14:textId="77777777">
                              <w:trPr>
                                <w:trHeight w:val="156"/>
                              </w:trPr>
                              <w:tc>
                                <w:tcPr>
                                  <w:tcW w:w="1045" w:type="dxa"/>
                                  <w:tcBorders>
                                    <w:left w:val="single" w:sz="4" w:space="0" w:color="000204"/>
                                    <w:right w:val="single" w:sz="4" w:space="0" w:color="000406"/>
                                  </w:tcBorders>
                                  <w:vAlign w:val="center"/>
                                </w:tcPr>
                                <w:p w14:paraId="22403D9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200 </w:t>
                                  </w:r>
                                </w:p>
                              </w:tc>
                              <w:tc>
                                <w:tcPr>
                                  <w:tcW w:w="972" w:type="dxa"/>
                                  <w:tcBorders>
                                    <w:left w:val="single" w:sz="4" w:space="0" w:color="000406"/>
                                    <w:right w:val="single" w:sz="4" w:space="0" w:color="000406"/>
                                  </w:tcBorders>
                                  <w:vAlign w:val="center"/>
                                </w:tcPr>
                                <w:p w14:paraId="1587390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130 </w:t>
                                  </w:r>
                                </w:p>
                              </w:tc>
                              <w:tc>
                                <w:tcPr>
                                  <w:tcW w:w="930" w:type="dxa"/>
                                  <w:tcBorders>
                                    <w:left w:val="single" w:sz="4" w:space="0" w:color="000406"/>
                                    <w:right w:val="single" w:sz="4" w:space="0" w:color="000406"/>
                                  </w:tcBorders>
                                  <w:vAlign w:val="center"/>
                                </w:tcPr>
                                <w:p w14:paraId="7FA26D7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142 </w:t>
                                  </w:r>
                                </w:p>
                              </w:tc>
                              <w:tc>
                                <w:tcPr>
                                  <w:tcW w:w="870" w:type="dxa"/>
                                  <w:tcBorders>
                                    <w:left w:val="single" w:sz="4" w:space="0" w:color="000406"/>
                                    <w:right w:val="single" w:sz="4" w:space="0" w:color="000406"/>
                                  </w:tcBorders>
                                  <w:vAlign w:val="center"/>
                                </w:tcPr>
                                <w:p w14:paraId="154F795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147 </w:t>
                                  </w:r>
                                </w:p>
                              </w:tc>
                              <w:tc>
                                <w:tcPr>
                                  <w:tcW w:w="837" w:type="dxa"/>
                                  <w:tcBorders>
                                    <w:left w:val="single" w:sz="4" w:space="0" w:color="000406"/>
                                    <w:right w:val="single" w:sz="4" w:space="0" w:color="000204"/>
                                  </w:tcBorders>
                                  <w:vAlign w:val="center"/>
                                </w:tcPr>
                                <w:p w14:paraId="24EE5D6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r>
                            <w:tr w:rsidR="00541A14" w14:paraId="1EC7F906" w14:textId="77777777">
                              <w:trPr>
                                <w:trHeight w:val="156"/>
                              </w:trPr>
                              <w:tc>
                                <w:tcPr>
                                  <w:tcW w:w="1045" w:type="dxa"/>
                                  <w:tcBorders>
                                    <w:left w:val="single" w:sz="4" w:space="0" w:color="000204"/>
                                    <w:right w:val="single" w:sz="4" w:space="0" w:color="000406"/>
                                  </w:tcBorders>
                                  <w:shd w:val="clear" w:color="auto" w:fill="E3E9EE"/>
                                  <w:vAlign w:val="center"/>
                                </w:tcPr>
                                <w:p w14:paraId="129377E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400 </w:t>
                                  </w:r>
                                </w:p>
                              </w:tc>
                              <w:tc>
                                <w:tcPr>
                                  <w:tcW w:w="972" w:type="dxa"/>
                                  <w:tcBorders>
                                    <w:left w:val="single" w:sz="4" w:space="0" w:color="000406"/>
                                    <w:right w:val="single" w:sz="4" w:space="0" w:color="000406"/>
                                  </w:tcBorders>
                                  <w:shd w:val="clear" w:color="auto" w:fill="E3E9EE"/>
                                  <w:vAlign w:val="center"/>
                                </w:tcPr>
                                <w:p w14:paraId="3E6C18E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122 </w:t>
                                  </w:r>
                                </w:p>
                              </w:tc>
                              <w:tc>
                                <w:tcPr>
                                  <w:tcW w:w="930" w:type="dxa"/>
                                  <w:tcBorders>
                                    <w:left w:val="single" w:sz="4" w:space="0" w:color="000406"/>
                                    <w:right w:val="single" w:sz="4" w:space="0" w:color="000406"/>
                                  </w:tcBorders>
                                  <w:shd w:val="clear" w:color="auto" w:fill="E3E9EE"/>
                                  <w:vAlign w:val="center"/>
                                </w:tcPr>
                                <w:p w14:paraId="54037DE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135 </w:t>
                                  </w:r>
                                </w:p>
                              </w:tc>
                              <w:tc>
                                <w:tcPr>
                                  <w:tcW w:w="870" w:type="dxa"/>
                                  <w:tcBorders>
                                    <w:left w:val="single" w:sz="4" w:space="0" w:color="000406"/>
                                    <w:right w:val="single" w:sz="4" w:space="0" w:color="000406"/>
                                  </w:tcBorders>
                                  <w:shd w:val="clear" w:color="auto" w:fill="E3E9EE"/>
                                  <w:vAlign w:val="center"/>
                                </w:tcPr>
                                <w:p w14:paraId="2500EA2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140 </w:t>
                                  </w:r>
                                </w:p>
                              </w:tc>
                              <w:tc>
                                <w:tcPr>
                                  <w:tcW w:w="837" w:type="dxa"/>
                                  <w:tcBorders>
                                    <w:left w:val="single" w:sz="4" w:space="0" w:color="000406"/>
                                    <w:right w:val="single" w:sz="4" w:space="0" w:color="000204"/>
                                  </w:tcBorders>
                                  <w:shd w:val="clear" w:color="auto" w:fill="E3E9EE"/>
                                  <w:vAlign w:val="center"/>
                                </w:tcPr>
                                <w:p w14:paraId="2F244DC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144 </w:t>
                                  </w:r>
                                </w:p>
                              </w:tc>
                            </w:tr>
                            <w:tr w:rsidR="00541A14" w14:paraId="3910A5C7" w14:textId="77777777">
                              <w:trPr>
                                <w:trHeight w:val="156"/>
                              </w:trPr>
                              <w:tc>
                                <w:tcPr>
                                  <w:tcW w:w="1045" w:type="dxa"/>
                                  <w:tcBorders>
                                    <w:left w:val="single" w:sz="4" w:space="0" w:color="000204"/>
                                    <w:right w:val="single" w:sz="4" w:space="0" w:color="000406"/>
                                  </w:tcBorders>
                                  <w:vAlign w:val="center"/>
                                </w:tcPr>
                                <w:p w14:paraId="78A9241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800 </w:t>
                                  </w:r>
                                </w:p>
                              </w:tc>
                              <w:tc>
                                <w:tcPr>
                                  <w:tcW w:w="972" w:type="dxa"/>
                                  <w:tcBorders>
                                    <w:left w:val="single" w:sz="4" w:space="0" w:color="000406"/>
                                    <w:right w:val="single" w:sz="4" w:space="0" w:color="000406"/>
                                  </w:tcBorders>
                                  <w:vAlign w:val="center"/>
                                </w:tcPr>
                                <w:p w14:paraId="0BDA2FB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115 </w:t>
                                  </w:r>
                                </w:p>
                              </w:tc>
                              <w:tc>
                                <w:tcPr>
                                  <w:tcW w:w="930" w:type="dxa"/>
                                  <w:tcBorders>
                                    <w:left w:val="single" w:sz="4" w:space="0" w:color="000406"/>
                                    <w:right w:val="single" w:sz="4" w:space="0" w:color="000406"/>
                                  </w:tcBorders>
                                  <w:vAlign w:val="center"/>
                                </w:tcPr>
                                <w:p w14:paraId="4C65638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130 </w:t>
                                  </w:r>
                                </w:p>
                              </w:tc>
                              <w:tc>
                                <w:tcPr>
                                  <w:tcW w:w="870" w:type="dxa"/>
                                  <w:tcBorders>
                                    <w:left w:val="single" w:sz="4" w:space="0" w:color="000406"/>
                                    <w:right w:val="single" w:sz="4" w:space="0" w:color="000406"/>
                                  </w:tcBorders>
                                  <w:vAlign w:val="center"/>
                                </w:tcPr>
                                <w:p w14:paraId="68A75ED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137 </w:t>
                                  </w:r>
                                </w:p>
                              </w:tc>
                              <w:tc>
                                <w:tcPr>
                                  <w:tcW w:w="837" w:type="dxa"/>
                                  <w:tcBorders>
                                    <w:left w:val="single" w:sz="4" w:space="0" w:color="000406"/>
                                    <w:right w:val="single" w:sz="4" w:space="0" w:color="000204"/>
                                  </w:tcBorders>
                                  <w:vAlign w:val="center"/>
                                </w:tcPr>
                                <w:p w14:paraId="77EF796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142 </w:t>
                                  </w:r>
                                </w:p>
                              </w:tc>
                            </w:tr>
                            <w:tr w:rsidR="00541A14" w14:paraId="4EE0BAAB" w14:textId="77777777">
                              <w:trPr>
                                <w:trHeight w:val="156"/>
                              </w:trPr>
                              <w:tc>
                                <w:tcPr>
                                  <w:tcW w:w="1045" w:type="dxa"/>
                                  <w:tcBorders>
                                    <w:left w:val="single" w:sz="4" w:space="0" w:color="000204"/>
                                    <w:right w:val="single" w:sz="4" w:space="0" w:color="000406"/>
                                  </w:tcBorders>
                                  <w:shd w:val="clear" w:color="auto" w:fill="E3E9EE"/>
                                  <w:vAlign w:val="center"/>
                                </w:tcPr>
                                <w:p w14:paraId="4EB4A2D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1000 </w:t>
                                  </w:r>
                                </w:p>
                              </w:tc>
                              <w:tc>
                                <w:tcPr>
                                  <w:tcW w:w="972" w:type="dxa"/>
                                  <w:tcBorders>
                                    <w:left w:val="single" w:sz="4" w:space="0" w:color="000406"/>
                                    <w:right w:val="single" w:sz="4" w:space="0" w:color="000406"/>
                                  </w:tcBorders>
                                  <w:shd w:val="clear" w:color="auto" w:fill="E3E9EE"/>
                                  <w:vAlign w:val="center"/>
                                </w:tcPr>
                                <w:p w14:paraId="02D7693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113 </w:t>
                                  </w:r>
                                </w:p>
                              </w:tc>
                              <w:tc>
                                <w:tcPr>
                                  <w:tcW w:w="930" w:type="dxa"/>
                                  <w:tcBorders>
                                    <w:left w:val="single" w:sz="4" w:space="0" w:color="000406"/>
                                    <w:right w:val="single" w:sz="4" w:space="0" w:color="000406"/>
                                  </w:tcBorders>
                                  <w:shd w:val="clear" w:color="auto" w:fill="E3E9EE"/>
                                  <w:vAlign w:val="center"/>
                                </w:tcPr>
                                <w:p w14:paraId="1CEB7643"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129 </w:t>
                                  </w:r>
                                </w:p>
                              </w:tc>
                              <w:tc>
                                <w:tcPr>
                                  <w:tcW w:w="870" w:type="dxa"/>
                                  <w:tcBorders>
                                    <w:left w:val="single" w:sz="4" w:space="0" w:color="000406"/>
                                    <w:right w:val="single" w:sz="4" w:space="0" w:color="000406"/>
                                  </w:tcBorders>
                                  <w:shd w:val="clear" w:color="auto" w:fill="E3E9EE"/>
                                  <w:vAlign w:val="center"/>
                                </w:tcPr>
                                <w:p w14:paraId="1024ACA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137 </w:t>
                                  </w:r>
                                </w:p>
                              </w:tc>
                              <w:tc>
                                <w:tcPr>
                                  <w:tcW w:w="837" w:type="dxa"/>
                                  <w:tcBorders>
                                    <w:left w:val="single" w:sz="4" w:space="0" w:color="000406"/>
                                    <w:right w:val="single" w:sz="4" w:space="0" w:color="000204"/>
                                  </w:tcBorders>
                                  <w:shd w:val="clear" w:color="auto" w:fill="E3E9EE"/>
                                  <w:vAlign w:val="center"/>
                                </w:tcPr>
                                <w:p w14:paraId="6A014C8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144 </w:t>
                                  </w:r>
                                </w:p>
                              </w:tc>
                            </w:tr>
                            <w:tr w:rsidR="00541A14" w14:paraId="60A472C5" w14:textId="77777777">
                              <w:trPr>
                                <w:trHeight w:val="156"/>
                              </w:trPr>
                              <w:tc>
                                <w:tcPr>
                                  <w:tcW w:w="1045" w:type="dxa"/>
                                  <w:tcBorders>
                                    <w:left w:val="single" w:sz="4" w:space="0" w:color="000204"/>
                                    <w:right w:val="single" w:sz="4" w:space="0" w:color="000406"/>
                                  </w:tcBorders>
                                  <w:vAlign w:val="center"/>
                                </w:tcPr>
                                <w:p w14:paraId="1E6608B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1250 </w:t>
                                  </w:r>
                                </w:p>
                              </w:tc>
                              <w:tc>
                                <w:tcPr>
                                  <w:tcW w:w="972" w:type="dxa"/>
                                  <w:tcBorders>
                                    <w:left w:val="single" w:sz="4" w:space="0" w:color="000406"/>
                                    <w:right w:val="single" w:sz="4" w:space="0" w:color="000406"/>
                                  </w:tcBorders>
                                  <w:vAlign w:val="center"/>
                                </w:tcPr>
                                <w:p w14:paraId="4B6A139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112 </w:t>
                                  </w:r>
                                </w:p>
                              </w:tc>
                              <w:tc>
                                <w:tcPr>
                                  <w:tcW w:w="930" w:type="dxa"/>
                                  <w:tcBorders>
                                    <w:left w:val="single" w:sz="4" w:space="0" w:color="000406"/>
                                    <w:right w:val="single" w:sz="4" w:space="0" w:color="000406"/>
                                  </w:tcBorders>
                                  <w:vAlign w:val="center"/>
                                </w:tcPr>
                                <w:p w14:paraId="3F7EC5B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129 </w:t>
                                  </w:r>
                                </w:p>
                              </w:tc>
                              <w:tc>
                                <w:tcPr>
                                  <w:tcW w:w="870" w:type="dxa"/>
                                  <w:tcBorders>
                                    <w:left w:val="single" w:sz="4" w:space="0" w:color="000406"/>
                                    <w:right w:val="single" w:sz="4" w:space="0" w:color="000406"/>
                                  </w:tcBorders>
                                  <w:vAlign w:val="center"/>
                                </w:tcPr>
                                <w:p w14:paraId="7D742EA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138 </w:t>
                                  </w:r>
                                </w:p>
                              </w:tc>
                              <w:tc>
                                <w:tcPr>
                                  <w:tcW w:w="837" w:type="dxa"/>
                                  <w:tcBorders>
                                    <w:left w:val="single" w:sz="4" w:space="0" w:color="000406"/>
                                    <w:right w:val="single" w:sz="4" w:space="0" w:color="000204"/>
                                  </w:tcBorders>
                                  <w:vAlign w:val="center"/>
                                </w:tcPr>
                                <w:p w14:paraId="6D2FDFA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146 </w:t>
                                  </w:r>
                                </w:p>
                              </w:tc>
                            </w:tr>
                            <w:tr w:rsidR="00541A14" w14:paraId="1A994A2C" w14:textId="77777777">
                              <w:trPr>
                                <w:trHeight w:val="156"/>
                              </w:trPr>
                              <w:tc>
                                <w:tcPr>
                                  <w:tcW w:w="1045" w:type="dxa"/>
                                  <w:tcBorders>
                                    <w:left w:val="single" w:sz="4" w:space="0" w:color="000204"/>
                                    <w:right w:val="single" w:sz="4" w:space="0" w:color="000406"/>
                                  </w:tcBorders>
                                  <w:shd w:val="clear" w:color="auto" w:fill="E3E9EE"/>
                                  <w:vAlign w:val="center"/>
                                </w:tcPr>
                                <w:p w14:paraId="1FD3CCB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1600 </w:t>
                                  </w:r>
                                </w:p>
                              </w:tc>
                              <w:tc>
                                <w:tcPr>
                                  <w:tcW w:w="972" w:type="dxa"/>
                                  <w:tcBorders>
                                    <w:left w:val="single" w:sz="4" w:space="0" w:color="000406"/>
                                    <w:right w:val="single" w:sz="4" w:space="0" w:color="000406"/>
                                  </w:tcBorders>
                                  <w:shd w:val="clear" w:color="auto" w:fill="E3E9EE"/>
                                  <w:vAlign w:val="center"/>
                                </w:tcPr>
                                <w:p w14:paraId="1B60E6C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 </w:t>
                                  </w:r>
                                </w:p>
                              </w:tc>
                              <w:tc>
                                <w:tcPr>
                                  <w:tcW w:w="930" w:type="dxa"/>
                                  <w:tcBorders>
                                    <w:left w:val="single" w:sz="4" w:space="0" w:color="000406"/>
                                    <w:right w:val="single" w:sz="4" w:space="0" w:color="000406"/>
                                  </w:tcBorders>
                                  <w:shd w:val="clear" w:color="auto" w:fill="E3E9EE"/>
                                  <w:vAlign w:val="center"/>
                                </w:tcPr>
                                <w:p w14:paraId="6F81AAB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130 </w:t>
                                  </w:r>
                                </w:p>
                              </w:tc>
                              <w:tc>
                                <w:tcPr>
                                  <w:tcW w:w="870" w:type="dxa"/>
                                  <w:tcBorders>
                                    <w:left w:val="single" w:sz="4" w:space="0" w:color="000406"/>
                                    <w:right w:val="single" w:sz="4" w:space="0" w:color="000406"/>
                                  </w:tcBorders>
                                  <w:shd w:val="clear" w:color="auto" w:fill="E3E9EE"/>
                                  <w:vAlign w:val="center"/>
                                </w:tcPr>
                                <w:p w14:paraId="5C7F338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140 </w:t>
                                  </w:r>
                                </w:p>
                              </w:tc>
                              <w:tc>
                                <w:tcPr>
                                  <w:tcW w:w="837" w:type="dxa"/>
                                  <w:tcBorders>
                                    <w:left w:val="single" w:sz="4" w:space="0" w:color="000406"/>
                                    <w:right w:val="single" w:sz="4" w:space="0" w:color="000204"/>
                                  </w:tcBorders>
                                  <w:shd w:val="clear" w:color="auto" w:fill="E3E9EE"/>
                                  <w:vAlign w:val="center"/>
                                </w:tcPr>
                                <w:p w14:paraId="16E998D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r>
                            <w:tr w:rsidR="00541A14" w14:paraId="04DDE129" w14:textId="77777777">
                              <w:trPr>
                                <w:trHeight w:val="157"/>
                              </w:trPr>
                              <w:tc>
                                <w:tcPr>
                                  <w:tcW w:w="1045" w:type="dxa"/>
                                  <w:tcBorders>
                                    <w:left w:val="single" w:sz="4" w:space="0" w:color="000204"/>
                                    <w:right w:val="single" w:sz="4" w:space="0" w:color="000406"/>
                                  </w:tcBorders>
                                  <w:vAlign w:val="center"/>
                                </w:tcPr>
                                <w:p w14:paraId="05BF3A3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2000 </w:t>
                                  </w:r>
                                </w:p>
                              </w:tc>
                              <w:tc>
                                <w:tcPr>
                                  <w:tcW w:w="972" w:type="dxa"/>
                                  <w:tcBorders>
                                    <w:left w:val="single" w:sz="4" w:space="0" w:color="000406"/>
                                    <w:right w:val="single" w:sz="4" w:space="0" w:color="000406"/>
                                  </w:tcBorders>
                                  <w:vAlign w:val="center"/>
                                </w:tcPr>
                                <w:p w14:paraId="1428838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109 </w:t>
                                  </w:r>
                                </w:p>
                              </w:tc>
                              <w:tc>
                                <w:tcPr>
                                  <w:tcW w:w="930" w:type="dxa"/>
                                  <w:tcBorders>
                                    <w:left w:val="single" w:sz="4" w:space="0" w:color="000406"/>
                                    <w:right w:val="single" w:sz="4" w:space="0" w:color="000406"/>
                                  </w:tcBorders>
                                  <w:vAlign w:val="center"/>
                                </w:tcPr>
                                <w:p w14:paraId="714BADE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870" w:type="dxa"/>
                                  <w:tcBorders>
                                    <w:left w:val="single" w:sz="4" w:space="0" w:color="000406"/>
                                    <w:right w:val="single" w:sz="4" w:space="0" w:color="000406"/>
                                  </w:tcBorders>
                                  <w:vAlign w:val="center"/>
                                </w:tcPr>
                                <w:p w14:paraId="7F5C915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145 </w:t>
                                  </w:r>
                                </w:p>
                              </w:tc>
                              <w:tc>
                                <w:tcPr>
                                  <w:tcW w:w="837" w:type="dxa"/>
                                  <w:tcBorders>
                                    <w:left w:val="single" w:sz="4" w:space="0" w:color="000406"/>
                                    <w:right w:val="single" w:sz="4" w:space="0" w:color="000204"/>
                                  </w:tcBorders>
                                  <w:vAlign w:val="center"/>
                                </w:tcPr>
                                <w:p w14:paraId="1D41EAE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156 </w:t>
                                  </w:r>
                                </w:p>
                              </w:tc>
                            </w:tr>
                            <w:tr w:rsidR="00541A14" w14:paraId="6E076157" w14:textId="77777777">
                              <w:trPr>
                                <w:trHeight w:val="156"/>
                              </w:trPr>
                              <w:tc>
                                <w:tcPr>
                                  <w:tcW w:w="1045" w:type="dxa"/>
                                  <w:tcBorders>
                                    <w:left w:val="single" w:sz="4" w:space="0" w:color="000204"/>
                                    <w:right w:val="single" w:sz="4" w:space="0" w:color="000406"/>
                                  </w:tcBorders>
                                  <w:shd w:val="clear" w:color="auto" w:fill="E3E9EE"/>
                                  <w:vAlign w:val="center"/>
                                </w:tcPr>
                                <w:p w14:paraId="4F13A6A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2500 </w:t>
                                  </w:r>
                                </w:p>
                              </w:tc>
                              <w:tc>
                                <w:tcPr>
                                  <w:tcW w:w="972" w:type="dxa"/>
                                  <w:tcBorders>
                                    <w:left w:val="single" w:sz="4" w:space="0" w:color="000406"/>
                                    <w:right w:val="single" w:sz="4" w:space="0" w:color="000406"/>
                                  </w:tcBorders>
                                  <w:shd w:val="clear" w:color="auto" w:fill="E3E9EE"/>
                                  <w:vAlign w:val="center"/>
                                </w:tcPr>
                                <w:p w14:paraId="3FEE314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108 </w:t>
                                  </w:r>
                                </w:p>
                              </w:tc>
                              <w:tc>
                                <w:tcPr>
                                  <w:tcW w:w="930" w:type="dxa"/>
                                  <w:tcBorders>
                                    <w:left w:val="single" w:sz="4" w:space="0" w:color="000406"/>
                                    <w:right w:val="single" w:sz="4" w:space="0" w:color="000406"/>
                                  </w:tcBorders>
                                  <w:shd w:val="clear" w:color="auto" w:fill="E3E9EE"/>
                                  <w:vAlign w:val="center"/>
                                </w:tcPr>
                                <w:p w14:paraId="2FE6843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136 </w:t>
                                  </w:r>
                                </w:p>
                              </w:tc>
                              <w:tc>
                                <w:tcPr>
                                  <w:tcW w:w="870" w:type="dxa"/>
                                  <w:tcBorders>
                                    <w:left w:val="single" w:sz="4" w:space="0" w:color="000406"/>
                                    <w:right w:val="single" w:sz="4" w:space="0" w:color="000406"/>
                                  </w:tcBorders>
                                  <w:shd w:val="clear" w:color="auto" w:fill="E3E9EE"/>
                                  <w:vAlign w:val="center"/>
                                </w:tcPr>
                                <w:p w14:paraId="396ABD4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151 </w:t>
                                  </w:r>
                                </w:p>
                              </w:tc>
                              <w:tc>
                                <w:tcPr>
                                  <w:tcW w:w="837" w:type="dxa"/>
                                  <w:tcBorders>
                                    <w:left w:val="single" w:sz="4" w:space="0" w:color="000406"/>
                                    <w:right w:val="single" w:sz="4" w:space="0" w:color="000204"/>
                                  </w:tcBorders>
                                  <w:shd w:val="clear" w:color="auto" w:fill="E3E9EE"/>
                                  <w:vAlign w:val="center"/>
                                </w:tcPr>
                                <w:p w14:paraId="4EECD07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166 </w:t>
                                  </w:r>
                                </w:p>
                              </w:tc>
                            </w:tr>
                            <w:tr w:rsidR="00541A14" w14:paraId="2D7E1FAB" w14:textId="77777777">
                              <w:trPr>
                                <w:trHeight w:val="156"/>
                              </w:trPr>
                              <w:tc>
                                <w:tcPr>
                                  <w:tcW w:w="1045" w:type="dxa"/>
                                  <w:tcBorders>
                                    <w:left w:val="single" w:sz="4" w:space="0" w:color="000204"/>
                                    <w:right w:val="single" w:sz="4" w:space="0" w:color="000406"/>
                                  </w:tcBorders>
                                  <w:vAlign w:val="center"/>
                                </w:tcPr>
                                <w:p w14:paraId="2C2E323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3150 </w:t>
                                  </w:r>
                                </w:p>
                              </w:tc>
                              <w:tc>
                                <w:tcPr>
                                  <w:tcW w:w="972" w:type="dxa"/>
                                  <w:tcBorders>
                                    <w:left w:val="single" w:sz="4" w:space="0" w:color="000406"/>
                                    <w:right w:val="single" w:sz="4" w:space="0" w:color="000406"/>
                                  </w:tcBorders>
                                  <w:vAlign w:val="center"/>
                                </w:tcPr>
                                <w:p w14:paraId="0348C87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107 </w:t>
                                  </w:r>
                                </w:p>
                              </w:tc>
                              <w:tc>
                                <w:tcPr>
                                  <w:tcW w:w="930" w:type="dxa"/>
                                  <w:tcBorders>
                                    <w:left w:val="single" w:sz="4" w:space="0" w:color="000406"/>
                                    <w:right w:val="single" w:sz="4" w:space="0" w:color="000406"/>
                                  </w:tcBorders>
                                  <w:vAlign w:val="center"/>
                                </w:tcPr>
                                <w:p w14:paraId="1A3E387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141 </w:t>
                                  </w:r>
                                </w:p>
                              </w:tc>
                              <w:tc>
                                <w:tcPr>
                                  <w:tcW w:w="870" w:type="dxa"/>
                                  <w:tcBorders>
                                    <w:left w:val="single" w:sz="4" w:space="0" w:color="000406"/>
                                    <w:right w:val="single" w:sz="4" w:space="0" w:color="000406"/>
                                  </w:tcBorders>
                                  <w:vAlign w:val="center"/>
                                </w:tcPr>
                                <w:p w14:paraId="60092DE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160 </w:t>
                                  </w:r>
                                </w:p>
                              </w:tc>
                              <w:tc>
                                <w:tcPr>
                                  <w:tcW w:w="837" w:type="dxa"/>
                                  <w:tcBorders>
                                    <w:left w:val="single" w:sz="4" w:space="0" w:color="000406"/>
                                    <w:right w:val="single" w:sz="4" w:space="0" w:color="000204"/>
                                  </w:tcBorders>
                                  <w:vAlign w:val="center"/>
                                </w:tcPr>
                                <w:p w14:paraId="5B32233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179 </w:t>
                                  </w:r>
                                </w:p>
                              </w:tc>
                            </w:tr>
                            <w:tr w:rsidR="00541A14" w14:paraId="64B6C169" w14:textId="77777777">
                              <w:trPr>
                                <w:trHeight w:val="155"/>
                              </w:trPr>
                              <w:tc>
                                <w:tcPr>
                                  <w:tcW w:w="1045" w:type="dxa"/>
                                  <w:tcBorders>
                                    <w:left w:val="single" w:sz="4" w:space="0" w:color="000204"/>
                                    <w:bottom w:val="single" w:sz="4" w:space="0" w:color="000000"/>
                                    <w:right w:val="single" w:sz="4" w:space="0" w:color="000406"/>
                                  </w:tcBorders>
                                  <w:shd w:val="clear" w:color="auto" w:fill="E3E9EE"/>
                                  <w:vAlign w:val="center"/>
                                </w:tcPr>
                                <w:p w14:paraId="5A91B46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4000 </w:t>
                                  </w:r>
                                </w:p>
                              </w:tc>
                              <w:tc>
                                <w:tcPr>
                                  <w:tcW w:w="972" w:type="dxa"/>
                                  <w:tcBorders>
                                    <w:left w:val="single" w:sz="4" w:space="0" w:color="000406"/>
                                    <w:bottom w:val="single" w:sz="4" w:space="0" w:color="000000"/>
                                    <w:right w:val="single" w:sz="4" w:space="0" w:color="000406"/>
                                  </w:tcBorders>
                                  <w:shd w:val="clear" w:color="auto" w:fill="E3E9EE"/>
                                  <w:vAlign w:val="center"/>
                                </w:tcPr>
                                <w:p w14:paraId="22C349C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109 </w:t>
                                  </w:r>
                                </w:p>
                              </w:tc>
                              <w:tc>
                                <w:tcPr>
                                  <w:tcW w:w="930" w:type="dxa"/>
                                  <w:tcBorders>
                                    <w:left w:val="single" w:sz="4" w:space="0" w:color="000406"/>
                                    <w:bottom w:val="single" w:sz="4" w:space="0" w:color="000000"/>
                                    <w:right w:val="single" w:sz="4" w:space="0" w:color="000406"/>
                                  </w:tcBorders>
                                  <w:shd w:val="clear" w:color="auto" w:fill="E3E9EE"/>
                                  <w:vAlign w:val="center"/>
                                </w:tcPr>
                                <w:p w14:paraId="38F2607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c>
                                <w:tcPr>
                                  <w:tcW w:w="870" w:type="dxa"/>
                                  <w:tcBorders>
                                    <w:left w:val="single" w:sz="4" w:space="0" w:color="000406"/>
                                    <w:bottom w:val="single" w:sz="4" w:space="0" w:color="000000"/>
                                    <w:right w:val="single" w:sz="4" w:space="0" w:color="000406"/>
                                  </w:tcBorders>
                                  <w:shd w:val="clear" w:color="auto" w:fill="E3E9EE"/>
                                  <w:vAlign w:val="center"/>
                                </w:tcPr>
                                <w:p w14:paraId="456C654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177 </w:t>
                                  </w:r>
                                </w:p>
                              </w:tc>
                              <w:tc>
                                <w:tcPr>
                                  <w:tcW w:w="837" w:type="dxa"/>
                                  <w:tcBorders>
                                    <w:left w:val="single" w:sz="4" w:space="0" w:color="000406"/>
                                    <w:bottom w:val="single" w:sz="4" w:space="0" w:color="000000"/>
                                    <w:right w:val="single" w:sz="4" w:space="0" w:color="000204"/>
                                  </w:tcBorders>
                                  <w:shd w:val="clear" w:color="auto" w:fill="E3E9EE"/>
                                  <w:vAlign w:val="center"/>
                                </w:tcPr>
                                <w:p w14:paraId="6A76A57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199 </w:t>
                                  </w:r>
                                </w:p>
                              </w:tc>
                            </w:tr>
                          </w:tbl>
                          <w:p w14:paraId="4910F511"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48" type="#_x0000_t202" style="position:absolute;margin-left:60.85pt;margin-top:109.15pt;width:272.7pt;height:317.15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" o:allowincell="f" filled="f" stroked="f">
                <v:textbox>
                  <w:txbxContent>
                    <w:p w14:paraId="58CD3383" w14:textId="77777777" w:rsidR="00000000" w:rsidRDefault="00A450E1">
                      <w:pPr>
                        <w:widowControl w:val="0"/>
                        <w:autoSpaceDE w:val="0"/>
                        <w:autoSpaceDN w:val="0"/>
                        <w:adjustRightInd w:val="0"/>
                        <w:spacing w:after="240"/>
                        <w:rPr>
                          <w:rFonts w:ascii="Palatino" w:hAnsi="Palatino" w:cs="Palatino"/>
                          <w:color w:val="000000"/>
                        </w:rPr>
                      </w:pPr>
                      <w:r>
                        <w:rPr>
                          <w:rFonts w:ascii="Palatino" w:hAnsi="Palatino" w:cs="Palatino"/>
                          <w:b/>
                          <w:bCs/>
                        </w:rPr>
                        <w:t xml:space="preserve">table 19 – Nominal Range </w:t>
                      </w:r>
                    </w:p>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15"/>
                        <w:gridCol w:w="42"/>
                        <w:gridCol w:w="33"/>
                        <w:gridCol w:w="120"/>
                        <w:gridCol w:w="182"/>
                        <w:gridCol w:w="33"/>
                        <w:gridCol w:w="135"/>
                        <w:gridCol w:w="177"/>
                        <w:gridCol w:w="125"/>
                        <w:gridCol w:w="55"/>
                        <w:gridCol w:w="20"/>
                        <w:gridCol w:w="50"/>
                        <w:gridCol w:w="50"/>
                        <w:gridCol w:w="118"/>
                        <w:gridCol w:w="97"/>
                        <w:gridCol w:w="33"/>
                        <w:gridCol w:w="175"/>
                        <w:gridCol w:w="197"/>
                        <w:gridCol w:w="112"/>
                        <w:gridCol w:w="5"/>
                        <w:gridCol w:w="123"/>
                        <w:gridCol w:w="22"/>
                        <w:gridCol w:w="15"/>
                        <w:gridCol w:w="265"/>
                        <w:gridCol w:w="240"/>
                        <w:gridCol w:w="60"/>
                        <w:gridCol w:w="237"/>
                        <w:gridCol w:w="38"/>
                        <w:gridCol w:w="15"/>
                        <w:gridCol w:w="25"/>
                        <w:gridCol w:w="50"/>
                        <w:gridCol w:w="370"/>
                        <w:gridCol w:w="5"/>
                        <w:gridCol w:w="5"/>
                        <w:gridCol w:w="12"/>
                        <w:gridCol w:w="47"/>
                        <w:gridCol w:w="168"/>
                        <w:gridCol w:w="52"/>
                        <w:gridCol w:w="110"/>
                        <w:gridCol w:w="12"/>
                        <w:gridCol w:w="108"/>
                        <w:gridCol w:w="503"/>
                        <w:gridCol w:w="47"/>
                        <w:gridCol w:w="355"/>
                        <w:gridCol w:w="10"/>
                        <w:gridCol w:w="371"/>
                        <w:gridCol w:w="509"/>
                        <w:gridCol w:w="183"/>
                        <w:gridCol w:w="57"/>
                        <w:gridCol w:w="283"/>
                        <w:gridCol w:w="1892"/>
                        <w:gridCol w:w="77"/>
                        <w:gridCol w:w="15"/>
                        <w:gridCol w:w="8"/>
                      </w:tblGrid>
                      <w:tr w:rsidR="00000000" w14:paraId="0C7D0CCF" w14:textId="77777777">
                        <w:tblPrEx>
                          <w:tblCellMar>
                            <w:top w:w="0" w:type="dxa"/>
                            <w:bottom w:w="0" w:type="dxa"/>
                          </w:tblCellMar>
                        </w:tblPrEx>
                        <w:trPr>
                          <w:gridAfter w:val="15"/>
                          <w:wAfter w:w="2217" w:type="dxa"/>
                          <w:trHeight w:val="160"/>
                        </w:trPr>
                        <w:tc>
                          <w:tcPr>
                            <w:tcW w:w="4650" w:type="dxa"/>
                            <w:gridSpan w:val="41"/>
                            <w:tcBorders>
                              <w:top w:val="single" w:sz="4" w:space="0" w:color="001219"/>
                              <w:left w:val="single" w:sz="4" w:space="0" w:color="000204"/>
                              <w:right w:val="single" w:sz="4" w:space="0" w:color="000204"/>
                            </w:tcBorders>
                            <w:shd w:val="clear" w:color="auto" w:fill="01769F"/>
                            <w:vAlign w:val="center"/>
                          </w:tcPr>
                          <w:p w14:paraId="533DFF6E"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Sound Pressure Level </w:t>
                            </w:r>
                          </w:p>
                        </w:tc>
                      </w:tr>
                      <w:tr w:rsidR="00000000" w14:paraId="6B534D81" w14:textId="77777777">
                        <w:tblPrEx>
                          <w:tblCellMar>
                            <w:top w:w="0" w:type="dxa"/>
                            <w:bottom w:w="0" w:type="dxa"/>
                          </w:tblCellMar>
                        </w:tblPrEx>
                        <w:trPr>
                          <w:gridAfter w:val="15"/>
                          <w:wAfter w:w="2216" w:type="dxa"/>
                          <w:trHeight w:val="265"/>
                        </w:trPr>
                        <w:tc>
                          <w:tcPr>
                            <w:tcW w:w="1045" w:type="dxa"/>
                            <w:gridSpan w:val="3"/>
                            <w:tcBorders>
                              <w:left w:val="single" w:sz="4" w:space="0" w:color="000204"/>
                              <w:bottom w:val="single" w:sz="4" w:space="0" w:color="001219"/>
                              <w:right w:val="single" w:sz="4" w:space="0" w:color="000406"/>
                            </w:tcBorders>
                            <w:shd w:val="clear" w:color="auto" w:fill="01769F"/>
                            <w:vAlign w:val="center"/>
                          </w:tcPr>
                          <w:p w14:paraId="34611F9E"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Pn(NM) f(Hz) </w:t>
                            </w:r>
                          </w:p>
                        </w:tc>
                        <w:tc>
                          <w:tcPr>
                            <w:tcW w:w="972" w:type="dxa"/>
                            <w:gridSpan w:val="11"/>
                            <w:tcBorders>
                              <w:left w:val="single" w:sz="4" w:space="0" w:color="000406"/>
                              <w:bottom w:val="single" w:sz="4" w:space="0" w:color="001219"/>
                              <w:right w:val="single" w:sz="4" w:space="0" w:color="000406"/>
                            </w:tcBorders>
                            <w:shd w:val="clear" w:color="auto" w:fill="01769F"/>
                            <w:vAlign w:val="center"/>
                          </w:tcPr>
                          <w:p w14:paraId="0D06AFA4"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0.5 </w:t>
                            </w:r>
                          </w:p>
                        </w:tc>
                        <w:tc>
                          <w:tcPr>
                            <w:tcW w:w="930" w:type="dxa"/>
                            <w:gridSpan w:val="10"/>
                            <w:tcBorders>
                              <w:left w:val="single" w:sz="4" w:space="0" w:color="000406"/>
                              <w:bottom w:val="single" w:sz="4" w:space="0" w:color="001219"/>
                              <w:right w:val="single" w:sz="4" w:space="0" w:color="000406"/>
                            </w:tcBorders>
                            <w:shd w:val="clear" w:color="auto" w:fill="01769F"/>
                            <w:vAlign w:val="center"/>
                          </w:tcPr>
                          <w:p w14:paraId="548CE5BE"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 </w:t>
                            </w:r>
                          </w:p>
                        </w:tc>
                        <w:tc>
                          <w:tcPr>
                            <w:tcW w:w="870" w:type="dxa"/>
                            <w:gridSpan w:val="7"/>
                            <w:tcBorders>
                              <w:left w:val="single" w:sz="4" w:space="0" w:color="000406"/>
                              <w:bottom w:val="single" w:sz="4" w:space="0" w:color="001219"/>
                              <w:right w:val="single" w:sz="4" w:space="0" w:color="000406"/>
                            </w:tcBorders>
                            <w:shd w:val="clear" w:color="auto" w:fill="01769F"/>
                            <w:vAlign w:val="center"/>
                          </w:tcPr>
                          <w:p w14:paraId="3C568895"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1,5 </w:t>
                            </w:r>
                          </w:p>
                        </w:tc>
                        <w:tc>
                          <w:tcPr>
                            <w:tcW w:w="837" w:type="dxa"/>
                            <w:gridSpan w:val="10"/>
                            <w:tcBorders>
                              <w:left w:val="single" w:sz="4" w:space="0" w:color="000406"/>
                              <w:bottom w:val="single" w:sz="4" w:space="0" w:color="001219"/>
                              <w:right w:val="single" w:sz="4" w:space="0" w:color="000204"/>
                            </w:tcBorders>
                            <w:shd w:val="clear" w:color="auto" w:fill="01769F"/>
                            <w:vAlign w:val="center"/>
                          </w:tcPr>
                          <w:p w14:paraId="5EC29ECF"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2 </w:t>
                            </w:r>
                          </w:p>
                        </w:tc>
                      </w:tr>
                      <w:tr w:rsidR="00000000" w14:paraId="719B4923" w14:textId="77777777">
                        <w:tblPrEx>
                          <w:tblCellMar>
                            <w:top w:w="0" w:type="dxa"/>
                            <w:bottom w:w="0" w:type="dxa"/>
                          </w:tblCellMar>
                        </w:tblPrEx>
                        <w:trPr>
                          <w:gridAfter w:val="15"/>
                          <w:wAfter w:w="2216" w:type="dxa"/>
                          <w:trHeight w:val="156"/>
                        </w:trPr>
                        <w:tc>
                          <w:tcPr>
                            <w:tcW w:w="1045" w:type="dxa"/>
                            <w:gridSpan w:val="3"/>
                            <w:tcBorders>
                              <w:top w:val="single" w:sz="4" w:space="0" w:color="001219"/>
                              <w:left w:val="single" w:sz="4" w:space="0" w:color="000204"/>
                              <w:right w:val="single" w:sz="4" w:space="0" w:color="000406"/>
                            </w:tcBorders>
                            <w:shd w:val="clear" w:color="auto" w:fill="E3E9EE"/>
                            <w:vAlign w:val="center"/>
                          </w:tcPr>
                          <w:p w14:paraId="75D133B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 </w:t>
                            </w:r>
                          </w:p>
                        </w:tc>
                        <w:tc>
                          <w:tcPr>
                            <w:tcW w:w="972" w:type="dxa"/>
                            <w:gridSpan w:val="11"/>
                            <w:tcBorders>
                              <w:top w:val="single" w:sz="4" w:space="0" w:color="001219"/>
                              <w:left w:val="single" w:sz="4" w:space="0" w:color="000406"/>
                              <w:right w:val="single" w:sz="4" w:space="0" w:color="000406"/>
                            </w:tcBorders>
                            <w:shd w:val="clear" w:color="auto" w:fill="E3E9EE"/>
                            <w:vAlign w:val="center"/>
                          </w:tcPr>
                          <w:p w14:paraId="75B8E17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162 </w:t>
                            </w:r>
                          </w:p>
                        </w:tc>
                        <w:tc>
                          <w:tcPr>
                            <w:tcW w:w="930" w:type="dxa"/>
                            <w:gridSpan w:val="10"/>
                            <w:tcBorders>
                              <w:top w:val="single" w:sz="4" w:space="0" w:color="001219"/>
                              <w:left w:val="single" w:sz="4" w:space="0" w:color="000406"/>
                              <w:right w:val="single" w:sz="4" w:space="0" w:color="000406"/>
                            </w:tcBorders>
                            <w:shd w:val="clear" w:color="auto" w:fill="E3E9EE"/>
                            <w:vAlign w:val="center"/>
                          </w:tcPr>
                          <w:p w14:paraId="50ADABA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172 </w:t>
                            </w:r>
                          </w:p>
                        </w:tc>
                        <w:tc>
                          <w:tcPr>
                            <w:tcW w:w="870" w:type="dxa"/>
                            <w:gridSpan w:val="7"/>
                            <w:tcBorders>
                              <w:top w:val="single" w:sz="4" w:space="0" w:color="001219"/>
                              <w:left w:val="single" w:sz="4" w:space="0" w:color="000406"/>
                              <w:right w:val="single" w:sz="4" w:space="0" w:color="000406"/>
                            </w:tcBorders>
                            <w:shd w:val="clear" w:color="auto" w:fill="E3E9EE"/>
                            <w:vAlign w:val="center"/>
                          </w:tcPr>
                          <w:p w14:paraId="319F0C6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176 </w:t>
                            </w:r>
                          </w:p>
                        </w:tc>
                        <w:tc>
                          <w:tcPr>
                            <w:tcW w:w="837" w:type="dxa"/>
                            <w:gridSpan w:val="10"/>
                            <w:tcBorders>
                              <w:top w:val="single" w:sz="4" w:space="0" w:color="001219"/>
                              <w:left w:val="single" w:sz="4" w:space="0" w:color="000406"/>
                              <w:right w:val="single" w:sz="4" w:space="0" w:color="000204"/>
                            </w:tcBorders>
                            <w:shd w:val="clear" w:color="auto" w:fill="E3E9EE"/>
                            <w:vAlign w:val="center"/>
                          </w:tcPr>
                          <w:p w14:paraId="3DAB59A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178 </w:t>
                            </w:r>
                          </w:p>
                        </w:tc>
                      </w:tr>
                      <w:tr w:rsidR="00000000" w14:paraId="2CCE4481" w14:textId="77777777">
                        <w:tblPrEx>
                          <w:tblCellMar>
                            <w:top w:w="0" w:type="dxa"/>
                            <w:bottom w:w="0" w:type="dxa"/>
                          </w:tblCellMar>
                        </w:tblPrEx>
                        <w:trPr>
                          <w:gridAfter w:val="15"/>
                          <w:wAfter w:w="2216" w:type="dxa"/>
                          <w:trHeight w:val="157"/>
                        </w:trPr>
                        <w:tc>
                          <w:tcPr>
                            <w:tcW w:w="1045" w:type="dxa"/>
                            <w:gridSpan w:val="3"/>
                            <w:tcBorders>
                              <w:left w:val="single" w:sz="4" w:space="0" w:color="000204"/>
                              <w:right w:val="single" w:sz="4" w:space="0" w:color="000406"/>
                            </w:tcBorders>
                            <w:vAlign w:val="center"/>
                          </w:tcPr>
                          <w:p w14:paraId="6D51AC0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50 </w:t>
                            </w:r>
                          </w:p>
                        </w:tc>
                        <w:tc>
                          <w:tcPr>
                            <w:tcW w:w="972" w:type="dxa"/>
                            <w:gridSpan w:val="11"/>
                            <w:tcBorders>
                              <w:left w:val="single" w:sz="4" w:space="0" w:color="000406"/>
                              <w:right w:val="single" w:sz="4" w:space="0" w:color="000406"/>
                            </w:tcBorders>
                            <w:vAlign w:val="center"/>
                          </w:tcPr>
                          <w:p w14:paraId="7140E94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149 </w:t>
                            </w:r>
                          </w:p>
                        </w:tc>
                        <w:tc>
                          <w:tcPr>
                            <w:tcW w:w="930" w:type="dxa"/>
                            <w:gridSpan w:val="10"/>
                            <w:tcBorders>
                              <w:left w:val="single" w:sz="4" w:space="0" w:color="000406"/>
                              <w:right w:val="single" w:sz="4" w:space="0" w:color="000406"/>
                            </w:tcBorders>
                            <w:vAlign w:val="center"/>
                          </w:tcPr>
                          <w:p w14:paraId="6242EC56"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161 </w:t>
                            </w:r>
                          </w:p>
                        </w:tc>
                        <w:tc>
                          <w:tcPr>
                            <w:tcW w:w="870" w:type="dxa"/>
                            <w:gridSpan w:val="7"/>
                            <w:tcBorders>
                              <w:left w:val="single" w:sz="4" w:space="0" w:color="000406"/>
                              <w:right w:val="single" w:sz="4" w:space="0" w:color="000406"/>
                            </w:tcBorders>
                            <w:vAlign w:val="center"/>
                          </w:tcPr>
                          <w:p w14:paraId="3C71967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165 </w:t>
                            </w:r>
                          </w:p>
                        </w:tc>
                        <w:tc>
                          <w:tcPr>
                            <w:tcW w:w="837" w:type="dxa"/>
                            <w:gridSpan w:val="10"/>
                            <w:tcBorders>
                              <w:left w:val="single" w:sz="4" w:space="0" w:color="000406"/>
                              <w:right w:val="single" w:sz="4" w:space="0" w:color="000204"/>
                            </w:tcBorders>
                            <w:vAlign w:val="center"/>
                          </w:tcPr>
                          <w:p w14:paraId="6CA5B99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168 </w:t>
                            </w:r>
                          </w:p>
                        </w:tc>
                      </w:tr>
                      <w:tr w:rsidR="00000000" w14:paraId="0C9A9B30" w14:textId="77777777">
                        <w:tblPrEx>
                          <w:tblCellMar>
                            <w:top w:w="0" w:type="dxa"/>
                            <w:bottom w:w="0" w:type="dxa"/>
                          </w:tblCellMar>
                        </w:tblPrEx>
                        <w:trPr>
                          <w:gridAfter w:val="15"/>
                          <w:wAfter w:w="2216" w:type="dxa"/>
                          <w:trHeight w:val="156"/>
                        </w:trPr>
                        <w:tc>
                          <w:tcPr>
                            <w:tcW w:w="1045" w:type="dxa"/>
                            <w:gridSpan w:val="3"/>
                            <w:tcBorders>
                              <w:left w:val="single" w:sz="4" w:space="0" w:color="000204"/>
                              <w:right w:val="single" w:sz="4" w:space="0" w:color="000406"/>
                            </w:tcBorders>
                            <w:shd w:val="clear" w:color="auto" w:fill="E3E9EE"/>
                            <w:vAlign w:val="center"/>
                          </w:tcPr>
                          <w:p w14:paraId="0026D09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100 </w:t>
                            </w:r>
                          </w:p>
                        </w:tc>
                        <w:tc>
                          <w:tcPr>
                            <w:tcW w:w="972" w:type="dxa"/>
                            <w:gridSpan w:val="11"/>
                            <w:tcBorders>
                              <w:left w:val="single" w:sz="4" w:space="0" w:color="000406"/>
                              <w:right w:val="single" w:sz="4" w:space="0" w:color="000406"/>
                            </w:tcBorders>
                            <w:shd w:val="clear" w:color="auto" w:fill="E3E9EE"/>
                            <w:vAlign w:val="center"/>
                          </w:tcPr>
                          <w:p w14:paraId="6C1C445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138 </w:t>
                            </w:r>
                          </w:p>
                        </w:tc>
                        <w:tc>
                          <w:tcPr>
                            <w:tcW w:w="930" w:type="dxa"/>
                            <w:gridSpan w:val="10"/>
                            <w:tcBorders>
                              <w:left w:val="single" w:sz="4" w:space="0" w:color="000406"/>
                              <w:right w:val="single" w:sz="4" w:space="0" w:color="000406"/>
                            </w:tcBorders>
                            <w:shd w:val="clear" w:color="auto" w:fill="E3E9EE"/>
                            <w:vAlign w:val="center"/>
                          </w:tcPr>
                          <w:p w14:paraId="137756A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c>
                          <w:tcPr>
                            <w:tcW w:w="870" w:type="dxa"/>
                            <w:gridSpan w:val="7"/>
                            <w:tcBorders>
                              <w:left w:val="single" w:sz="4" w:space="0" w:color="000406"/>
                              <w:right w:val="single" w:sz="4" w:space="0" w:color="000406"/>
                            </w:tcBorders>
                            <w:shd w:val="clear" w:color="auto" w:fill="E3E9EE"/>
                            <w:vAlign w:val="center"/>
                          </w:tcPr>
                          <w:p w14:paraId="6444868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154 </w:t>
                            </w:r>
                          </w:p>
                        </w:tc>
                        <w:tc>
                          <w:tcPr>
                            <w:tcW w:w="837" w:type="dxa"/>
                            <w:gridSpan w:val="10"/>
                            <w:tcBorders>
                              <w:left w:val="single" w:sz="4" w:space="0" w:color="000406"/>
                              <w:right w:val="single" w:sz="4" w:space="0" w:color="000204"/>
                            </w:tcBorders>
                            <w:shd w:val="clear" w:color="auto" w:fill="E3E9EE"/>
                            <w:vAlign w:val="center"/>
                          </w:tcPr>
                          <w:p w14:paraId="33E8FF6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157 </w:t>
                            </w:r>
                          </w:p>
                        </w:tc>
                      </w:tr>
                      <w:tr w:rsidR="00000000" w14:paraId="67827370" w14:textId="77777777">
                        <w:tblPrEx>
                          <w:tblCellMar>
                            <w:top w:w="0" w:type="dxa"/>
                            <w:bottom w:w="0" w:type="dxa"/>
                          </w:tblCellMar>
                        </w:tblPrEx>
                        <w:trPr>
                          <w:gridAfter w:val="15"/>
                          <w:wAfter w:w="2216" w:type="dxa"/>
                          <w:trHeight w:val="156"/>
                        </w:trPr>
                        <w:tc>
                          <w:tcPr>
                            <w:tcW w:w="1045" w:type="dxa"/>
                            <w:gridSpan w:val="3"/>
                            <w:tcBorders>
                              <w:left w:val="single" w:sz="4" w:space="0" w:color="000204"/>
                              <w:right w:val="single" w:sz="4" w:space="0" w:color="000406"/>
                            </w:tcBorders>
                            <w:vAlign w:val="center"/>
                          </w:tcPr>
                          <w:p w14:paraId="22403D9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200 </w:t>
                            </w:r>
                          </w:p>
                        </w:tc>
                        <w:tc>
                          <w:tcPr>
                            <w:tcW w:w="972" w:type="dxa"/>
                            <w:gridSpan w:val="11"/>
                            <w:tcBorders>
                              <w:left w:val="single" w:sz="4" w:space="0" w:color="000406"/>
                              <w:right w:val="single" w:sz="4" w:space="0" w:color="000406"/>
                            </w:tcBorders>
                            <w:vAlign w:val="center"/>
                          </w:tcPr>
                          <w:p w14:paraId="1587390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130 </w:t>
                            </w:r>
                          </w:p>
                        </w:tc>
                        <w:tc>
                          <w:tcPr>
                            <w:tcW w:w="930" w:type="dxa"/>
                            <w:gridSpan w:val="10"/>
                            <w:tcBorders>
                              <w:left w:val="single" w:sz="4" w:space="0" w:color="000406"/>
                              <w:right w:val="single" w:sz="4" w:space="0" w:color="000406"/>
                            </w:tcBorders>
                            <w:vAlign w:val="center"/>
                          </w:tcPr>
                          <w:p w14:paraId="7FA26D7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142 </w:t>
                            </w:r>
                          </w:p>
                        </w:tc>
                        <w:tc>
                          <w:tcPr>
                            <w:tcW w:w="870" w:type="dxa"/>
                            <w:gridSpan w:val="7"/>
                            <w:tcBorders>
                              <w:left w:val="single" w:sz="4" w:space="0" w:color="000406"/>
                              <w:right w:val="single" w:sz="4" w:space="0" w:color="000406"/>
                            </w:tcBorders>
                            <w:vAlign w:val="center"/>
                          </w:tcPr>
                          <w:p w14:paraId="154F795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147 </w:t>
                            </w:r>
                          </w:p>
                        </w:tc>
                        <w:tc>
                          <w:tcPr>
                            <w:tcW w:w="837" w:type="dxa"/>
                            <w:gridSpan w:val="10"/>
                            <w:tcBorders>
                              <w:left w:val="single" w:sz="4" w:space="0" w:color="000406"/>
                              <w:right w:val="single" w:sz="4" w:space="0" w:color="000204"/>
                            </w:tcBorders>
                            <w:vAlign w:val="center"/>
                          </w:tcPr>
                          <w:p w14:paraId="24EE5D6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r>
                      <w:tr w:rsidR="00000000" w14:paraId="1EC7F906" w14:textId="77777777">
                        <w:tblPrEx>
                          <w:tblCellMar>
                            <w:top w:w="0" w:type="dxa"/>
                            <w:bottom w:w="0" w:type="dxa"/>
                          </w:tblCellMar>
                        </w:tblPrEx>
                        <w:trPr>
                          <w:gridAfter w:val="15"/>
                          <w:wAfter w:w="2216" w:type="dxa"/>
                          <w:trHeight w:val="156"/>
                        </w:trPr>
                        <w:tc>
                          <w:tcPr>
                            <w:tcW w:w="1045" w:type="dxa"/>
                            <w:gridSpan w:val="3"/>
                            <w:tcBorders>
                              <w:left w:val="single" w:sz="4" w:space="0" w:color="000204"/>
                              <w:right w:val="single" w:sz="4" w:space="0" w:color="000406"/>
                            </w:tcBorders>
                            <w:shd w:val="clear" w:color="auto" w:fill="E3E9EE"/>
                            <w:vAlign w:val="center"/>
                          </w:tcPr>
                          <w:p w14:paraId="129377E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400 </w:t>
                            </w:r>
                          </w:p>
                        </w:tc>
                        <w:tc>
                          <w:tcPr>
                            <w:tcW w:w="972" w:type="dxa"/>
                            <w:gridSpan w:val="11"/>
                            <w:tcBorders>
                              <w:left w:val="single" w:sz="4" w:space="0" w:color="000406"/>
                              <w:right w:val="single" w:sz="4" w:space="0" w:color="000406"/>
                            </w:tcBorders>
                            <w:shd w:val="clear" w:color="auto" w:fill="E3E9EE"/>
                            <w:vAlign w:val="center"/>
                          </w:tcPr>
                          <w:p w14:paraId="3E6C18E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122 </w:t>
                            </w:r>
                          </w:p>
                        </w:tc>
                        <w:tc>
                          <w:tcPr>
                            <w:tcW w:w="930" w:type="dxa"/>
                            <w:gridSpan w:val="10"/>
                            <w:tcBorders>
                              <w:left w:val="single" w:sz="4" w:space="0" w:color="000406"/>
                              <w:right w:val="single" w:sz="4" w:space="0" w:color="000406"/>
                            </w:tcBorders>
                            <w:shd w:val="clear" w:color="auto" w:fill="E3E9EE"/>
                            <w:vAlign w:val="center"/>
                          </w:tcPr>
                          <w:p w14:paraId="54037DE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135 </w:t>
                            </w:r>
                          </w:p>
                        </w:tc>
                        <w:tc>
                          <w:tcPr>
                            <w:tcW w:w="870" w:type="dxa"/>
                            <w:gridSpan w:val="7"/>
                            <w:tcBorders>
                              <w:left w:val="single" w:sz="4" w:space="0" w:color="000406"/>
                              <w:right w:val="single" w:sz="4" w:space="0" w:color="000406"/>
                            </w:tcBorders>
                            <w:shd w:val="clear" w:color="auto" w:fill="E3E9EE"/>
                            <w:vAlign w:val="center"/>
                          </w:tcPr>
                          <w:p w14:paraId="2500EA2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140 </w:t>
                            </w:r>
                          </w:p>
                        </w:tc>
                        <w:tc>
                          <w:tcPr>
                            <w:tcW w:w="837" w:type="dxa"/>
                            <w:gridSpan w:val="10"/>
                            <w:tcBorders>
                              <w:left w:val="single" w:sz="4" w:space="0" w:color="000406"/>
                              <w:right w:val="single" w:sz="4" w:space="0" w:color="000204"/>
                            </w:tcBorders>
                            <w:shd w:val="clear" w:color="auto" w:fill="E3E9EE"/>
                            <w:vAlign w:val="center"/>
                          </w:tcPr>
                          <w:p w14:paraId="2F244DC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144 </w:t>
                            </w:r>
                          </w:p>
                        </w:tc>
                      </w:tr>
                      <w:tr w:rsidR="00000000" w14:paraId="3910A5C7" w14:textId="77777777">
                        <w:tblPrEx>
                          <w:tblCellMar>
                            <w:top w:w="0" w:type="dxa"/>
                            <w:bottom w:w="0" w:type="dxa"/>
                          </w:tblCellMar>
                        </w:tblPrEx>
                        <w:trPr>
                          <w:gridAfter w:val="15"/>
                          <w:wAfter w:w="2216" w:type="dxa"/>
                          <w:trHeight w:val="156"/>
                        </w:trPr>
                        <w:tc>
                          <w:tcPr>
                            <w:tcW w:w="1045" w:type="dxa"/>
                            <w:gridSpan w:val="3"/>
                            <w:tcBorders>
                              <w:left w:val="single" w:sz="4" w:space="0" w:color="000204"/>
                              <w:right w:val="single" w:sz="4" w:space="0" w:color="000406"/>
                            </w:tcBorders>
                            <w:vAlign w:val="center"/>
                          </w:tcPr>
                          <w:p w14:paraId="78A9241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800 </w:t>
                            </w:r>
                          </w:p>
                        </w:tc>
                        <w:tc>
                          <w:tcPr>
                            <w:tcW w:w="972" w:type="dxa"/>
                            <w:gridSpan w:val="11"/>
                            <w:tcBorders>
                              <w:left w:val="single" w:sz="4" w:space="0" w:color="000406"/>
                              <w:right w:val="single" w:sz="4" w:space="0" w:color="000406"/>
                            </w:tcBorders>
                            <w:vAlign w:val="center"/>
                          </w:tcPr>
                          <w:p w14:paraId="0BDA2FB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115 </w:t>
                            </w:r>
                          </w:p>
                        </w:tc>
                        <w:tc>
                          <w:tcPr>
                            <w:tcW w:w="930" w:type="dxa"/>
                            <w:gridSpan w:val="10"/>
                            <w:tcBorders>
                              <w:left w:val="single" w:sz="4" w:space="0" w:color="000406"/>
                              <w:right w:val="single" w:sz="4" w:space="0" w:color="000406"/>
                            </w:tcBorders>
                            <w:vAlign w:val="center"/>
                          </w:tcPr>
                          <w:p w14:paraId="4C65638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130 </w:t>
                            </w:r>
                          </w:p>
                        </w:tc>
                        <w:tc>
                          <w:tcPr>
                            <w:tcW w:w="870" w:type="dxa"/>
                            <w:gridSpan w:val="7"/>
                            <w:tcBorders>
                              <w:left w:val="single" w:sz="4" w:space="0" w:color="000406"/>
                              <w:right w:val="single" w:sz="4" w:space="0" w:color="000406"/>
                            </w:tcBorders>
                            <w:vAlign w:val="center"/>
                          </w:tcPr>
                          <w:p w14:paraId="68A75ED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137 </w:t>
                            </w:r>
                          </w:p>
                        </w:tc>
                        <w:tc>
                          <w:tcPr>
                            <w:tcW w:w="837" w:type="dxa"/>
                            <w:gridSpan w:val="10"/>
                            <w:tcBorders>
                              <w:left w:val="single" w:sz="4" w:space="0" w:color="000406"/>
                              <w:right w:val="single" w:sz="4" w:space="0" w:color="000204"/>
                            </w:tcBorders>
                            <w:vAlign w:val="center"/>
                          </w:tcPr>
                          <w:p w14:paraId="77EF796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142 </w:t>
                            </w:r>
                          </w:p>
                        </w:tc>
                      </w:tr>
                      <w:tr w:rsidR="00000000" w14:paraId="4EE0BAAB" w14:textId="77777777">
                        <w:tblPrEx>
                          <w:tblCellMar>
                            <w:top w:w="0" w:type="dxa"/>
                            <w:bottom w:w="0" w:type="dxa"/>
                          </w:tblCellMar>
                        </w:tblPrEx>
                        <w:trPr>
                          <w:gridAfter w:val="15"/>
                          <w:wAfter w:w="2216" w:type="dxa"/>
                          <w:trHeight w:val="156"/>
                        </w:trPr>
                        <w:tc>
                          <w:tcPr>
                            <w:tcW w:w="1045" w:type="dxa"/>
                            <w:gridSpan w:val="3"/>
                            <w:tcBorders>
                              <w:left w:val="single" w:sz="4" w:space="0" w:color="000204"/>
                              <w:right w:val="single" w:sz="4" w:space="0" w:color="000406"/>
                            </w:tcBorders>
                            <w:shd w:val="clear" w:color="auto" w:fill="E3E9EE"/>
                            <w:vAlign w:val="center"/>
                          </w:tcPr>
                          <w:p w14:paraId="4EB4A2D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1000 </w:t>
                            </w:r>
                          </w:p>
                        </w:tc>
                        <w:tc>
                          <w:tcPr>
                            <w:tcW w:w="972" w:type="dxa"/>
                            <w:gridSpan w:val="11"/>
                            <w:tcBorders>
                              <w:left w:val="single" w:sz="4" w:space="0" w:color="000406"/>
                              <w:right w:val="single" w:sz="4" w:space="0" w:color="000406"/>
                            </w:tcBorders>
                            <w:shd w:val="clear" w:color="auto" w:fill="E3E9EE"/>
                            <w:vAlign w:val="center"/>
                          </w:tcPr>
                          <w:p w14:paraId="02D7693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113 </w:t>
                            </w:r>
                          </w:p>
                        </w:tc>
                        <w:tc>
                          <w:tcPr>
                            <w:tcW w:w="930" w:type="dxa"/>
                            <w:gridSpan w:val="10"/>
                            <w:tcBorders>
                              <w:left w:val="single" w:sz="4" w:space="0" w:color="000406"/>
                              <w:right w:val="single" w:sz="4" w:space="0" w:color="000406"/>
                            </w:tcBorders>
                            <w:shd w:val="clear" w:color="auto" w:fill="E3E9EE"/>
                            <w:vAlign w:val="center"/>
                          </w:tcPr>
                          <w:p w14:paraId="1CEB7643"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129 </w:t>
                            </w:r>
                          </w:p>
                        </w:tc>
                        <w:tc>
                          <w:tcPr>
                            <w:tcW w:w="870" w:type="dxa"/>
                            <w:gridSpan w:val="7"/>
                            <w:tcBorders>
                              <w:left w:val="single" w:sz="4" w:space="0" w:color="000406"/>
                              <w:right w:val="single" w:sz="4" w:space="0" w:color="000406"/>
                            </w:tcBorders>
                            <w:shd w:val="clear" w:color="auto" w:fill="E3E9EE"/>
                            <w:vAlign w:val="center"/>
                          </w:tcPr>
                          <w:p w14:paraId="1024ACA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137 </w:t>
                            </w:r>
                          </w:p>
                        </w:tc>
                        <w:tc>
                          <w:tcPr>
                            <w:tcW w:w="837" w:type="dxa"/>
                            <w:gridSpan w:val="10"/>
                            <w:tcBorders>
                              <w:left w:val="single" w:sz="4" w:space="0" w:color="000406"/>
                              <w:right w:val="single" w:sz="4" w:space="0" w:color="000204"/>
                            </w:tcBorders>
                            <w:shd w:val="clear" w:color="auto" w:fill="E3E9EE"/>
                            <w:vAlign w:val="center"/>
                          </w:tcPr>
                          <w:p w14:paraId="6A014C8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144 </w:t>
                            </w:r>
                          </w:p>
                        </w:tc>
                      </w:tr>
                      <w:tr w:rsidR="00000000" w14:paraId="60A472C5" w14:textId="77777777">
                        <w:tblPrEx>
                          <w:tblCellMar>
                            <w:top w:w="0" w:type="dxa"/>
                            <w:bottom w:w="0" w:type="dxa"/>
                          </w:tblCellMar>
                        </w:tblPrEx>
                        <w:trPr>
                          <w:gridAfter w:val="15"/>
                          <w:wAfter w:w="2216" w:type="dxa"/>
                          <w:trHeight w:val="156"/>
                        </w:trPr>
                        <w:tc>
                          <w:tcPr>
                            <w:tcW w:w="1045" w:type="dxa"/>
                            <w:gridSpan w:val="3"/>
                            <w:tcBorders>
                              <w:left w:val="single" w:sz="4" w:space="0" w:color="000204"/>
                              <w:right w:val="single" w:sz="4" w:space="0" w:color="000406"/>
                            </w:tcBorders>
                            <w:vAlign w:val="center"/>
                          </w:tcPr>
                          <w:p w14:paraId="1E6608B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1250 </w:t>
                            </w:r>
                          </w:p>
                        </w:tc>
                        <w:tc>
                          <w:tcPr>
                            <w:tcW w:w="972" w:type="dxa"/>
                            <w:gridSpan w:val="11"/>
                            <w:tcBorders>
                              <w:left w:val="single" w:sz="4" w:space="0" w:color="000406"/>
                              <w:right w:val="single" w:sz="4" w:space="0" w:color="000406"/>
                            </w:tcBorders>
                            <w:vAlign w:val="center"/>
                          </w:tcPr>
                          <w:p w14:paraId="4B6A139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112 </w:t>
                            </w:r>
                          </w:p>
                        </w:tc>
                        <w:tc>
                          <w:tcPr>
                            <w:tcW w:w="930" w:type="dxa"/>
                            <w:gridSpan w:val="10"/>
                            <w:tcBorders>
                              <w:left w:val="single" w:sz="4" w:space="0" w:color="000406"/>
                              <w:right w:val="single" w:sz="4" w:space="0" w:color="000406"/>
                            </w:tcBorders>
                            <w:vAlign w:val="center"/>
                          </w:tcPr>
                          <w:p w14:paraId="3F7EC5B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129 </w:t>
                            </w:r>
                          </w:p>
                        </w:tc>
                        <w:tc>
                          <w:tcPr>
                            <w:tcW w:w="870" w:type="dxa"/>
                            <w:gridSpan w:val="7"/>
                            <w:tcBorders>
                              <w:left w:val="single" w:sz="4" w:space="0" w:color="000406"/>
                              <w:right w:val="single" w:sz="4" w:space="0" w:color="000406"/>
                            </w:tcBorders>
                            <w:vAlign w:val="center"/>
                          </w:tcPr>
                          <w:p w14:paraId="7D742EA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138 </w:t>
                            </w:r>
                          </w:p>
                        </w:tc>
                        <w:tc>
                          <w:tcPr>
                            <w:tcW w:w="837" w:type="dxa"/>
                            <w:gridSpan w:val="10"/>
                            <w:tcBorders>
                              <w:left w:val="single" w:sz="4" w:space="0" w:color="000406"/>
                              <w:right w:val="single" w:sz="4" w:space="0" w:color="000204"/>
                            </w:tcBorders>
                            <w:vAlign w:val="center"/>
                          </w:tcPr>
                          <w:p w14:paraId="6D2FDFA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146 </w:t>
                            </w:r>
                          </w:p>
                        </w:tc>
                      </w:tr>
                      <w:tr w:rsidR="00000000" w14:paraId="1A994A2C" w14:textId="77777777">
                        <w:tblPrEx>
                          <w:tblCellMar>
                            <w:top w:w="0" w:type="dxa"/>
                            <w:bottom w:w="0" w:type="dxa"/>
                          </w:tblCellMar>
                        </w:tblPrEx>
                        <w:trPr>
                          <w:gridAfter w:val="15"/>
                          <w:wAfter w:w="2216" w:type="dxa"/>
                          <w:trHeight w:val="156"/>
                        </w:trPr>
                        <w:tc>
                          <w:tcPr>
                            <w:tcW w:w="1045" w:type="dxa"/>
                            <w:gridSpan w:val="3"/>
                            <w:tcBorders>
                              <w:left w:val="single" w:sz="4" w:space="0" w:color="000204"/>
                              <w:right w:val="single" w:sz="4" w:space="0" w:color="000406"/>
                            </w:tcBorders>
                            <w:shd w:val="clear" w:color="auto" w:fill="E3E9EE"/>
                            <w:vAlign w:val="center"/>
                          </w:tcPr>
                          <w:p w14:paraId="1FD3CCB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1600 </w:t>
                            </w:r>
                          </w:p>
                        </w:tc>
                        <w:tc>
                          <w:tcPr>
                            <w:tcW w:w="972" w:type="dxa"/>
                            <w:gridSpan w:val="11"/>
                            <w:tcBorders>
                              <w:left w:val="single" w:sz="4" w:space="0" w:color="000406"/>
                              <w:right w:val="single" w:sz="4" w:space="0" w:color="000406"/>
                            </w:tcBorders>
                            <w:shd w:val="clear" w:color="auto" w:fill="E3E9EE"/>
                            <w:vAlign w:val="center"/>
                          </w:tcPr>
                          <w:p w14:paraId="1B60E6C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 </w:t>
                            </w:r>
                          </w:p>
                        </w:tc>
                        <w:tc>
                          <w:tcPr>
                            <w:tcW w:w="930" w:type="dxa"/>
                            <w:gridSpan w:val="10"/>
                            <w:tcBorders>
                              <w:left w:val="single" w:sz="4" w:space="0" w:color="000406"/>
                              <w:right w:val="single" w:sz="4" w:space="0" w:color="000406"/>
                            </w:tcBorders>
                            <w:shd w:val="clear" w:color="auto" w:fill="E3E9EE"/>
                            <w:vAlign w:val="center"/>
                          </w:tcPr>
                          <w:p w14:paraId="6F81AAB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130 </w:t>
                            </w:r>
                          </w:p>
                        </w:tc>
                        <w:tc>
                          <w:tcPr>
                            <w:tcW w:w="870" w:type="dxa"/>
                            <w:gridSpan w:val="7"/>
                            <w:tcBorders>
                              <w:left w:val="single" w:sz="4" w:space="0" w:color="000406"/>
                              <w:right w:val="single" w:sz="4" w:space="0" w:color="000406"/>
                            </w:tcBorders>
                            <w:shd w:val="clear" w:color="auto" w:fill="E3E9EE"/>
                            <w:vAlign w:val="center"/>
                          </w:tcPr>
                          <w:p w14:paraId="5C7F338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140 </w:t>
                            </w:r>
                          </w:p>
                        </w:tc>
                        <w:tc>
                          <w:tcPr>
                            <w:tcW w:w="837" w:type="dxa"/>
                            <w:gridSpan w:val="10"/>
                            <w:tcBorders>
                              <w:left w:val="single" w:sz="4" w:space="0" w:color="000406"/>
                              <w:right w:val="single" w:sz="4" w:space="0" w:color="000204"/>
                            </w:tcBorders>
                            <w:shd w:val="clear" w:color="auto" w:fill="E3E9EE"/>
                            <w:vAlign w:val="center"/>
                          </w:tcPr>
                          <w:p w14:paraId="16E998D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r>
                      <w:tr w:rsidR="00000000" w14:paraId="04DDE129" w14:textId="77777777">
                        <w:tblPrEx>
                          <w:tblCellMar>
                            <w:top w:w="0" w:type="dxa"/>
                            <w:bottom w:w="0" w:type="dxa"/>
                          </w:tblCellMar>
                        </w:tblPrEx>
                        <w:trPr>
                          <w:gridAfter w:val="15"/>
                          <w:wAfter w:w="2216" w:type="dxa"/>
                          <w:trHeight w:val="157"/>
                        </w:trPr>
                        <w:tc>
                          <w:tcPr>
                            <w:tcW w:w="1045" w:type="dxa"/>
                            <w:gridSpan w:val="3"/>
                            <w:tcBorders>
                              <w:left w:val="single" w:sz="4" w:space="0" w:color="000204"/>
                              <w:right w:val="single" w:sz="4" w:space="0" w:color="000406"/>
                            </w:tcBorders>
                            <w:vAlign w:val="center"/>
                          </w:tcPr>
                          <w:p w14:paraId="05BF3A3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2000 </w:t>
                            </w:r>
                          </w:p>
                        </w:tc>
                        <w:tc>
                          <w:tcPr>
                            <w:tcW w:w="972" w:type="dxa"/>
                            <w:gridSpan w:val="11"/>
                            <w:tcBorders>
                              <w:left w:val="single" w:sz="4" w:space="0" w:color="000406"/>
                              <w:right w:val="single" w:sz="4" w:space="0" w:color="000406"/>
                            </w:tcBorders>
                            <w:vAlign w:val="center"/>
                          </w:tcPr>
                          <w:p w14:paraId="1428838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109 </w:t>
                            </w:r>
                          </w:p>
                        </w:tc>
                        <w:tc>
                          <w:tcPr>
                            <w:tcW w:w="930" w:type="dxa"/>
                            <w:gridSpan w:val="10"/>
                            <w:tcBorders>
                              <w:left w:val="single" w:sz="4" w:space="0" w:color="000406"/>
                              <w:right w:val="single" w:sz="4" w:space="0" w:color="000406"/>
                            </w:tcBorders>
                            <w:vAlign w:val="center"/>
                          </w:tcPr>
                          <w:p w14:paraId="714BADE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870" w:type="dxa"/>
                            <w:gridSpan w:val="7"/>
                            <w:tcBorders>
                              <w:left w:val="single" w:sz="4" w:space="0" w:color="000406"/>
                              <w:right w:val="single" w:sz="4" w:space="0" w:color="000406"/>
                            </w:tcBorders>
                            <w:vAlign w:val="center"/>
                          </w:tcPr>
                          <w:p w14:paraId="7F5C915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145 </w:t>
                            </w:r>
                          </w:p>
                        </w:tc>
                        <w:tc>
                          <w:tcPr>
                            <w:tcW w:w="837" w:type="dxa"/>
                            <w:gridSpan w:val="10"/>
                            <w:tcBorders>
                              <w:left w:val="single" w:sz="4" w:space="0" w:color="000406"/>
                              <w:right w:val="single" w:sz="4" w:space="0" w:color="000204"/>
                            </w:tcBorders>
                            <w:vAlign w:val="center"/>
                          </w:tcPr>
                          <w:p w14:paraId="1D41EAE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156 </w:t>
                            </w:r>
                          </w:p>
                        </w:tc>
                      </w:tr>
                      <w:tr w:rsidR="00000000" w14:paraId="6E076157" w14:textId="77777777">
                        <w:tblPrEx>
                          <w:tblCellMar>
                            <w:top w:w="0" w:type="dxa"/>
                            <w:bottom w:w="0" w:type="dxa"/>
                          </w:tblCellMar>
                        </w:tblPrEx>
                        <w:trPr>
                          <w:gridAfter w:val="15"/>
                          <w:wAfter w:w="2216" w:type="dxa"/>
                          <w:trHeight w:val="156"/>
                        </w:trPr>
                        <w:tc>
                          <w:tcPr>
                            <w:tcW w:w="1045" w:type="dxa"/>
                            <w:gridSpan w:val="3"/>
                            <w:tcBorders>
                              <w:left w:val="single" w:sz="4" w:space="0" w:color="000204"/>
                              <w:right w:val="single" w:sz="4" w:space="0" w:color="000406"/>
                            </w:tcBorders>
                            <w:shd w:val="clear" w:color="auto" w:fill="E3E9EE"/>
                            <w:vAlign w:val="center"/>
                          </w:tcPr>
                          <w:p w14:paraId="4F13A6A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2500 </w:t>
                            </w:r>
                          </w:p>
                        </w:tc>
                        <w:tc>
                          <w:tcPr>
                            <w:tcW w:w="972" w:type="dxa"/>
                            <w:gridSpan w:val="11"/>
                            <w:tcBorders>
                              <w:left w:val="single" w:sz="4" w:space="0" w:color="000406"/>
                              <w:right w:val="single" w:sz="4" w:space="0" w:color="000406"/>
                            </w:tcBorders>
                            <w:shd w:val="clear" w:color="auto" w:fill="E3E9EE"/>
                            <w:vAlign w:val="center"/>
                          </w:tcPr>
                          <w:p w14:paraId="3FEE314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108 </w:t>
                            </w:r>
                          </w:p>
                        </w:tc>
                        <w:tc>
                          <w:tcPr>
                            <w:tcW w:w="930" w:type="dxa"/>
                            <w:gridSpan w:val="10"/>
                            <w:tcBorders>
                              <w:left w:val="single" w:sz="4" w:space="0" w:color="000406"/>
                              <w:right w:val="single" w:sz="4" w:space="0" w:color="000406"/>
                            </w:tcBorders>
                            <w:shd w:val="clear" w:color="auto" w:fill="E3E9EE"/>
                            <w:vAlign w:val="center"/>
                          </w:tcPr>
                          <w:p w14:paraId="2FE6843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136 </w:t>
                            </w:r>
                          </w:p>
                        </w:tc>
                        <w:tc>
                          <w:tcPr>
                            <w:tcW w:w="870" w:type="dxa"/>
                            <w:gridSpan w:val="7"/>
                            <w:tcBorders>
                              <w:left w:val="single" w:sz="4" w:space="0" w:color="000406"/>
                              <w:right w:val="single" w:sz="4" w:space="0" w:color="000406"/>
                            </w:tcBorders>
                            <w:shd w:val="clear" w:color="auto" w:fill="E3E9EE"/>
                            <w:vAlign w:val="center"/>
                          </w:tcPr>
                          <w:p w14:paraId="396ABD4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151 </w:t>
                            </w:r>
                          </w:p>
                        </w:tc>
                        <w:tc>
                          <w:tcPr>
                            <w:tcW w:w="837" w:type="dxa"/>
                            <w:gridSpan w:val="10"/>
                            <w:tcBorders>
                              <w:left w:val="single" w:sz="4" w:space="0" w:color="000406"/>
                              <w:right w:val="single" w:sz="4" w:space="0" w:color="000204"/>
                            </w:tcBorders>
                            <w:shd w:val="clear" w:color="auto" w:fill="E3E9EE"/>
                            <w:vAlign w:val="center"/>
                          </w:tcPr>
                          <w:p w14:paraId="4EECD07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166 </w:t>
                            </w:r>
                          </w:p>
                        </w:tc>
                      </w:tr>
                      <w:tr w:rsidR="00000000" w14:paraId="2D7E1FAB" w14:textId="77777777">
                        <w:tblPrEx>
                          <w:tblCellMar>
                            <w:top w:w="0" w:type="dxa"/>
                            <w:bottom w:w="0" w:type="dxa"/>
                          </w:tblCellMar>
                        </w:tblPrEx>
                        <w:trPr>
                          <w:gridAfter w:val="15"/>
                          <w:wAfter w:w="2216" w:type="dxa"/>
                          <w:trHeight w:val="156"/>
                        </w:trPr>
                        <w:tc>
                          <w:tcPr>
                            <w:tcW w:w="1045" w:type="dxa"/>
                            <w:gridSpan w:val="3"/>
                            <w:tcBorders>
                              <w:left w:val="single" w:sz="4" w:space="0" w:color="000204"/>
                              <w:right w:val="single" w:sz="4" w:space="0" w:color="000406"/>
                            </w:tcBorders>
                            <w:vAlign w:val="center"/>
                          </w:tcPr>
                          <w:p w14:paraId="2C2E323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3150 </w:t>
                            </w:r>
                          </w:p>
                        </w:tc>
                        <w:tc>
                          <w:tcPr>
                            <w:tcW w:w="972" w:type="dxa"/>
                            <w:gridSpan w:val="11"/>
                            <w:tcBorders>
                              <w:left w:val="single" w:sz="4" w:space="0" w:color="000406"/>
                              <w:right w:val="single" w:sz="4" w:space="0" w:color="000406"/>
                            </w:tcBorders>
                            <w:vAlign w:val="center"/>
                          </w:tcPr>
                          <w:p w14:paraId="0348C87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107 </w:t>
                            </w:r>
                          </w:p>
                        </w:tc>
                        <w:tc>
                          <w:tcPr>
                            <w:tcW w:w="930" w:type="dxa"/>
                            <w:gridSpan w:val="10"/>
                            <w:tcBorders>
                              <w:left w:val="single" w:sz="4" w:space="0" w:color="000406"/>
                              <w:right w:val="single" w:sz="4" w:space="0" w:color="000406"/>
                            </w:tcBorders>
                            <w:vAlign w:val="center"/>
                          </w:tcPr>
                          <w:p w14:paraId="1A3E387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141 </w:t>
                            </w:r>
                          </w:p>
                        </w:tc>
                        <w:tc>
                          <w:tcPr>
                            <w:tcW w:w="870" w:type="dxa"/>
                            <w:gridSpan w:val="7"/>
                            <w:tcBorders>
                              <w:left w:val="single" w:sz="4" w:space="0" w:color="000406"/>
                              <w:right w:val="single" w:sz="4" w:space="0" w:color="000406"/>
                            </w:tcBorders>
                            <w:vAlign w:val="center"/>
                          </w:tcPr>
                          <w:p w14:paraId="60092DE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160 </w:t>
                            </w:r>
                          </w:p>
                        </w:tc>
                        <w:tc>
                          <w:tcPr>
                            <w:tcW w:w="837" w:type="dxa"/>
                            <w:gridSpan w:val="10"/>
                            <w:tcBorders>
                              <w:left w:val="single" w:sz="4" w:space="0" w:color="000406"/>
                              <w:right w:val="single" w:sz="4" w:space="0" w:color="000204"/>
                            </w:tcBorders>
                            <w:vAlign w:val="center"/>
                          </w:tcPr>
                          <w:p w14:paraId="5B32233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179 </w:t>
                            </w:r>
                          </w:p>
                        </w:tc>
                      </w:tr>
                      <w:tr w:rsidR="00000000" w14:paraId="64B6C169" w14:textId="77777777">
                        <w:tblPrEx>
                          <w:tblCellMar>
                            <w:top w:w="0" w:type="dxa"/>
                            <w:bottom w:w="0" w:type="dxa"/>
                          </w:tblCellMar>
                        </w:tblPrEx>
                        <w:trPr>
                          <w:gridAfter w:val="15"/>
                          <w:wAfter w:w="2216" w:type="dxa"/>
                          <w:trHeight w:val="155"/>
                        </w:trPr>
                        <w:tc>
                          <w:tcPr>
                            <w:tcW w:w="1045" w:type="dxa"/>
                            <w:gridSpan w:val="3"/>
                            <w:tcBorders>
                              <w:left w:val="single" w:sz="4" w:space="0" w:color="000204"/>
                              <w:bottom w:val="single" w:sz="4" w:space="0" w:color="000000"/>
                              <w:right w:val="single" w:sz="4" w:space="0" w:color="000406"/>
                            </w:tcBorders>
                            <w:shd w:val="clear" w:color="auto" w:fill="E3E9EE"/>
                            <w:vAlign w:val="center"/>
                          </w:tcPr>
                          <w:p w14:paraId="5A91B46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4000 </w:t>
                            </w:r>
                          </w:p>
                        </w:tc>
                        <w:tc>
                          <w:tcPr>
                            <w:tcW w:w="972" w:type="dxa"/>
                            <w:gridSpan w:val="11"/>
                            <w:tcBorders>
                              <w:left w:val="single" w:sz="4" w:space="0" w:color="000406"/>
                              <w:bottom w:val="single" w:sz="4" w:space="0" w:color="000000"/>
                              <w:right w:val="single" w:sz="4" w:space="0" w:color="000406"/>
                            </w:tcBorders>
                            <w:shd w:val="clear" w:color="auto" w:fill="E3E9EE"/>
                            <w:vAlign w:val="center"/>
                          </w:tcPr>
                          <w:p w14:paraId="22C349C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109 </w:t>
                            </w:r>
                          </w:p>
                        </w:tc>
                        <w:tc>
                          <w:tcPr>
                            <w:tcW w:w="930" w:type="dxa"/>
                            <w:gridSpan w:val="10"/>
                            <w:tcBorders>
                              <w:left w:val="single" w:sz="4" w:space="0" w:color="000406"/>
                              <w:bottom w:val="single" w:sz="4" w:space="0" w:color="000000"/>
                              <w:right w:val="single" w:sz="4" w:space="0" w:color="000406"/>
                            </w:tcBorders>
                            <w:shd w:val="clear" w:color="auto" w:fill="E3E9EE"/>
                            <w:vAlign w:val="center"/>
                          </w:tcPr>
                          <w:p w14:paraId="38F2607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c>
                          <w:tcPr>
                            <w:tcW w:w="870" w:type="dxa"/>
                            <w:gridSpan w:val="7"/>
                            <w:tcBorders>
                              <w:left w:val="single" w:sz="4" w:space="0" w:color="000406"/>
                              <w:bottom w:val="single" w:sz="4" w:space="0" w:color="000000"/>
                              <w:right w:val="single" w:sz="4" w:space="0" w:color="000406"/>
                            </w:tcBorders>
                            <w:shd w:val="clear" w:color="auto" w:fill="E3E9EE"/>
                            <w:vAlign w:val="center"/>
                          </w:tcPr>
                          <w:p w14:paraId="456C654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177 </w:t>
                            </w:r>
                          </w:p>
                        </w:tc>
                        <w:tc>
                          <w:tcPr>
                            <w:tcW w:w="837" w:type="dxa"/>
                            <w:gridSpan w:val="10"/>
                            <w:tcBorders>
                              <w:left w:val="single" w:sz="4" w:space="0" w:color="000406"/>
                              <w:bottom w:val="single" w:sz="4" w:space="0" w:color="000000"/>
                              <w:right w:val="single" w:sz="4" w:space="0" w:color="000204"/>
                            </w:tcBorders>
                            <w:shd w:val="clear" w:color="auto" w:fill="E3E9EE"/>
                            <w:vAlign w:val="center"/>
                          </w:tcPr>
                          <w:p w14:paraId="6A76A57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199 </w:t>
                            </w:r>
                          </w:p>
                        </w:tc>
                      </w:tr>
                    </w:tbl>
                  </w:txbxContent>
                </v:textbox>
                <w10:wrap type="through" anchorx="page" anchory="page"/>
              </v:shape>
            </w:pict>
          </mc:Fallback>
        </mc:AlternateContent>
      </w:r>
    </w:p>
    <w:p w14:paraId="4855A10E" w14:textId="77777777" w:rsidR="00541A14" w:rsidRDefault="00A450E1">
      <w:pPr>
        <w:pStyle w:val="CM125"/>
        <w:jc w:val="both"/>
        <w:rPr>
          <w:sz w:val="18"/>
          <w:szCs w:val="18"/>
        </w:rPr>
      </w:pPr>
      <w:r>
        <w:rPr>
          <w:sz w:val="18"/>
          <w:szCs w:val="18"/>
        </w:rPr>
        <w:t xml:space="preserve">Pn – Nominal Range in sea miles </w:t>
      </w:r>
    </w:p>
    <w:p w14:paraId="181073E6" w14:textId="77777777" w:rsidR="00541A14" w:rsidRDefault="00A450E1">
      <w:pPr>
        <w:pStyle w:val="CM125"/>
        <w:jc w:val="both"/>
        <w:rPr>
          <w:sz w:val="18"/>
          <w:szCs w:val="18"/>
        </w:rPr>
      </w:pPr>
      <w:r>
        <w:rPr>
          <w:sz w:val="18"/>
          <w:szCs w:val="18"/>
        </w:rPr>
        <w:t xml:space="preserve">f – Frequency of the sound in Hz </w:t>
      </w:r>
    </w:p>
    <w:p w14:paraId="4A3B01EA" w14:textId="77777777" w:rsidR="00541A14" w:rsidRDefault="00A450E1">
      <w:pPr>
        <w:pStyle w:val="CM172"/>
        <w:spacing w:after="202" w:line="216" w:lineRule="atLeast"/>
        <w:ind w:left="442"/>
        <w:jc w:val="both"/>
        <w:rPr>
          <w:sz w:val="18"/>
          <w:szCs w:val="18"/>
        </w:rPr>
      </w:pPr>
      <w:r>
        <w:rPr>
          <w:sz w:val="18"/>
          <w:szCs w:val="18"/>
        </w:rPr>
        <w:t xml:space="preserve">Nr – Sound Pressure Level, in decibels, of the sound emitted by the SOUND SIGNAL at the reference distance of 1 metre in the direction concerned. </w:t>
      </w:r>
    </w:p>
    <w:p w14:paraId="54C55329" w14:textId="77777777" w:rsidR="00541A14" w:rsidRDefault="00A450E1">
      <w:pPr>
        <w:pStyle w:val="CM165"/>
        <w:spacing w:after="85"/>
        <w:rPr>
          <w:rFonts w:ascii="Palatino" w:hAnsi="Palatino" w:cs="Palatino"/>
          <w:sz w:val="20"/>
          <w:szCs w:val="20"/>
        </w:rPr>
      </w:pPr>
      <w:r>
        <w:rPr>
          <w:rFonts w:ascii="Palatino" w:hAnsi="Palatino" w:cs="Palatino"/>
          <w:sz w:val="20"/>
          <w:szCs w:val="20"/>
        </w:rPr>
        <w:t xml:space="preserve">Usual Range: the distance at which, in foggy weather, a lookout positioned in the wing of the bridge </w:t>
      </w:r>
    </w:p>
    <w:p w14:paraId="31142DFA" w14:textId="77777777" w:rsidR="00541A14" w:rsidRDefault="00A450E1">
      <w:pPr>
        <w:pStyle w:val="Default"/>
        <w:rPr>
          <w:rFonts w:ascii="Palatino" w:hAnsi="Palatino" w:cs="Palatino"/>
          <w:color w:val="auto"/>
          <w:sz w:val="20"/>
          <w:szCs w:val="20"/>
        </w:rPr>
      </w:pPr>
      <w:r>
        <w:rPr>
          <w:rFonts w:ascii="Palatino" w:hAnsi="Palatino" w:cs="Palatino"/>
          <w:color w:val="auto"/>
          <w:sz w:val="20"/>
          <w:szCs w:val="20"/>
        </w:rPr>
        <w:t xml:space="preserve">has a probability of 50% of hearing the signal when subjected to a noise as defined by IALA as </w:t>
      </w:r>
    </w:p>
    <w:p w14:paraId="6E34A0BE" w14:textId="77777777" w:rsidR="00541A14" w:rsidRDefault="00A450E1">
      <w:pPr>
        <w:pStyle w:val="CM172"/>
        <w:spacing w:after="202" w:line="291" w:lineRule="atLeast"/>
        <w:ind w:right="107"/>
        <w:rPr>
          <w:rFonts w:ascii="Palatino" w:hAnsi="Palatino" w:cs="Palatino"/>
          <w:sz w:val="20"/>
          <w:szCs w:val="20"/>
        </w:rPr>
      </w:pPr>
      <w:r>
        <w:rPr>
          <w:rFonts w:ascii="Palatino" w:hAnsi="Palatino" w:cs="Palatino"/>
          <w:sz w:val="20"/>
          <w:szCs w:val="20"/>
        </w:rPr>
        <w:t xml:space="preserve">being equal to or in excess of that found in 50% of large merchant vessels, the propagation between the sound signal emitter and the listener occurring during relatively calm weather and with no intervening obstacles (refer Table 18). </w:t>
      </w:r>
    </w:p>
    <w:p w14:paraId="74077974" w14:textId="77777777" w:rsidR="00541A14" w:rsidRDefault="00A450E1">
      <w:pPr>
        <w:pStyle w:val="CM172"/>
        <w:spacing w:after="202" w:line="291" w:lineRule="atLeast"/>
        <w:rPr>
          <w:rFonts w:ascii="Palatino" w:hAnsi="Palatino" w:cs="Palatino"/>
          <w:sz w:val="20"/>
          <w:szCs w:val="20"/>
        </w:rPr>
      </w:pPr>
      <w:r>
        <w:rPr>
          <w:rFonts w:ascii="Palatino" w:hAnsi="Palatino" w:cs="Palatino"/>
          <w:b/>
          <w:bCs/>
          <w:sz w:val="20"/>
          <w:szCs w:val="20"/>
        </w:rPr>
        <w:t xml:space="preserve">table 20 – Usual Range </w:t>
      </w:r>
    </w:p>
    <w:p w14:paraId="5DCB4EA6"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81792" behindDoc="0" locked="0" layoutInCell="0" allowOverlap="1" wp14:anchorId="708AD2DE" wp14:editId="18C8906D">
                <wp:simplePos x="0" y="0"/>
                <wp:positionH relativeFrom="page">
                  <wp:posOffset>981710</wp:posOffset>
                </wp:positionH>
                <wp:positionV relativeFrom="page">
                  <wp:posOffset>6405880</wp:posOffset>
                </wp:positionV>
                <wp:extent cx="3468370" cy="3545840"/>
                <wp:effectExtent l="0" t="0" r="0" b="0"/>
                <wp:wrapThrough wrapText="bothSides">
                  <wp:wrapPolygon edited="0">
                    <wp:start x="0" y="0"/>
                    <wp:lineTo x="21600" y="0"/>
                    <wp:lineTo x="21600" y="21600"/>
                    <wp:lineTo x="0" y="21600"/>
                    <wp:lineTo x="0" y="0"/>
                  </wp:wrapPolygon>
                </wp:wrapThrough>
                <wp:docPr id="53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8370" cy="354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240"/>
                              <w:gridCol w:w="827"/>
                              <w:gridCol w:w="895"/>
                              <w:gridCol w:w="880"/>
                              <w:gridCol w:w="817"/>
                              <w:gridCol w:w="2214"/>
                            </w:tblGrid>
                            <w:tr w:rsidR="00541A14" w14:paraId="7D49D62E" w14:textId="77777777">
                              <w:trPr>
                                <w:trHeight w:val="156"/>
                              </w:trPr>
                              <w:tc>
                                <w:tcPr>
                                  <w:tcW w:w="4662" w:type="dxa"/>
                                  <w:gridSpan w:val="6"/>
                                  <w:tcBorders>
                                    <w:top w:val="single" w:sz="4" w:space="0" w:color="001219"/>
                                    <w:left w:val="single" w:sz="4" w:space="0" w:color="000204"/>
                                    <w:bottom w:val="single" w:sz="4" w:space="0" w:color="00202C"/>
                                    <w:right w:val="single" w:sz="4" w:space="0" w:color="000204"/>
                                  </w:tcBorders>
                                  <w:shd w:val="clear" w:color="auto" w:fill="01769F"/>
                                  <w:vAlign w:val="center"/>
                                </w:tcPr>
                                <w:p w14:paraId="3539965A"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Sound Pressure Level </w:t>
                                  </w:r>
                                </w:p>
                              </w:tc>
                            </w:tr>
                            <w:tr w:rsidR="00541A14" w14:paraId="6C3A70CD" w14:textId="77777777">
                              <w:trPr>
                                <w:gridAfter w:val="1"/>
                                <w:wAfter w:w="2214" w:type="dxa"/>
                                <w:trHeight w:val="256"/>
                              </w:trPr>
                              <w:tc>
                                <w:tcPr>
                                  <w:tcW w:w="1240" w:type="dxa"/>
                                  <w:tcBorders>
                                    <w:top w:val="single" w:sz="4" w:space="0" w:color="00202C"/>
                                    <w:left w:val="single" w:sz="4" w:space="0" w:color="000204"/>
                                    <w:right w:val="single" w:sz="4" w:space="0" w:color="000406"/>
                                  </w:tcBorders>
                                  <w:shd w:val="clear" w:color="auto" w:fill="01769F"/>
                                  <w:vAlign w:val="center"/>
                                </w:tcPr>
                                <w:p w14:paraId="14AA9A99"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Pu(nm) f(Hz) </w:t>
                                  </w:r>
                                </w:p>
                              </w:tc>
                              <w:tc>
                                <w:tcPr>
                                  <w:tcW w:w="827" w:type="dxa"/>
                                  <w:tcBorders>
                                    <w:top w:val="single" w:sz="4" w:space="0" w:color="00202C"/>
                                    <w:left w:val="single" w:sz="4" w:space="0" w:color="000406"/>
                                    <w:right w:val="single" w:sz="4" w:space="0" w:color="000406"/>
                                  </w:tcBorders>
                                  <w:shd w:val="clear" w:color="auto" w:fill="01769F"/>
                                  <w:vAlign w:val="center"/>
                                </w:tcPr>
                                <w:p w14:paraId="6FF9AB08"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0.5 </w:t>
                                  </w:r>
                                </w:p>
                              </w:tc>
                              <w:tc>
                                <w:tcPr>
                                  <w:tcW w:w="895" w:type="dxa"/>
                                  <w:tcBorders>
                                    <w:top w:val="single" w:sz="4" w:space="0" w:color="00202C"/>
                                    <w:left w:val="single" w:sz="4" w:space="0" w:color="000406"/>
                                    <w:right w:val="single" w:sz="4" w:space="0" w:color="000406"/>
                                  </w:tcBorders>
                                  <w:shd w:val="clear" w:color="auto" w:fill="01769F"/>
                                  <w:vAlign w:val="center"/>
                                </w:tcPr>
                                <w:p w14:paraId="58234EBC"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 </w:t>
                                  </w:r>
                                </w:p>
                              </w:tc>
                              <w:tc>
                                <w:tcPr>
                                  <w:tcW w:w="880" w:type="dxa"/>
                                  <w:tcBorders>
                                    <w:top w:val="single" w:sz="4" w:space="0" w:color="00202C"/>
                                    <w:left w:val="single" w:sz="4" w:space="0" w:color="000406"/>
                                    <w:right w:val="single" w:sz="4" w:space="0" w:color="000406"/>
                                  </w:tcBorders>
                                  <w:shd w:val="clear" w:color="auto" w:fill="01769F"/>
                                  <w:vAlign w:val="center"/>
                                </w:tcPr>
                                <w:p w14:paraId="5D9073D0"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1,5 </w:t>
                                  </w:r>
                                </w:p>
                              </w:tc>
                              <w:tc>
                                <w:tcPr>
                                  <w:tcW w:w="817" w:type="dxa"/>
                                  <w:tcBorders>
                                    <w:top w:val="single" w:sz="4" w:space="0" w:color="00202C"/>
                                    <w:left w:val="single" w:sz="4" w:space="0" w:color="000406"/>
                                    <w:right w:val="single" w:sz="4" w:space="0" w:color="000204"/>
                                  </w:tcBorders>
                                  <w:shd w:val="clear" w:color="auto" w:fill="01769F"/>
                                  <w:vAlign w:val="center"/>
                                </w:tcPr>
                                <w:p w14:paraId="09B7D386"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2 </w:t>
                                  </w:r>
                                </w:p>
                              </w:tc>
                            </w:tr>
                            <w:tr w:rsidR="00541A14" w14:paraId="6B68E68C" w14:textId="77777777">
                              <w:trPr>
                                <w:gridAfter w:val="1"/>
                                <w:wAfter w:w="2214" w:type="dxa"/>
                                <w:trHeight w:val="152"/>
                              </w:trPr>
                              <w:tc>
                                <w:tcPr>
                                  <w:tcW w:w="1240" w:type="dxa"/>
                                  <w:tcBorders>
                                    <w:top w:val="single" w:sz="2" w:space="0" w:color="01769F"/>
                                    <w:left w:val="single" w:sz="4" w:space="0" w:color="000204"/>
                                    <w:right w:val="single" w:sz="4" w:space="0" w:color="000406"/>
                                  </w:tcBorders>
                                  <w:shd w:val="clear" w:color="auto" w:fill="E3E9EE"/>
                                  <w:vAlign w:val="center"/>
                                </w:tcPr>
                                <w:p w14:paraId="1906605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 </w:t>
                                  </w:r>
                                </w:p>
                              </w:tc>
                              <w:tc>
                                <w:tcPr>
                                  <w:tcW w:w="827" w:type="dxa"/>
                                  <w:tcBorders>
                                    <w:top w:val="single" w:sz="2" w:space="0" w:color="01769F"/>
                                    <w:left w:val="single" w:sz="4" w:space="0" w:color="000406"/>
                                    <w:right w:val="single" w:sz="4" w:space="0" w:color="000406"/>
                                  </w:tcBorders>
                                  <w:shd w:val="clear" w:color="auto" w:fill="E3E9EE"/>
                                  <w:vAlign w:val="center"/>
                                </w:tcPr>
                                <w:p w14:paraId="24AB74E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155 </w:t>
                                  </w:r>
                                </w:p>
                              </w:tc>
                              <w:tc>
                                <w:tcPr>
                                  <w:tcW w:w="895" w:type="dxa"/>
                                  <w:tcBorders>
                                    <w:top w:val="single" w:sz="2" w:space="0" w:color="01769F"/>
                                    <w:left w:val="single" w:sz="4" w:space="0" w:color="000406"/>
                                    <w:right w:val="single" w:sz="4" w:space="0" w:color="000406"/>
                                  </w:tcBorders>
                                  <w:shd w:val="clear" w:color="auto" w:fill="E3E9EE"/>
                                  <w:vAlign w:val="center"/>
                                </w:tcPr>
                                <w:p w14:paraId="60AF8BD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162 </w:t>
                                  </w:r>
                                </w:p>
                              </w:tc>
                              <w:tc>
                                <w:tcPr>
                                  <w:tcW w:w="880" w:type="dxa"/>
                                  <w:tcBorders>
                                    <w:top w:val="single" w:sz="2" w:space="0" w:color="01769F"/>
                                    <w:left w:val="single" w:sz="4" w:space="0" w:color="000406"/>
                                    <w:right w:val="single" w:sz="4" w:space="0" w:color="000406"/>
                                  </w:tcBorders>
                                  <w:shd w:val="clear" w:color="auto" w:fill="E3E9EE"/>
                                  <w:vAlign w:val="center"/>
                                </w:tcPr>
                                <w:p w14:paraId="4994A87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165 </w:t>
                                  </w:r>
                                </w:p>
                              </w:tc>
                              <w:tc>
                                <w:tcPr>
                                  <w:tcW w:w="817" w:type="dxa"/>
                                  <w:tcBorders>
                                    <w:top w:val="single" w:sz="2" w:space="0" w:color="01769F"/>
                                    <w:left w:val="single" w:sz="4" w:space="0" w:color="000406"/>
                                    <w:right w:val="single" w:sz="4" w:space="0" w:color="000204"/>
                                  </w:tcBorders>
                                  <w:shd w:val="clear" w:color="auto" w:fill="E3E9EE"/>
                                  <w:vAlign w:val="center"/>
                                </w:tcPr>
                                <w:p w14:paraId="670FFCF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168 </w:t>
                                  </w:r>
                                </w:p>
                              </w:tc>
                            </w:tr>
                            <w:tr w:rsidR="00541A14" w14:paraId="301BA7E1" w14:textId="77777777">
                              <w:trPr>
                                <w:gridAfter w:val="1"/>
                                <w:wAfter w:w="2214" w:type="dxa"/>
                                <w:trHeight w:val="151"/>
                              </w:trPr>
                              <w:tc>
                                <w:tcPr>
                                  <w:tcW w:w="1240" w:type="dxa"/>
                                  <w:tcBorders>
                                    <w:left w:val="single" w:sz="4" w:space="0" w:color="000204"/>
                                    <w:right w:val="single" w:sz="4" w:space="0" w:color="000406"/>
                                  </w:tcBorders>
                                  <w:vAlign w:val="center"/>
                                </w:tcPr>
                                <w:p w14:paraId="32617FF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50 </w:t>
                                  </w:r>
                                </w:p>
                              </w:tc>
                              <w:tc>
                                <w:tcPr>
                                  <w:tcW w:w="827" w:type="dxa"/>
                                  <w:tcBorders>
                                    <w:left w:val="single" w:sz="4" w:space="0" w:color="000406"/>
                                    <w:right w:val="single" w:sz="4" w:space="0" w:color="000406"/>
                                  </w:tcBorders>
                                  <w:vAlign w:val="center"/>
                                </w:tcPr>
                                <w:p w14:paraId="61782C4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144 </w:t>
                                  </w:r>
                                </w:p>
                              </w:tc>
                              <w:tc>
                                <w:tcPr>
                                  <w:tcW w:w="895" w:type="dxa"/>
                                  <w:tcBorders>
                                    <w:left w:val="single" w:sz="4" w:space="0" w:color="000406"/>
                                    <w:right w:val="single" w:sz="4" w:space="0" w:color="000406"/>
                                  </w:tcBorders>
                                  <w:vAlign w:val="center"/>
                                </w:tcPr>
                                <w:p w14:paraId="5A47AD6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c>
                                <w:tcPr>
                                  <w:tcW w:w="880" w:type="dxa"/>
                                  <w:tcBorders>
                                    <w:left w:val="single" w:sz="4" w:space="0" w:color="000406"/>
                                    <w:right w:val="single" w:sz="4" w:space="0" w:color="000406"/>
                                  </w:tcBorders>
                                  <w:vAlign w:val="center"/>
                                </w:tcPr>
                                <w:p w14:paraId="0AD4542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154 </w:t>
                                  </w:r>
                                </w:p>
                              </w:tc>
                              <w:tc>
                                <w:tcPr>
                                  <w:tcW w:w="817" w:type="dxa"/>
                                  <w:tcBorders>
                                    <w:left w:val="single" w:sz="4" w:space="0" w:color="000406"/>
                                    <w:right w:val="single" w:sz="4" w:space="0" w:color="000204"/>
                                  </w:tcBorders>
                                  <w:vAlign w:val="center"/>
                                </w:tcPr>
                                <w:p w14:paraId="0EAD798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157 </w:t>
                                  </w:r>
                                </w:p>
                              </w:tc>
                            </w:tr>
                            <w:tr w:rsidR="00541A14" w14:paraId="02FBD54A" w14:textId="77777777">
                              <w:trPr>
                                <w:gridAfter w:val="1"/>
                                <w:wAfter w:w="2214" w:type="dxa"/>
                                <w:trHeight w:val="151"/>
                              </w:trPr>
                              <w:tc>
                                <w:tcPr>
                                  <w:tcW w:w="1240" w:type="dxa"/>
                                  <w:tcBorders>
                                    <w:left w:val="single" w:sz="4" w:space="0" w:color="000204"/>
                                    <w:right w:val="single" w:sz="4" w:space="0" w:color="000406"/>
                                  </w:tcBorders>
                                  <w:shd w:val="clear" w:color="auto" w:fill="E3E9EE"/>
                                  <w:vAlign w:val="center"/>
                                </w:tcPr>
                                <w:p w14:paraId="30041DE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100 </w:t>
                                  </w:r>
                                </w:p>
                              </w:tc>
                              <w:tc>
                                <w:tcPr>
                                  <w:tcW w:w="827" w:type="dxa"/>
                                  <w:tcBorders>
                                    <w:left w:val="single" w:sz="4" w:space="0" w:color="000406"/>
                                    <w:right w:val="single" w:sz="4" w:space="0" w:color="000406"/>
                                  </w:tcBorders>
                                  <w:shd w:val="clear" w:color="auto" w:fill="E3E9EE"/>
                                  <w:vAlign w:val="center"/>
                                </w:tcPr>
                                <w:p w14:paraId="28FD205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895" w:type="dxa"/>
                                  <w:tcBorders>
                                    <w:left w:val="single" w:sz="4" w:space="0" w:color="000406"/>
                                    <w:right w:val="single" w:sz="4" w:space="0" w:color="000406"/>
                                  </w:tcBorders>
                                  <w:shd w:val="clear" w:color="auto" w:fill="E3E9EE"/>
                                  <w:vAlign w:val="center"/>
                                </w:tcPr>
                                <w:p w14:paraId="11CE33C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139 </w:t>
                                  </w:r>
                                </w:p>
                              </w:tc>
                              <w:tc>
                                <w:tcPr>
                                  <w:tcW w:w="880" w:type="dxa"/>
                                  <w:tcBorders>
                                    <w:left w:val="single" w:sz="4" w:space="0" w:color="000406"/>
                                    <w:right w:val="single" w:sz="4" w:space="0" w:color="000406"/>
                                  </w:tcBorders>
                                  <w:shd w:val="clear" w:color="auto" w:fill="E3E9EE"/>
                                  <w:vAlign w:val="center"/>
                                </w:tcPr>
                                <w:p w14:paraId="2EA5E79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143 </w:t>
                                  </w:r>
                                </w:p>
                              </w:tc>
                              <w:tc>
                                <w:tcPr>
                                  <w:tcW w:w="817" w:type="dxa"/>
                                  <w:tcBorders>
                                    <w:left w:val="single" w:sz="4" w:space="0" w:color="000406"/>
                                    <w:right w:val="single" w:sz="4" w:space="0" w:color="000204"/>
                                  </w:tcBorders>
                                  <w:shd w:val="clear" w:color="auto" w:fill="E3E9EE"/>
                                  <w:vAlign w:val="center"/>
                                </w:tcPr>
                                <w:p w14:paraId="2DB1399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146 </w:t>
                                  </w:r>
                                </w:p>
                              </w:tc>
                            </w:tr>
                            <w:tr w:rsidR="00541A14" w14:paraId="2A3C543B" w14:textId="77777777">
                              <w:trPr>
                                <w:gridAfter w:val="1"/>
                                <w:wAfter w:w="2214" w:type="dxa"/>
                                <w:trHeight w:val="151"/>
                              </w:trPr>
                              <w:tc>
                                <w:tcPr>
                                  <w:tcW w:w="1240" w:type="dxa"/>
                                  <w:tcBorders>
                                    <w:left w:val="single" w:sz="4" w:space="0" w:color="000204"/>
                                    <w:right w:val="single" w:sz="4" w:space="0" w:color="000406"/>
                                  </w:tcBorders>
                                  <w:vAlign w:val="center"/>
                                </w:tcPr>
                                <w:p w14:paraId="1232338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200 </w:t>
                                  </w:r>
                                </w:p>
                              </w:tc>
                              <w:tc>
                                <w:tcPr>
                                  <w:tcW w:w="827" w:type="dxa"/>
                                  <w:tcBorders>
                                    <w:left w:val="single" w:sz="4" w:space="0" w:color="000406"/>
                                    <w:right w:val="single" w:sz="4" w:space="0" w:color="000406"/>
                                  </w:tcBorders>
                                  <w:vAlign w:val="center"/>
                                </w:tcPr>
                                <w:p w14:paraId="2AEF8C0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125 </w:t>
                                  </w:r>
                                </w:p>
                              </w:tc>
                              <w:tc>
                                <w:tcPr>
                                  <w:tcW w:w="895" w:type="dxa"/>
                                  <w:tcBorders>
                                    <w:left w:val="single" w:sz="4" w:space="0" w:color="000406"/>
                                    <w:right w:val="single" w:sz="4" w:space="0" w:color="000406"/>
                                  </w:tcBorders>
                                  <w:vAlign w:val="center"/>
                                </w:tcPr>
                                <w:p w14:paraId="42DAB13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880" w:type="dxa"/>
                                  <w:tcBorders>
                                    <w:left w:val="single" w:sz="4" w:space="0" w:color="000406"/>
                                    <w:right w:val="single" w:sz="4" w:space="0" w:color="000406"/>
                                  </w:tcBorders>
                                  <w:vAlign w:val="center"/>
                                </w:tcPr>
                                <w:p w14:paraId="5ACC92C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136 </w:t>
                                  </w:r>
                                </w:p>
                              </w:tc>
                              <w:tc>
                                <w:tcPr>
                                  <w:tcW w:w="817" w:type="dxa"/>
                                  <w:tcBorders>
                                    <w:left w:val="single" w:sz="4" w:space="0" w:color="000406"/>
                                    <w:right w:val="single" w:sz="4" w:space="0" w:color="000204"/>
                                  </w:tcBorders>
                                  <w:vAlign w:val="center"/>
                                </w:tcPr>
                                <w:p w14:paraId="7528687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140 </w:t>
                                  </w:r>
                                </w:p>
                              </w:tc>
                            </w:tr>
                            <w:tr w:rsidR="00541A14" w14:paraId="20EEC6FF" w14:textId="77777777">
                              <w:trPr>
                                <w:gridAfter w:val="1"/>
                                <w:wAfter w:w="2214" w:type="dxa"/>
                                <w:trHeight w:val="151"/>
                              </w:trPr>
                              <w:tc>
                                <w:tcPr>
                                  <w:tcW w:w="1240" w:type="dxa"/>
                                  <w:tcBorders>
                                    <w:left w:val="single" w:sz="4" w:space="0" w:color="000204"/>
                                    <w:right w:val="single" w:sz="4" w:space="0" w:color="000406"/>
                                  </w:tcBorders>
                                  <w:shd w:val="clear" w:color="auto" w:fill="E3E9EE"/>
                                  <w:vAlign w:val="center"/>
                                </w:tcPr>
                                <w:p w14:paraId="67781B7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400 </w:t>
                                  </w:r>
                                </w:p>
                              </w:tc>
                              <w:tc>
                                <w:tcPr>
                                  <w:tcW w:w="827" w:type="dxa"/>
                                  <w:tcBorders>
                                    <w:left w:val="single" w:sz="4" w:space="0" w:color="000406"/>
                                    <w:right w:val="single" w:sz="4" w:space="0" w:color="000406"/>
                                  </w:tcBorders>
                                  <w:shd w:val="clear" w:color="auto" w:fill="E3E9EE"/>
                                  <w:vAlign w:val="center"/>
                                </w:tcPr>
                                <w:p w14:paraId="05C3BC9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117 </w:t>
                                  </w:r>
                                </w:p>
                              </w:tc>
                              <w:tc>
                                <w:tcPr>
                                  <w:tcW w:w="895" w:type="dxa"/>
                                  <w:tcBorders>
                                    <w:left w:val="single" w:sz="4" w:space="0" w:color="000406"/>
                                    <w:right w:val="single" w:sz="4" w:space="0" w:color="000406"/>
                                  </w:tcBorders>
                                  <w:shd w:val="clear" w:color="auto" w:fill="E3E9EE"/>
                                  <w:vAlign w:val="center"/>
                                </w:tcPr>
                                <w:p w14:paraId="4126C47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125 </w:t>
                                  </w:r>
                                </w:p>
                              </w:tc>
                              <w:tc>
                                <w:tcPr>
                                  <w:tcW w:w="880" w:type="dxa"/>
                                  <w:tcBorders>
                                    <w:left w:val="single" w:sz="4" w:space="0" w:color="000406"/>
                                    <w:right w:val="single" w:sz="4" w:space="0" w:color="000406"/>
                                  </w:tcBorders>
                                  <w:shd w:val="clear" w:color="auto" w:fill="E3E9EE"/>
                                  <w:vAlign w:val="center"/>
                                </w:tcPr>
                                <w:p w14:paraId="074B303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130 </w:t>
                                  </w:r>
                                </w:p>
                              </w:tc>
                              <w:tc>
                                <w:tcPr>
                                  <w:tcW w:w="817" w:type="dxa"/>
                                  <w:tcBorders>
                                    <w:left w:val="single" w:sz="4" w:space="0" w:color="000406"/>
                                    <w:right w:val="single" w:sz="4" w:space="0" w:color="000204"/>
                                  </w:tcBorders>
                                  <w:shd w:val="clear" w:color="auto" w:fill="E3E9EE"/>
                                  <w:vAlign w:val="center"/>
                                </w:tcPr>
                                <w:p w14:paraId="6A858FE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135 </w:t>
                                  </w:r>
                                </w:p>
                              </w:tc>
                            </w:tr>
                            <w:tr w:rsidR="00541A14" w14:paraId="3FDC0FC3" w14:textId="77777777">
                              <w:trPr>
                                <w:gridAfter w:val="1"/>
                                <w:wAfter w:w="2214" w:type="dxa"/>
                                <w:trHeight w:val="151"/>
                              </w:trPr>
                              <w:tc>
                                <w:tcPr>
                                  <w:tcW w:w="1240" w:type="dxa"/>
                                  <w:tcBorders>
                                    <w:left w:val="single" w:sz="4" w:space="0" w:color="000204"/>
                                    <w:right w:val="single" w:sz="4" w:space="0" w:color="000406"/>
                                  </w:tcBorders>
                                  <w:vAlign w:val="center"/>
                                </w:tcPr>
                                <w:p w14:paraId="0354E6F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800 </w:t>
                                  </w:r>
                                </w:p>
                              </w:tc>
                              <w:tc>
                                <w:tcPr>
                                  <w:tcW w:w="827" w:type="dxa"/>
                                  <w:tcBorders>
                                    <w:left w:val="single" w:sz="4" w:space="0" w:color="000406"/>
                                    <w:right w:val="single" w:sz="4" w:space="0" w:color="000406"/>
                                  </w:tcBorders>
                                  <w:vAlign w:val="center"/>
                                </w:tcPr>
                                <w:p w14:paraId="6B2CC89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112 </w:t>
                                  </w:r>
                                </w:p>
                              </w:tc>
                              <w:tc>
                                <w:tcPr>
                                  <w:tcW w:w="895" w:type="dxa"/>
                                  <w:tcBorders>
                                    <w:left w:val="single" w:sz="4" w:space="0" w:color="000406"/>
                                    <w:right w:val="single" w:sz="4" w:space="0" w:color="000406"/>
                                  </w:tcBorders>
                                  <w:vAlign w:val="center"/>
                                </w:tcPr>
                                <w:p w14:paraId="30188B0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121 </w:t>
                                  </w:r>
                                </w:p>
                              </w:tc>
                              <w:tc>
                                <w:tcPr>
                                  <w:tcW w:w="880" w:type="dxa"/>
                                  <w:tcBorders>
                                    <w:left w:val="single" w:sz="4" w:space="0" w:color="000406"/>
                                    <w:right w:val="single" w:sz="4" w:space="0" w:color="000406"/>
                                  </w:tcBorders>
                                  <w:vAlign w:val="center"/>
                                </w:tcPr>
                                <w:p w14:paraId="38993B5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128 </w:t>
                                  </w:r>
                                </w:p>
                              </w:tc>
                              <w:tc>
                                <w:tcPr>
                                  <w:tcW w:w="817" w:type="dxa"/>
                                  <w:tcBorders>
                                    <w:left w:val="single" w:sz="4" w:space="0" w:color="000406"/>
                                    <w:right w:val="single" w:sz="4" w:space="0" w:color="000204"/>
                                  </w:tcBorders>
                                  <w:vAlign w:val="center"/>
                                </w:tcPr>
                                <w:p w14:paraId="698574B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134 </w:t>
                                  </w:r>
                                </w:p>
                              </w:tc>
                            </w:tr>
                            <w:tr w:rsidR="00541A14" w14:paraId="5CF807AA" w14:textId="77777777">
                              <w:trPr>
                                <w:gridAfter w:val="1"/>
                                <w:wAfter w:w="2214" w:type="dxa"/>
                                <w:trHeight w:val="151"/>
                              </w:trPr>
                              <w:tc>
                                <w:tcPr>
                                  <w:tcW w:w="1240" w:type="dxa"/>
                                  <w:tcBorders>
                                    <w:left w:val="single" w:sz="4" w:space="0" w:color="000204"/>
                                    <w:right w:val="single" w:sz="4" w:space="0" w:color="000406"/>
                                  </w:tcBorders>
                                  <w:shd w:val="clear" w:color="auto" w:fill="E3E9EE"/>
                                  <w:vAlign w:val="center"/>
                                </w:tcPr>
                                <w:p w14:paraId="78557FE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1000 </w:t>
                                  </w:r>
                                </w:p>
                              </w:tc>
                              <w:tc>
                                <w:tcPr>
                                  <w:tcW w:w="827" w:type="dxa"/>
                                  <w:tcBorders>
                                    <w:left w:val="single" w:sz="4" w:space="0" w:color="000406"/>
                                    <w:right w:val="single" w:sz="4" w:space="0" w:color="000406"/>
                                  </w:tcBorders>
                                  <w:shd w:val="clear" w:color="auto" w:fill="E3E9EE"/>
                                  <w:vAlign w:val="center"/>
                                </w:tcPr>
                                <w:p w14:paraId="0318DFD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 </w:t>
                                  </w:r>
                                </w:p>
                              </w:tc>
                              <w:tc>
                                <w:tcPr>
                                  <w:tcW w:w="895" w:type="dxa"/>
                                  <w:tcBorders>
                                    <w:left w:val="single" w:sz="4" w:space="0" w:color="000406"/>
                                    <w:right w:val="single" w:sz="4" w:space="0" w:color="000406"/>
                                  </w:tcBorders>
                                  <w:shd w:val="clear" w:color="auto" w:fill="E3E9EE"/>
                                  <w:vAlign w:val="center"/>
                                </w:tcPr>
                                <w:p w14:paraId="6C501EF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121 </w:t>
                                  </w:r>
                                </w:p>
                              </w:tc>
                              <w:tc>
                                <w:tcPr>
                                  <w:tcW w:w="880" w:type="dxa"/>
                                  <w:tcBorders>
                                    <w:left w:val="single" w:sz="4" w:space="0" w:color="000406"/>
                                    <w:right w:val="single" w:sz="4" w:space="0" w:color="000406"/>
                                  </w:tcBorders>
                                  <w:shd w:val="clear" w:color="auto" w:fill="E3E9EE"/>
                                  <w:vAlign w:val="center"/>
                                </w:tcPr>
                                <w:p w14:paraId="58C1884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128 </w:t>
                                  </w:r>
                                </w:p>
                              </w:tc>
                              <w:tc>
                                <w:tcPr>
                                  <w:tcW w:w="817" w:type="dxa"/>
                                  <w:tcBorders>
                                    <w:left w:val="single" w:sz="4" w:space="0" w:color="000406"/>
                                    <w:right w:val="single" w:sz="4" w:space="0" w:color="000204"/>
                                  </w:tcBorders>
                                  <w:shd w:val="clear" w:color="auto" w:fill="E3E9EE"/>
                                  <w:vAlign w:val="center"/>
                                </w:tcPr>
                                <w:p w14:paraId="13952D5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135 </w:t>
                                  </w:r>
                                </w:p>
                              </w:tc>
                            </w:tr>
                            <w:tr w:rsidR="00541A14" w14:paraId="1DC09CA0" w14:textId="77777777">
                              <w:trPr>
                                <w:gridAfter w:val="1"/>
                                <w:wAfter w:w="2214" w:type="dxa"/>
                                <w:trHeight w:val="151"/>
                              </w:trPr>
                              <w:tc>
                                <w:tcPr>
                                  <w:tcW w:w="1240" w:type="dxa"/>
                                  <w:tcBorders>
                                    <w:left w:val="single" w:sz="4" w:space="0" w:color="000204"/>
                                    <w:right w:val="single" w:sz="4" w:space="0" w:color="000406"/>
                                  </w:tcBorders>
                                  <w:vAlign w:val="center"/>
                                </w:tcPr>
                                <w:p w14:paraId="324AE80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1250 </w:t>
                                  </w:r>
                                </w:p>
                              </w:tc>
                              <w:tc>
                                <w:tcPr>
                                  <w:tcW w:w="827" w:type="dxa"/>
                                  <w:tcBorders>
                                    <w:left w:val="single" w:sz="4" w:space="0" w:color="000406"/>
                                    <w:right w:val="single" w:sz="4" w:space="0" w:color="000406"/>
                                  </w:tcBorders>
                                  <w:vAlign w:val="center"/>
                                </w:tcPr>
                                <w:p w14:paraId="7EB494F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109 </w:t>
                                  </w:r>
                                </w:p>
                              </w:tc>
                              <w:tc>
                                <w:tcPr>
                                  <w:tcW w:w="895" w:type="dxa"/>
                                  <w:tcBorders>
                                    <w:left w:val="single" w:sz="4" w:space="0" w:color="000406"/>
                                    <w:right w:val="single" w:sz="4" w:space="0" w:color="000406"/>
                                  </w:tcBorders>
                                  <w:vAlign w:val="center"/>
                                </w:tcPr>
                                <w:p w14:paraId="70C3663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121 </w:t>
                                  </w:r>
                                </w:p>
                              </w:tc>
                              <w:tc>
                                <w:tcPr>
                                  <w:tcW w:w="880" w:type="dxa"/>
                                  <w:tcBorders>
                                    <w:left w:val="single" w:sz="4" w:space="0" w:color="000406"/>
                                    <w:right w:val="single" w:sz="4" w:space="0" w:color="000406"/>
                                  </w:tcBorders>
                                  <w:vAlign w:val="center"/>
                                </w:tcPr>
                                <w:p w14:paraId="1335963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129 </w:t>
                                  </w:r>
                                </w:p>
                              </w:tc>
                              <w:tc>
                                <w:tcPr>
                                  <w:tcW w:w="817" w:type="dxa"/>
                                  <w:tcBorders>
                                    <w:left w:val="single" w:sz="4" w:space="0" w:color="000406"/>
                                    <w:right w:val="single" w:sz="4" w:space="0" w:color="000204"/>
                                  </w:tcBorders>
                                  <w:vAlign w:val="center"/>
                                </w:tcPr>
                                <w:p w14:paraId="09D0790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137 </w:t>
                                  </w:r>
                                </w:p>
                              </w:tc>
                            </w:tr>
                            <w:tr w:rsidR="00541A14" w14:paraId="61DD0C4D" w14:textId="77777777">
                              <w:trPr>
                                <w:gridAfter w:val="1"/>
                                <w:wAfter w:w="2214" w:type="dxa"/>
                                <w:trHeight w:val="151"/>
                              </w:trPr>
                              <w:tc>
                                <w:tcPr>
                                  <w:tcW w:w="1240" w:type="dxa"/>
                                  <w:tcBorders>
                                    <w:left w:val="single" w:sz="4" w:space="0" w:color="000204"/>
                                    <w:right w:val="single" w:sz="4" w:space="0" w:color="000406"/>
                                  </w:tcBorders>
                                  <w:shd w:val="clear" w:color="auto" w:fill="E3E9EE"/>
                                  <w:vAlign w:val="center"/>
                                </w:tcPr>
                                <w:p w14:paraId="014562BF"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1600 </w:t>
                                  </w:r>
                                </w:p>
                              </w:tc>
                              <w:tc>
                                <w:tcPr>
                                  <w:tcW w:w="827" w:type="dxa"/>
                                  <w:tcBorders>
                                    <w:left w:val="single" w:sz="4" w:space="0" w:color="000406"/>
                                    <w:right w:val="single" w:sz="4" w:space="0" w:color="000406"/>
                                  </w:tcBorders>
                                  <w:shd w:val="clear" w:color="auto" w:fill="E3E9EE"/>
                                  <w:vAlign w:val="center"/>
                                </w:tcPr>
                                <w:p w14:paraId="5DE9EAD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109 </w:t>
                                  </w:r>
                                </w:p>
                              </w:tc>
                              <w:tc>
                                <w:tcPr>
                                  <w:tcW w:w="895" w:type="dxa"/>
                                  <w:tcBorders>
                                    <w:left w:val="single" w:sz="4" w:space="0" w:color="000406"/>
                                    <w:right w:val="single" w:sz="4" w:space="0" w:color="000406"/>
                                  </w:tcBorders>
                                  <w:shd w:val="clear" w:color="auto" w:fill="E3E9EE"/>
                                  <w:vAlign w:val="center"/>
                                </w:tcPr>
                                <w:p w14:paraId="71E30F7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122 </w:t>
                                  </w:r>
                                </w:p>
                              </w:tc>
                              <w:tc>
                                <w:tcPr>
                                  <w:tcW w:w="880" w:type="dxa"/>
                                  <w:tcBorders>
                                    <w:left w:val="single" w:sz="4" w:space="0" w:color="000406"/>
                                    <w:right w:val="single" w:sz="4" w:space="0" w:color="000406"/>
                                  </w:tcBorders>
                                  <w:shd w:val="clear" w:color="auto" w:fill="E3E9EE"/>
                                  <w:vAlign w:val="center"/>
                                </w:tcPr>
                                <w:p w14:paraId="2ED48FD0"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817" w:type="dxa"/>
                                  <w:tcBorders>
                                    <w:left w:val="single" w:sz="4" w:space="0" w:color="000406"/>
                                    <w:right w:val="single" w:sz="4" w:space="0" w:color="000204"/>
                                  </w:tcBorders>
                                  <w:shd w:val="clear" w:color="auto" w:fill="E3E9EE"/>
                                  <w:vAlign w:val="center"/>
                                </w:tcPr>
                                <w:p w14:paraId="2B9DDAB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141 </w:t>
                                  </w:r>
                                </w:p>
                              </w:tc>
                            </w:tr>
                            <w:tr w:rsidR="00541A14" w14:paraId="43D3990C" w14:textId="77777777">
                              <w:trPr>
                                <w:gridAfter w:val="1"/>
                                <w:wAfter w:w="2214" w:type="dxa"/>
                                <w:trHeight w:val="151"/>
                              </w:trPr>
                              <w:tc>
                                <w:tcPr>
                                  <w:tcW w:w="1240" w:type="dxa"/>
                                  <w:tcBorders>
                                    <w:left w:val="single" w:sz="4" w:space="0" w:color="000204"/>
                                    <w:right w:val="single" w:sz="4" w:space="0" w:color="000406"/>
                                  </w:tcBorders>
                                  <w:vAlign w:val="center"/>
                                </w:tcPr>
                                <w:p w14:paraId="782DD40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2000 </w:t>
                                  </w:r>
                                </w:p>
                              </w:tc>
                              <w:tc>
                                <w:tcPr>
                                  <w:tcW w:w="827" w:type="dxa"/>
                                  <w:tcBorders>
                                    <w:left w:val="single" w:sz="4" w:space="0" w:color="000406"/>
                                    <w:right w:val="single" w:sz="4" w:space="0" w:color="000406"/>
                                  </w:tcBorders>
                                  <w:vAlign w:val="center"/>
                                </w:tcPr>
                                <w:p w14:paraId="112C7D5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108 </w:t>
                                  </w:r>
                                </w:p>
                              </w:tc>
                              <w:tc>
                                <w:tcPr>
                                  <w:tcW w:w="895" w:type="dxa"/>
                                  <w:tcBorders>
                                    <w:left w:val="single" w:sz="4" w:space="0" w:color="000406"/>
                                    <w:right w:val="single" w:sz="4" w:space="0" w:color="000406"/>
                                  </w:tcBorders>
                                  <w:vAlign w:val="center"/>
                                </w:tcPr>
                                <w:p w14:paraId="72D065A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123 </w:t>
                                  </w:r>
                                </w:p>
                              </w:tc>
                              <w:tc>
                                <w:tcPr>
                                  <w:tcW w:w="880" w:type="dxa"/>
                                  <w:tcBorders>
                                    <w:left w:val="single" w:sz="4" w:space="0" w:color="000406"/>
                                    <w:right w:val="single" w:sz="4" w:space="0" w:color="000406"/>
                                  </w:tcBorders>
                                  <w:vAlign w:val="center"/>
                                </w:tcPr>
                                <w:p w14:paraId="3FD9116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136 </w:t>
                                  </w:r>
                                </w:p>
                              </w:tc>
                              <w:tc>
                                <w:tcPr>
                                  <w:tcW w:w="817" w:type="dxa"/>
                                  <w:tcBorders>
                                    <w:left w:val="single" w:sz="4" w:space="0" w:color="000406"/>
                                    <w:right w:val="single" w:sz="4" w:space="0" w:color="000204"/>
                                  </w:tcBorders>
                                  <w:vAlign w:val="center"/>
                                </w:tcPr>
                                <w:p w14:paraId="057DBD4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148 </w:t>
                                  </w:r>
                                </w:p>
                              </w:tc>
                            </w:tr>
                            <w:tr w:rsidR="00541A14" w14:paraId="2DC599EC" w14:textId="77777777">
                              <w:trPr>
                                <w:gridAfter w:val="1"/>
                                <w:wAfter w:w="2214" w:type="dxa"/>
                                <w:trHeight w:val="151"/>
                              </w:trPr>
                              <w:tc>
                                <w:tcPr>
                                  <w:tcW w:w="1240" w:type="dxa"/>
                                  <w:tcBorders>
                                    <w:left w:val="single" w:sz="4" w:space="0" w:color="000204"/>
                                    <w:right w:val="single" w:sz="4" w:space="0" w:color="000406"/>
                                  </w:tcBorders>
                                  <w:shd w:val="clear" w:color="auto" w:fill="E3E9EE"/>
                                  <w:vAlign w:val="center"/>
                                </w:tcPr>
                                <w:p w14:paraId="27A3410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2500 </w:t>
                                  </w:r>
                                </w:p>
                              </w:tc>
                              <w:tc>
                                <w:tcPr>
                                  <w:tcW w:w="827" w:type="dxa"/>
                                  <w:tcBorders>
                                    <w:left w:val="single" w:sz="4" w:space="0" w:color="000406"/>
                                    <w:right w:val="single" w:sz="4" w:space="0" w:color="000406"/>
                                  </w:tcBorders>
                                  <w:shd w:val="clear" w:color="auto" w:fill="E3E9EE"/>
                                  <w:vAlign w:val="center"/>
                                </w:tcPr>
                                <w:p w14:paraId="3D031B1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109 </w:t>
                                  </w:r>
                                </w:p>
                              </w:tc>
                              <w:tc>
                                <w:tcPr>
                                  <w:tcW w:w="895" w:type="dxa"/>
                                  <w:tcBorders>
                                    <w:left w:val="single" w:sz="4" w:space="0" w:color="000406"/>
                                    <w:right w:val="single" w:sz="4" w:space="0" w:color="000406"/>
                                  </w:tcBorders>
                                  <w:shd w:val="clear" w:color="auto" w:fill="E3E9EE"/>
                                  <w:vAlign w:val="center"/>
                                </w:tcPr>
                                <w:p w14:paraId="3B33F26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127 </w:t>
                                  </w:r>
                                </w:p>
                              </w:tc>
                              <w:tc>
                                <w:tcPr>
                                  <w:tcW w:w="880" w:type="dxa"/>
                                  <w:tcBorders>
                                    <w:left w:val="single" w:sz="4" w:space="0" w:color="000406"/>
                                    <w:right w:val="single" w:sz="4" w:space="0" w:color="000406"/>
                                  </w:tcBorders>
                                  <w:shd w:val="clear" w:color="auto" w:fill="E3E9EE"/>
                                  <w:vAlign w:val="center"/>
                                </w:tcPr>
                                <w:p w14:paraId="52E6AB6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142 </w:t>
                                  </w:r>
                                </w:p>
                              </w:tc>
                              <w:tc>
                                <w:tcPr>
                                  <w:tcW w:w="817" w:type="dxa"/>
                                  <w:tcBorders>
                                    <w:left w:val="single" w:sz="4" w:space="0" w:color="000406"/>
                                    <w:right w:val="single" w:sz="4" w:space="0" w:color="000204"/>
                                  </w:tcBorders>
                                  <w:shd w:val="clear" w:color="auto" w:fill="E3E9EE"/>
                                  <w:vAlign w:val="center"/>
                                </w:tcPr>
                                <w:p w14:paraId="764AC71D"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157 </w:t>
                                  </w:r>
                                </w:p>
                              </w:tc>
                            </w:tr>
                            <w:tr w:rsidR="00541A14" w14:paraId="6ABC4177" w14:textId="77777777">
                              <w:trPr>
                                <w:gridAfter w:val="1"/>
                                <w:wAfter w:w="2214" w:type="dxa"/>
                                <w:trHeight w:val="150"/>
                              </w:trPr>
                              <w:tc>
                                <w:tcPr>
                                  <w:tcW w:w="1240" w:type="dxa"/>
                                  <w:tcBorders>
                                    <w:left w:val="single" w:sz="4" w:space="0" w:color="000204"/>
                                    <w:right w:val="single" w:sz="4" w:space="0" w:color="000406"/>
                                  </w:tcBorders>
                                  <w:vAlign w:val="center"/>
                                </w:tcPr>
                                <w:p w14:paraId="10AECC47"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3150 </w:t>
                                  </w:r>
                                </w:p>
                              </w:tc>
                              <w:tc>
                                <w:tcPr>
                                  <w:tcW w:w="827" w:type="dxa"/>
                                  <w:tcBorders>
                                    <w:left w:val="single" w:sz="4" w:space="0" w:color="000406"/>
                                    <w:right w:val="single" w:sz="4" w:space="0" w:color="000406"/>
                                  </w:tcBorders>
                                  <w:vAlign w:val="center"/>
                                </w:tcPr>
                                <w:p w14:paraId="1CDF759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 </w:t>
                                  </w:r>
                                </w:p>
                              </w:tc>
                              <w:tc>
                                <w:tcPr>
                                  <w:tcW w:w="895" w:type="dxa"/>
                                  <w:tcBorders>
                                    <w:left w:val="single" w:sz="4" w:space="0" w:color="000406"/>
                                    <w:right w:val="single" w:sz="4" w:space="0" w:color="000406"/>
                                  </w:tcBorders>
                                  <w:vAlign w:val="center"/>
                                </w:tcPr>
                                <w:p w14:paraId="43AF0BB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880" w:type="dxa"/>
                                  <w:tcBorders>
                                    <w:left w:val="single" w:sz="4" w:space="0" w:color="000406"/>
                                    <w:right w:val="single" w:sz="4" w:space="0" w:color="000406"/>
                                  </w:tcBorders>
                                  <w:vAlign w:val="center"/>
                                </w:tcPr>
                                <w:p w14:paraId="2D61D1A9"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152 </w:t>
                                  </w:r>
                                </w:p>
                              </w:tc>
                              <w:tc>
                                <w:tcPr>
                                  <w:tcW w:w="817" w:type="dxa"/>
                                  <w:tcBorders>
                                    <w:left w:val="single" w:sz="4" w:space="0" w:color="000406"/>
                                    <w:right w:val="single" w:sz="4" w:space="0" w:color="000204"/>
                                  </w:tcBorders>
                                  <w:vAlign w:val="center"/>
                                </w:tcPr>
                                <w:p w14:paraId="1CB51A3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170 </w:t>
                                  </w:r>
                                </w:p>
                              </w:tc>
                            </w:tr>
                            <w:tr w:rsidR="00541A14" w14:paraId="51E99812" w14:textId="77777777">
                              <w:trPr>
                                <w:gridAfter w:val="1"/>
                                <w:wAfter w:w="2214" w:type="dxa"/>
                                <w:trHeight w:val="151"/>
                              </w:trPr>
                              <w:tc>
                                <w:tcPr>
                                  <w:tcW w:w="1240" w:type="dxa"/>
                                  <w:tcBorders>
                                    <w:left w:val="single" w:sz="4" w:space="0" w:color="000204"/>
                                    <w:bottom w:val="single" w:sz="4" w:space="0" w:color="000000"/>
                                    <w:right w:val="single" w:sz="4" w:space="0" w:color="000406"/>
                                  </w:tcBorders>
                                  <w:shd w:val="clear" w:color="auto" w:fill="E3E9EE"/>
                                  <w:vAlign w:val="center"/>
                                </w:tcPr>
                                <w:p w14:paraId="532871FB"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4000 </w:t>
                                  </w:r>
                                </w:p>
                              </w:tc>
                              <w:tc>
                                <w:tcPr>
                                  <w:tcW w:w="827" w:type="dxa"/>
                                  <w:tcBorders>
                                    <w:left w:val="single" w:sz="4" w:space="0" w:color="000406"/>
                                    <w:bottom w:val="single" w:sz="4" w:space="0" w:color="000000"/>
                                    <w:right w:val="single" w:sz="4" w:space="0" w:color="000406"/>
                                  </w:tcBorders>
                                  <w:shd w:val="clear" w:color="auto" w:fill="E3E9EE"/>
                                  <w:vAlign w:val="center"/>
                                </w:tcPr>
                                <w:p w14:paraId="51A99EC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112 </w:t>
                                  </w:r>
                                </w:p>
                              </w:tc>
                              <w:tc>
                                <w:tcPr>
                                  <w:tcW w:w="895" w:type="dxa"/>
                                  <w:tcBorders>
                                    <w:left w:val="single" w:sz="4" w:space="0" w:color="000406"/>
                                    <w:bottom w:val="single" w:sz="4" w:space="0" w:color="000000"/>
                                    <w:right w:val="single" w:sz="4" w:space="0" w:color="000406"/>
                                  </w:tcBorders>
                                  <w:shd w:val="clear" w:color="auto" w:fill="E3E9EE"/>
                                  <w:vAlign w:val="center"/>
                                </w:tcPr>
                                <w:p w14:paraId="733CDDA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142 </w:t>
                                  </w:r>
                                </w:p>
                              </w:tc>
                              <w:tc>
                                <w:tcPr>
                                  <w:tcW w:w="880" w:type="dxa"/>
                                  <w:tcBorders>
                                    <w:left w:val="single" w:sz="4" w:space="0" w:color="000406"/>
                                    <w:bottom w:val="single" w:sz="4" w:space="0" w:color="000000"/>
                                    <w:right w:val="single" w:sz="4" w:space="0" w:color="000406"/>
                                  </w:tcBorders>
                                  <w:shd w:val="clear" w:color="auto" w:fill="E3E9EE"/>
                                  <w:vAlign w:val="center"/>
                                </w:tcPr>
                                <w:p w14:paraId="01114E8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168 </w:t>
                                  </w:r>
                                </w:p>
                              </w:tc>
                              <w:tc>
                                <w:tcPr>
                                  <w:tcW w:w="817" w:type="dxa"/>
                                  <w:tcBorders>
                                    <w:left w:val="single" w:sz="4" w:space="0" w:color="000406"/>
                                    <w:bottom w:val="single" w:sz="4" w:space="0" w:color="000000"/>
                                    <w:right w:val="single" w:sz="4" w:space="0" w:color="000204"/>
                                  </w:tcBorders>
                                  <w:shd w:val="clear" w:color="auto" w:fill="E3E9EE"/>
                                  <w:vAlign w:val="center"/>
                                </w:tcPr>
                                <w:p w14:paraId="0FFF584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193 </w:t>
                                  </w:r>
                                </w:p>
                              </w:tc>
                            </w:tr>
                          </w:tbl>
                          <w:p w14:paraId="6593864A"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49" type="#_x0000_t202" style="position:absolute;margin-left:77.3pt;margin-top:504.4pt;width:273.1pt;height:279.2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57"/>
                        <w:gridCol w:w="33"/>
                        <w:gridCol w:w="120"/>
                        <w:gridCol w:w="182"/>
                        <w:gridCol w:w="33"/>
                        <w:gridCol w:w="135"/>
                        <w:gridCol w:w="177"/>
                        <w:gridCol w:w="125"/>
                        <w:gridCol w:w="55"/>
                        <w:gridCol w:w="20"/>
                        <w:gridCol w:w="50"/>
                        <w:gridCol w:w="50"/>
                        <w:gridCol w:w="118"/>
                        <w:gridCol w:w="97"/>
                        <w:gridCol w:w="33"/>
                        <w:gridCol w:w="175"/>
                        <w:gridCol w:w="197"/>
                        <w:gridCol w:w="112"/>
                        <w:gridCol w:w="5"/>
                        <w:gridCol w:w="123"/>
                        <w:gridCol w:w="37"/>
                        <w:gridCol w:w="265"/>
                        <w:gridCol w:w="240"/>
                        <w:gridCol w:w="60"/>
                        <w:gridCol w:w="237"/>
                        <w:gridCol w:w="38"/>
                        <w:gridCol w:w="40"/>
                        <w:gridCol w:w="50"/>
                        <w:gridCol w:w="370"/>
                        <w:gridCol w:w="5"/>
                        <w:gridCol w:w="5"/>
                        <w:gridCol w:w="12"/>
                        <w:gridCol w:w="47"/>
                        <w:gridCol w:w="168"/>
                        <w:gridCol w:w="52"/>
                        <w:gridCol w:w="110"/>
                        <w:gridCol w:w="12"/>
                        <w:gridCol w:w="108"/>
                        <w:gridCol w:w="503"/>
                        <w:gridCol w:w="47"/>
                        <w:gridCol w:w="355"/>
                        <w:gridCol w:w="10"/>
                        <w:gridCol w:w="371"/>
                        <w:gridCol w:w="509"/>
                        <w:gridCol w:w="183"/>
                        <w:gridCol w:w="57"/>
                        <w:gridCol w:w="283"/>
                        <w:gridCol w:w="1892"/>
                        <w:gridCol w:w="77"/>
                        <w:gridCol w:w="15"/>
                        <w:gridCol w:w="8"/>
                      </w:tblGrid>
                      <w:tr w:rsidR="00000000" w14:paraId="7D49D62E" w14:textId="77777777">
                        <w:tblPrEx>
                          <w:tblCellMar>
                            <w:top w:w="0" w:type="dxa"/>
                            <w:bottom w:w="0" w:type="dxa"/>
                          </w:tblCellMar>
                        </w:tblPrEx>
                        <w:trPr>
                          <w:gridAfter w:val="14"/>
                          <w:wAfter w:w="2211" w:type="dxa"/>
                          <w:trHeight w:val="156"/>
                        </w:trPr>
                        <w:tc>
                          <w:tcPr>
                            <w:tcW w:w="4662" w:type="dxa"/>
                            <w:gridSpan w:val="39"/>
                            <w:tcBorders>
                              <w:top w:val="single" w:sz="4" w:space="0" w:color="001219"/>
                              <w:left w:val="single" w:sz="4" w:space="0" w:color="000204"/>
                              <w:bottom w:val="single" w:sz="4" w:space="0" w:color="00202C"/>
                              <w:right w:val="single" w:sz="4" w:space="0" w:color="000204"/>
                            </w:tcBorders>
                            <w:shd w:val="clear" w:color="auto" w:fill="01769F"/>
                            <w:vAlign w:val="center"/>
                          </w:tcPr>
                          <w:p w14:paraId="3539965A"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Sound Pressure Level </w:t>
                            </w:r>
                          </w:p>
                        </w:tc>
                      </w:tr>
                      <w:tr w:rsidR="00000000" w14:paraId="6C3A70CD" w14:textId="77777777">
                        <w:tblPrEx>
                          <w:tblCellMar>
                            <w:top w:w="0" w:type="dxa"/>
                            <w:bottom w:w="0" w:type="dxa"/>
                          </w:tblCellMar>
                        </w:tblPrEx>
                        <w:trPr>
                          <w:gridAfter w:val="15"/>
                          <w:wAfter w:w="2214" w:type="dxa"/>
                          <w:trHeight w:val="256"/>
                        </w:trPr>
                        <w:tc>
                          <w:tcPr>
                            <w:tcW w:w="1240" w:type="dxa"/>
                            <w:gridSpan w:val="5"/>
                            <w:tcBorders>
                              <w:top w:val="single" w:sz="4" w:space="0" w:color="00202C"/>
                              <w:left w:val="single" w:sz="4" w:space="0" w:color="000204"/>
                              <w:right w:val="single" w:sz="4" w:space="0" w:color="000406"/>
                            </w:tcBorders>
                            <w:shd w:val="clear" w:color="auto" w:fill="01769F"/>
                            <w:vAlign w:val="center"/>
                          </w:tcPr>
                          <w:p w14:paraId="14AA9A99"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Pu(nm) f(Hz) </w:t>
                            </w:r>
                          </w:p>
                        </w:tc>
                        <w:tc>
                          <w:tcPr>
                            <w:tcW w:w="827" w:type="dxa"/>
                            <w:gridSpan w:val="9"/>
                            <w:tcBorders>
                              <w:top w:val="single" w:sz="4" w:space="0" w:color="00202C"/>
                              <w:left w:val="single" w:sz="4" w:space="0" w:color="000406"/>
                              <w:right w:val="single" w:sz="4" w:space="0" w:color="000406"/>
                            </w:tcBorders>
                            <w:shd w:val="clear" w:color="auto" w:fill="01769F"/>
                            <w:vAlign w:val="center"/>
                          </w:tcPr>
                          <w:p w14:paraId="6FF9AB08"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0.5 </w:t>
                            </w:r>
                          </w:p>
                        </w:tc>
                        <w:tc>
                          <w:tcPr>
                            <w:tcW w:w="895" w:type="dxa"/>
                            <w:gridSpan w:val="9"/>
                            <w:tcBorders>
                              <w:top w:val="single" w:sz="4" w:space="0" w:color="00202C"/>
                              <w:left w:val="single" w:sz="4" w:space="0" w:color="000406"/>
                              <w:right w:val="single" w:sz="4" w:space="0" w:color="000406"/>
                            </w:tcBorders>
                            <w:shd w:val="clear" w:color="auto" w:fill="01769F"/>
                            <w:vAlign w:val="center"/>
                          </w:tcPr>
                          <w:p w14:paraId="58234EBC"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 </w:t>
                            </w:r>
                          </w:p>
                        </w:tc>
                        <w:tc>
                          <w:tcPr>
                            <w:tcW w:w="880" w:type="dxa"/>
                            <w:gridSpan w:val="6"/>
                            <w:tcBorders>
                              <w:top w:val="single" w:sz="4" w:space="0" w:color="00202C"/>
                              <w:left w:val="single" w:sz="4" w:space="0" w:color="000406"/>
                              <w:right w:val="single" w:sz="4" w:space="0" w:color="000406"/>
                            </w:tcBorders>
                            <w:shd w:val="clear" w:color="auto" w:fill="01769F"/>
                            <w:vAlign w:val="center"/>
                          </w:tcPr>
                          <w:p w14:paraId="5D9073D0"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1,5 </w:t>
                            </w:r>
                          </w:p>
                        </w:tc>
                        <w:tc>
                          <w:tcPr>
                            <w:tcW w:w="817" w:type="dxa"/>
                            <w:gridSpan w:val="9"/>
                            <w:tcBorders>
                              <w:top w:val="single" w:sz="4" w:space="0" w:color="00202C"/>
                              <w:left w:val="single" w:sz="4" w:space="0" w:color="000406"/>
                              <w:right w:val="single" w:sz="4" w:space="0" w:color="000204"/>
                            </w:tcBorders>
                            <w:shd w:val="clear" w:color="auto" w:fill="01769F"/>
                            <w:vAlign w:val="center"/>
                          </w:tcPr>
                          <w:p w14:paraId="09B7D386"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2 </w:t>
                            </w:r>
                          </w:p>
                        </w:tc>
                      </w:tr>
                      <w:tr w:rsidR="00000000" w14:paraId="6B68E68C" w14:textId="77777777">
                        <w:tblPrEx>
                          <w:tblCellMar>
                            <w:top w:w="0" w:type="dxa"/>
                            <w:bottom w:w="0" w:type="dxa"/>
                          </w:tblCellMar>
                        </w:tblPrEx>
                        <w:trPr>
                          <w:gridAfter w:val="15"/>
                          <w:wAfter w:w="2214" w:type="dxa"/>
                          <w:trHeight w:val="152"/>
                        </w:trPr>
                        <w:tc>
                          <w:tcPr>
                            <w:tcW w:w="1240" w:type="dxa"/>
                            <w:gridSpan w:val="5"/>
                            <w:tcBorders>
                              <w:top w:val="single" w:sz="2" w:space="0" w:color="01769F"/>
                              <w:left w:val="single" w:sz="4" w:space="0" w:color="000204"/>
                              <w:right w:val="single" w:sz="4" w:space="0" w:color="000406"/>
                            </w:tcBorders>
                            <w:shd w:val="clear" w:color="auto" w:fill="E3E9EE"/>
                            <w:vAlign w:val="center"/>
                          </w:tcPr>
                          <w:p w14:paraId="1906605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 </w:t>
                            </w:r>
                          </w:p>
                        </w:tc>
                        <w:tc>
                          <w:tcPr>
                            <w:tcW w:w="827" w:type="dxa"/>
                            <w:gridSpan w:val="9"/>
                            <w:tcBorders>
                              <w:top w:val="single" w:sz="2" w:space="0" w:color="01769F"/>
                              <w:left w:val="single" w:sz="4" w:space="0" w:color="000406"/>
                              <w:right w:val="single" w:sz="4" w:space="0" w:color="000406"/>
                            </w:tcBorders>
                            <w:shd w:val="clear" w:color="auto" w:fill="E3E9EE"/>
                            <w:vAlign w:val="center"/>
                          </w:tcPr>
                          <w:p w14:paraId="24AB74E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155 </w:t>
                            </w:r>
                          </w:p>
                        </w:tc>
                        <w:tc>
                          <w:tcPr>
                            <w:tcW w:w="895" w:type="dxa"/>
                            <w:gridSpan w:val="9"/>
                            <w:tcBorders>
                              <w:top w:val="single" w:sz="2" w:space="0" w:color="01769F"/>
                              <w:left w:val="single" w:sz="4" w:space="0" w:color="000406"/>
                              <w:right w:val="single" w:sz="4" w:space="0" w:color="000406"/>
                            </w:tcBorders>
                            <w:shd w:val="clear" w:color="auto" w:fill="E3E9EE"/>
                            <w:vAlign w:val="center"/>
                          </w:tcPr>
                          <w:p w14:paraId="60AF8BD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162 </w:t>
                            </w:r>
                          </w:p>
                        </w:tc>
                        <w:tc>
                          <w:tcPr>
                            <w:tcW w:w="880" w:type="dxa"/>
                            <w:gridSpan w:val="6"/>
                            <w:tcBorders>
                              <w:top w:val="single" w:sz="2" w:space="0" w:color="01769F"/>
                              <w:left w:val="single" w:sz="4" w:space="0" w:color="000406"/>
                              <w:right w:val="single" w:sz="4" w:space="0" w:color="000406"/>
                            </w:tcBorders>
                            <w:shd w:val="clear" w:color="auto" w:fill="E3E9EE"/>
                            <w:vAlign w:val="center"/>
                          </w:tcPr>
                          <w:p w14:paraId="4994A87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165 </w:t>
                            </w:r>
                          </w:p>
                        </w:tc>
                        <w:tc>
                          <w:tcPr>
                            <w:tcW w:w="817" w:type="dxa"/>
                            <w:gridSpan w:val="9"/>
                            <w:tcBorders>
                              <w:top w:val="single" w:sz="2" w:space="0" w:color="01769F"/>
                              <w:left w:val="single" w:sz="4" w:space="0" w:color="000406"/>
                              <w:right w:val="single" w:sz="4" w:space="0" w:color="000204"/>
                            </w:tcBorders>
                            <w:shd w:val="clear" w:color="auto" w:fill="E3E9EE"/>
                            <w:vAlign w:val="center"/>
                          </w:tcPr>
                          <w:p w14:paraId="670FFCF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168 </w:t>
                            </w:r>
                          </w:p>
                        </w:tc>
                      </w:tr>
                      <w:tr w:rsidR="00000000" w14:paraId="301BA7E1" w14:textId="77777777">
                        <w:tblPrEx>
                          <w:tblCellMar>
                            <w:top w:w="0" w:type="dxa"/>
                            <w:bottom w:w="0" w:type="dxa"/>
                          </w:tblCellMar>
                        </w:tblPrEx>
                        <w:trPr>
                          <w:gridAfter w:val="15"/>
                          <w:wAfter w:w="2214" w:type="dxa"/>
                          <w:trHeight w:val="151"/>
                        </w:trPr>
                        <w:tc>
                          <w:tcPr>
                            <w:tcW w:w="1240" w:type="dxa"/>
                            <w:gridSpan w:val="5"/>
                            <w:tcBorders>
                              <w:left w:val="single" w:sz="4" w:space="0" w:color="000204"/>
                              <w:right w:val="single" w:sz="4" w:space="0" w:color="000406"/>
                            </w:tcBorders>
                            <w:vAlign w:val="center"/>
                          </w:tcPr>
                          <w:p w14:paraId="32617FF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50 </w:t>
                            </w:r>
                          </w:p>
                        </w:tc>
                        <w:tc>
                          <w:tcPr>
                            <w:tcW w:w="827" w:type="dxa"/>
                            <w:gridSpan w:val="9"/>
                            <w:tcBorders>
                              <w:left w:val="single" w:sz="4" w:space="0" w:color="000406"/>
                              <w:right w:val="single" w:sz="4" w:space="0" w:color="000406"/>
                            </w:tcBorders>
                            <w:vAlign w:val="center"/>
                          </w:tcPr>
                          <w:p w14:paraId="61782C4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144 </w:t>
                            </w:r>
                          </w:p>
                        </w:tc>
                        <w:tc>
                          <w:tcPr>
                            <w:tcW w:w="895" w:type="dxa"/>
                            <w:gridSpan w:val="9"/>
                            <w:tcBorders>
                              <w:left w:val="single" w:sz="4" w:space="0" w:color="000406"/>
                              <w:right w:val="single" w:sz="4" w:space="0" w:color="000406"/>
                            </w:tcBorders>
                            <w:vAlign w:val="center"/>
                          </w:tcPr>
                          <w:p w14:paraId="5A47AD6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150 </w:t>
                            </w:r>
                          </w:p>
                        </w:tc>
                        <w:tc>
                          <w:tcPr>
                            <w:tcW w:w="880" w:type="dxa"/>
                            <w:gridSpan w:val="6"/>
                            <w:tcBorders>
                              <w:left w:val="single" w:sz="4" w:space="0" w:color="000406"/>
                              <w:right w:val="single" w:sz="4" w:space="0" w:color="000406"/>
                            </w:tcBorders>
                            <w:vAlign w:val="center"/>
                          </w:tcPr>
                          <w:p w14:paraId="0AD4542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154 </w:t>
                            </w:r>
                          </w:p>
                        </w:tc>
                        <w:tc>
                          <w:tcPr>
                            <w:tcW w:w="817" w:type="dxa"/>
                            <w:gridSpan w:val="9"/>
                            <w:tcBorders>
                              <w:left w:val="single" w:sz="4" w:space="0" w:color="000406"/>
                              <w:right w:val="single" w:sz="4" w:space="0" w:color="000204"/>
                            </w:tcBorders>
                            <w:vAlign w:val="center"/>
                          </w:tcPr>
                          <w:p w14:paraId="0EAD798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157 </w:t>
                            </w:r>
                          </w:p>
                        </w:tc>
                      </w:tr>
                      <w:tr w:rsidR="00000000" w14:paraId="02FBD54A" w14:textId="77777777">
                        <w:tblPrEx>
                          <w:tblCellMar>
                            <w:top w:w="0" w:type="dxa"/>
                            <w:bottom w:w="0" w:type="dxa"/>
                          </w:tblCellMar>
                        </w:tblPrEx>
                        <w:trPr>
                          <w:gridAfter w:val="15"/>
                          <w:wAfter w:w="2214" w:type="dxa"/>
                          <w:trHeight w:val="151"/>
                        </w:trPr>
                        <w:tc>
                          <w:tcPr>
                            <w:tcW w:w="1240" w:type="dxa"/>
                            <w:gridSpan w:val="5"/>
                            <w:tcBorders>
                              <w:left w:val="single" w:sz="4" w:space="0" w:color="000204"/>
                              <w:right w:val="single" w:sz="4" w:space="0" w:color="000406"/>
                            </w:tcBorders>
                            <w:shd w:val="clear" w:color="auto" w:fill="E3E9EE"/>
                            <w:vAlign w:val="center"/>
                          </w:tcPr>
                          <w:p w14:paraId="30041DE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100 </w:t>
                            </w:r>
                          </w:p>
                        </w:tc>
                        <w:tc>
                          <w:tcPr>
                            <w:tcW w:w="827" w:type="dxa"/>
                            <w:gridSpan w:val="9"/>
                            <w:tcBorders>
                              <w:left w:val="single" w:sz="4" w:space="0" w:color="000406"/>
                              <w:right w:val="single" w:sz="4" w:space="0" w:color="000406"/>
                            </w:tcBorders>
                            <w:shd w:val="clear" w:color="auto" w:fill="E3E9EE"/>
                            <w:vAlign w:val="center"/>
                          </w:tcPr>
                          <w:p w14:paraId="28FD205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895" w:type="dxa"/>
                            <w:gridSpan w:val="9"/>
                            <w:tcBorders>
                              <w:left w:val="single" w:sz="4" w:space="0" w:color="000406"/>
                              <w:right w:val="single" w:sz="4" w:space="0" w:color="000406"/>
                            </w:tcBorders>
                            <w:shd w:val="clear" w:color="auto" w:fill="E3E9EE"/>
                            <w:vAlign w:val="center"/>
                          </w:tcPr>
                          <w:p w14:paraId="11CE33C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139 </w:t>
                            </w:r>
                          </w:p>
                        </w:tc>
                        <w:tc>
                          <w:tcPr>
                            <w:tcW w:w="880" w:type="dxa"/>
                            <w:gridSpan w:val="6"/>
                            <w:tcBorders>
                              <w:left w:val="single" w:sz="4" w:space="0" w:color="000406"/>
                              <w:right w:val="single" w:sz="4" w:space="0" w:color="000406"/>
                            </w:tcBorders>
                            <w:shd w:val="clear" w:color="auto" w:fill="E3E9EE"/>
                            <w:vAlign w:val="center"/>
                          </w:tcPr>
                          <w:p w14:paraId="2EA5E79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143 </w:t>
                            </w:r>
                          </w:p>
                        </w:tc>
                        <w:tc>
                          <w:tcPr>
                            <w:tcW w:w="817" w:type="dxa"/>
                            <w:gridSpan w:val="9"/>
                            <w:tcBorders>
                              <w:left w:val="single" w:sz="4" w:space="0" w:color="000406"/>
                              <w:right w:val="single" w:sz="4" w:space="0" w:color="000204"/>
                            </w:tcBorders>
                            <w:shd w:val="clear" w:color="auto" w:fill="E3E9EE"/>
                            <w:vAlign w:val="center"/>
                          </w:tcPr>
                          <w:p w14:paraId="2DB1399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146 </w:t>
                            </w:r>
                          </w:p>
                        </w:tc>
                      </w:tr>
                      <w:tr w:rsidR="00000000" w14:paraId="2A3C543B" w14:textId="77777777">
                        <w:tblPrEx>
                          <w:tblCellMar>
                            <w:top w:w="0" w:type="dxa"/>
                            <w:bottom w:w="0" w:type="dxa"/>
                          </w:tblCellMar>
                        </w:tblPrEx>
                        <w:trPr>
                          <w:gridAfter w:val="15"/>
                          <w:wAfter w:w="2214" w:type="dxa"/>
                          <w:trHeight w:val="151"/>
                        </w:trPr>
                        <w:tc>
                          <w:tcPr>
                            <w:tcW w:w="1240" w:type="dxa"/>
                            <w:gridSpan w:val="5"/>
                            <w:tcBorders>
                              <w:left w:val="single" w:sz="4" w:space="0" w:color="000204"/>
                              <w:right w:val="single" w:sz="4" w:space="0" w:color="000406"/>
                            </w:tcBorders>
                            <w:vAlign w:val="center"/>
                          </w:tcPr>
                          <w:p w14:paraId="1232338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200 </w:t>
                            </w:r>
                          </w:p>
                        </w:tc>
                        <w:tc>
                          <w:tcPr>
                            <w:tcW w:w="827" w:type="dxa"/>
                            <w:gridSpan w:val="9"/>
                            <w:tcBorders>
                              <w:left w:val="single" w:sz="4" w:space="0" w:color="000406"/>
                              <w:right w:val="single" w:sz="4" w:space="0" w:color="000406"/>
                            </w:tcBorders>
                            <w:vAlign w:val="center"/>
                          </w:tcPr>
                          <w:p w14:paraId="2AEF8C0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125 </w:t>
                            </w:r>
                          </w:p>
                        </w:tc>
                        <w:tc>
                          <w:tcPr>
                            <w:tcW w:w="895" w:type="dxa"/>
                            <w:gridSpan w:val="9"/>
                            <w:tcBorders>
                              <w:left w:val="single" w:sz="4" w:space="0" w:color="000406"/>
                              <w:right w:val="single" w:sz="4" w:space="0" w:color="000406"/>
                            </w:tcBorders>
                            <w:vAlign w:val="center"/>
                          </w:tcPr>
                          <w:p w14:paraId="42DAB13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880" w:type="dxa"/>
                            <w:gridSpan w:val="6"/>
                            <w:tcBorders>
                              <w:left w:val="single" w:sz="4" w:space="0" w:color="000406"/>
                              <w:right w:val="single" w:sz="4" w:space="0" w:color="000406"/>
                            </w:tcBorders>
                            <w:vAlign w:val="center"/>
                          </w:tcPr>
                          <w:p w14:paraId="5ACC92C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136 </w:t>
                            </w:r>
                          </w:p>
                        </w:tc>
                        <w:tc>
                          <w:tcPr>
                            <w:tcW w:w="817" w:type="dxa"/>
                            <w:gridSpan w:val="9"/>
                            <w:tcBorders>
                              <w:left w:val="single" w:sz="4" w:space="0" w:color="000406"/>
                              <w:right w:val="single" w:sz="4" w:space="0" w:color="000204"/>
                            </w:tcBorders>
                            <w:vAlign w:val="center"/>
                          </w:tcPr>
                          <w:p w14:paraId="7528687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140 </w:t>
                            </w:r>
                          </w:p>
                        </w:tc>
                      </w:tr>
                      <w:tr w:rsidR="00000000" w14:paraId="20EEC6FF" w14:textId="77777777">
                        <w:tblPrEx>
                          <w:tblCellMar>
                            <w:top w:w="0" w:type="dxa"/>
                            <w:bottom w:w="0" w:type="dxa"/>
                          </w:tblCellMar>
                        </w:tblPrEx>
                        <w:trPr>
                          <w:gridAfter w:val="15"/>
                          <w:wAfter w:w="2214" w:type="dxa"/>
                          <w:trHeight w:val="151"/>
                        </w:trPr>
                        <w:tc>
                          <w:tcPr>
                            <w:tcW w:w="1240" w:type="dxa"/>
                            <w:gridSpan w:val="5"/>
                            <w:tcBorders>
                              <w:left w:val="single" w:sz="4" w:space="0" w:color="000204"/>
                              <w:right w:val="single" w:sz="4" w:space="0" w:color="000406"/>
                            </w:tcBorders>
                            <w:shd w:val="clear" w:color="auto" w:fill="E3E9EE"/>
                            <w:vAlign w:val="center"/>
                          </w:tcPr>
                          <w:p w14:paraId="67781B7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400 </w:t>
                            </w:r>
                          </w:p>
                        </w:tc>
                        <w:tc>
                          <w:tcPr>
                            <w:tcW w:w="827" w:type="dxa"/>
                            <w:gridSpan w:val="9"/>
                            <w:tcBorders>
                              <w:left w:val="single" w:sz="4" w:space="0" w:color="000406"/>
                              <w:right w:val="single" w:sz="4" w:space="0" w:color="000406"/>
                            </w:tcBorders>
                            <w:shd w:val="clear" w:color="auto" w:fill="E3E9EE"/>
                            <w:vAlign w:val="center"/>
                          </w:tcPr>
                          <w:p w14:paraId="05C3BC9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117 </w:t>
                            </w:r>
                          </w:p>
                        </w:tc>
                        <w:tc>
                          <w:tcPr>
                            <w:tcW w:w="895" w:type="dxa"/>
                            <w:gridSpan w:val="9"/>
                            <w:tcBorders>
                              <w:left w:val="single" w:sz="4" w:space="0" w:color="000406"/>
                              <w:right w:val="single" w:sz="4" w:space="0" w:color="000406"/>
                            </w:tcBorders>
                            <w:shd w:val="clear" w:color="auto" w:fill="E3E9EE"/>
                            <w:vAlign w:val="center"/>
                          </w:tcPr>
                          <w:p w14:paraId="4126C47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125 </w:t>
                            </w:r>
                          </w:p>
                        </w:tc>
                        <w:tc>
                          <w:tcPr>
                            <w:tcW w:w="880" w:type="dxa"/>
                            <w:gridSpan w:val="6"/>
                            <w:tcBorders>
                              <w:left w:val="single" w:sz="4" w:space="0" w:color="000406"/>
                              <w:right w:val="single" w:sz="4" w:space="0" w:color="000406"/>
                            </w:tcBorders>
                            <w:shd w:val="clear" w:color="auto" w:fill="E3E9EE"/>
                            <w:vAlign w:val="center"/>
                          </w:tcPr>
                          <w:p w14:paraId="074B303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130 </w:t>
                            </w:r>
                          </w:p>
                        </w:tc>
                        <w:tc>
                          <w:tcPr>
                            <w:tcW w:w="817" w:type="dxa"/>
                            <w:gridSpan w:val="9"/>
                            <w:tcBorders>
                              <w:left w:val="single" w:sz="4" w:space="0" w:color="000406"/>
                              <w:right w:val="single" w:sz="4" w:space="0" w:color="000204"/>
                            </w:tcBorders>
                            <w:shd w:val="clear" w:color="auto" w:fill="E3E9EE"/>
                            <w:vAlign w:val="center"/>
                          </w:tcPr>
                          <w:p w14:paraId="6A858FE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135 </w:t>
                            </w:r>
                          </w:p>
                        </w:tc>
                      </w:tr>
                      <w:tr w:rsidR="00000000" w14:paraId="3FDC0FC3" w14:textId="77777777">
                        <w:tblPrEx>
                          <w:tblCellMar>
                            <w:top w:w="0" w:type="dxa"/>
                            <w:bottom w:w="0" w:type="dxa"/>
                          </w:tblCellMar>
                        </w:tblPrEx>
                        <w:trPr>
                          <w:gridAfter w:val="15"/>
                          <w:wAfter w:w="2214" w:type="dxa"/>
                          <w:trHeight w:val="151"/>
                        </w:trPr>
                        <w:tc>
                          <w:tcPr>
                            <w:tcW w:w="1240" w:type="dxa"/>
                            <w:gridSpan w:val="5"/>
                            <w:tcBorders>
                              <w:left w:val="single" w:sz="4" w:space="0" w:color="000204"/>
                              <w:right w:val="single" w:sz="4" w:space="0" w:color="000406"/>
                            </w:tcBorders>
                            <w:vAlign w:val="center"/>
                          </w:tcPr>
                          <w:p w14:paraId="0354E6F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800 </w:t>
                            </w:r>
                          </w:p>
                        </w:tc>
                        <w:tc>
                          <w:tcPr>
                            <w:tcW w:w="827" w:type="dxa"/>
                            <w:gridSpan w:val="9"/>
                            <w:tcBorders>
                              <w:left w:val="single" w:sz="4" w:space="0" w:color="000406"/>
                              <w:right w:val="single" w:sz="4" w:space="0" w:color="000406"/>
                            </w:tcBorders>
                            <w:vAlign w:val="center"/>
                          </w:tcPr>
                          <w:p w14:paraId="6B2CC89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112 </w:t>
                            </w:r>
                          </w:p>
                        </w:tc>
                        <w:tc>
                          <w:tcPr>
                            <w:tcW w:w="895" w:type="dxa"/>
                            <w:gridSpan w:val="9"/>
                            <w:tcBorders>
                              <w:left w:val="single" w:sz="4" w:space="0" w:color="000406"/>
                              <w:right w:val="single" w:sz="4" w:space="0" w:color="000406"/>
                            </w:tcBorders>
                            <w:vAlign w:val="center"/>
                          </w:tcPr>
                          <w:p w14:paraId="30188B0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121 </w:t>
                            </w:r>
                          </w:p>
                        </w:tc>
                        <w:tc>
                          <w:tcPr>
                            <w:tcW w:w="880" w:type="dxa"/>
                            <w:gridSpan w:val="6"/>
                            <w:tcBorders>
                              <w:left w:val="single" w:sz="4" w:space="0" w:color="000406"/>
                              <w:right w:val="single" w:sz="4" w:space="0" w:color="000406"/>
                            </w:tcBorders>
                            <w:vAlign w:val="center"/>
                          </w:tcPr>
                          <w:p w14:paraId="38993B5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128 </w:t>
                            </w:r>
                          </w:p>
                        </w:tc>
                        <w:tc>
                          <w:tcPr>
                            <w:tcW w:w="817" w:type="dxa"/>
                            <w:gridSpan w:val="9"/>
                            <w:tcBorders>
                              <w:left w:val="single" w:sz="4" w:space="0" w:color="000406"/>
                              <w:right w:val="single" w:sz="4" w:space="0" w:color="000204"/>
                            </w:tcBorders>
                            <w:vAlign w:val="center"/>
                          </w:tcPr>
                          <w:p w14:paraId="698574B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134 </w:t>
                            </w:r>
                          </w:p>
                        </w:tc>
                      </w:tr>
                      <w:tr w:rsidR="00000000" w14:paraId="5CF807AA" w14:textId="77777777">
                        <w:tblPrEx>
                          <w:tblCellMar>
                            <w:top w:w="0" w:type="dxa"/>
                            <w:bottom w:w="0" w:type="dxa"/>
                          </w:tblCellMar>
                        </w:tblPrEx>
                        <w:trPr>
                          <w:gridAfter w:val="15"/>
                          <w:wAfter w:w="2214" w:type="dxa"/>
                          <w:trHeight w:val="151"/>
                        </w:trPr>
                        <w:tc>
                          <w:tcPr>
                            <w:tcW w:w="1240" w:type="dxa"/>
                            <w:gridSpan w:val="5"/>
                            <w:tcBorders>
                              <w:left w:val="single" w:sz="4" w:space="0" w:color="000204"/>
                              <w:right w:val="single" w:sz="4" w:space="0" w:color="000406"/>
                            </w:tcBorders>
                            <w:shd w:val="clear" w:color="auto" w:fill="E3E9EE"/>
                            <w:vAlign w:val="center"/>
                          </w:tcPr>
                          <w:p w14:paraId="78557FE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1000 </w:t>
                            </w:r>
                          </w:p>
                        </w:tc>
                        <w:tc>
                          <w:tcPr>
                            <w:tcW w:w="827" w:type="dxa"/>
                            <w:gridSpan w:val="9"/>
                            <w:tcBorders>
                              <w:left w:val="single" w:sz="4" w:space="0" w:color="000406"/>
                              <w:right w:val="single" w:sz="4" w:space="0" w:color="000406"/>
                            </w:tcBorders>
                            <w:shd w:val="clear" w:color="auto" w:fill="E3E9EE"/>
                            <w:vAlign w:val="center"/>
                          </w:tcPr>
                          <w:p w14:paraId="0318DFD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 </w:t>
                            </w:r>
                          </w:p>
                        </w:tc>
                        <w:tc>
                          <w:tcPr>
                            <w:tcW w:w="895" w:type="dxa"/>
                            <w:gridSpan w:val="9"/>
                            <w:tcBorders>
                              <w:left w:val="single" w:sz="4" w:space="0" w:color="000406"/>
                              <w:right w:val="single" w:sz="4" w:space="0" w:color="000406"/>
                            </w:tcBorders>
                            <w:shd w:val="clear" w:color="auto" w:fill="E3E9EE"/>
                            <w:vAlign w:val="center"/>
                          </w:tcPr>
                          <w:p w14:paraId="6C501EF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121 </w:t>
                            </w:r>
                          </w:p>
                        </w:tc>
                        <w:tc>
                          <w:tcPr>
                            <w:tcW w:w="880" w:type="dxa"/>
                            <w:gridSpan w:val="6"/>
                            <w:tcBorders>
                              <w:left w:val="single" w:sz="4" w:space="0" w:color="000406"/>
                              <w:right w:val="single" w:sz="4" w:space="0" w:color="000406"/>
                            </w:tcBorders>
                            <w:shd w:val="clear" w:color="auto" w:fill="E3E9EE"/>
                            <w:vAlign w:val="center"/>
                          </w:tcPr>
                          <w:p w14:paraId="58C1884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128 </w:t>
                            </w:r>
                          </w:p>
                        </w:tc>
                        <w:tc>
                          <w:tcPr>
                            <w:tcW w:w="817" w:type="dxa"/>
                            <w:gridSpan w:val="9"/>
                            <w:tcBorders>
                              <w:left w:val="single" w:sz="4" w:space="0" w:color="000406"/>
                              <w:right w:val="single" w:sz="4" w:space="0" w:color="000204"/>
                            </w:tcBorders>
                            <w:shd w:val="clear" w:color="auto" w:fill="E3E9EE"/>
                            <w:vAlign w:val="center"/>
                          </w:tcPr>
                          <w:p w14:paraId="13952D5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135 </w:t>
                            </w:r>
                          </w:p>
                        </w:tc>
                      </w:tr>
                      <w:tr w:rsidR="00000000" w14:paraId="1DC09CA0" w14:textId="77777777">
                        <w:tblPrEx>
                          <w:tblCellMar>
                            <w:top w:w="0" w:type="dxa"/>
                            <w:bottom w:w="0" w:type="dxa"/>
                          </w:tblCellMar>
                        </w:tblPrEx>
                        <w:trPr>
                          <w:gridAfter w:val="15"/>
                          <w:wAfter w:w="2214" w:type="dxa"/>
                          <w:trHeight w:val="151"/>
                        </w:trPr>
                        <w:tc>
                          <w:tcPr>
                            <w:tcW w:w="1240" w:type="dxa"/>
                            <w:gridSpan w:val="5"/>
                            <w:tcBorders>
                              <w:left w:val="single" w:sz="4" w:space="0" w:color="000204"/>
                              <w:right w:val="single" w:sz="4" w:space="0" w:color="000406"/>
                            </w:tcBorders>
                            <w:vAlign w:val="center"/>
                          </w:tcPr>
                          <w:p w14:paraId="324AE80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1250 </w:t>
                            </w:r>
                          </w:p>
                        </w:tc>
                        <w:tc>
                          <w:tcPr>
                            <w:tcW w:w="827" w:type="dxa"/>
                            <w:gridSpan w:val="9"/>
                            <w:tcBorders>
                              <w:left w:val="single" w:sz="4" w:space="0" w:color="000406"/>
                              <w:right w:val="single" w:sz="4" w:space="0" w:color="000406"/>
                            </w:tcBorders>
                            <w:vAlign w:val="center"/>
                          </w:tcPr>
                          <w:p w14:paraId="7EB494F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109 </w:t>
                            </w:r>
                          </w:p>
                        </w:tc>
                        <w:tc>
                          <w:tcPr>
                            <w:tcW w:w="895" w:type="dxa"/>
                            <w:gridSpan w:val="9"/>
                            <w:tcBorders>
                              <w:left w:val="single" w:sz="4" w:space="0" w:color="000406"/>
                              <w:right w:val="single" w:sz="4" w:space="0" w:color="000406"/>
                            </w:tcBorders>
                            <w:vAlign w:val="center"/>
                          </w:tcPr>
                          <w:p w14:paraId="70C3663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121 </w:t>
                            </w:r>
                          </w:p>
                        </w:tc>
                        <w:tc>
                          <w:tcPr>
                            <w:tcW w:w="880" w:type="dxa"/>
                            <w:gridSpan w:val="6"/>
                            <w:tcBorders>
                              <w:left w:val="single" w:sz="4" w:space="0" w:color="000406"/>
                              <w:right w:val="single" w:sz="4" w:space="0" w:color="000406"/>
                            </w:tcBorders>
                            <w:vAlign w:val="center"/>
                          </w:tcPr>
                          <w:p w14:paraId="1335963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129 </w:t>
                            </w:r>
                          </w:p>
                        </w:tc>
                        <w:tc>
                          <w:tcPr>
                            <w:tcW w:w="817" w:type="dxa"/>
                            <w:gridSpan w:val="9"/>
                            <w:tcBorders>
                              <w:left w:val="single" w:sz="4" w:space="0" w:color="000406"/>
                              <w:right w:val="single" w:sz="4" w:space="0" w:color="000204"/>
                            </w:tcBorders>
                            <w:vAlign w:val="center"/>
                          </w:tcPr>
                          <w:p w14:paraId="09D0790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137 </w:t>
                            </w:r>
                          </w:p>
                        </w:tc>
                      </w:tr>
                      <w:tr w:rsidR="00000000" w14:paraId="61DD0C4D" w14:textId="77777777">
                        <w:tblPrEx>
                          <w:tblCellMar>
                            <w:top w:w="0" w:type="dxa"/>
                            <w:bottom w:w="0" w:type="dxa"/>
                          </w:tblCellMar>
                        </w:tblPrEx>
                        <w:trPr>
                          <w:gridAfter w:val="15"/>
                          <w:wAfter w:w="2214" w:type="dxa"/>
                          <w:trHeight w:val="151"/>
                        </w:trPr>
                        <w:tc>
                          <w:tcPr>
                            <w:tcW w:w="1240" w:type="dxa"/>
                            <w:gridSpan w:val="5"/>
                            <w:tcBorders>
                              <w:left w:val="single" w:sz="4" w:space="0" w:color="000204"/>
                              <w:right w:val="single" w:sz="4" w:space="0" w:color="000406"/>
                            </w:tcBorders>
                            <w:shd w:val="clear" w:color="auto" w:fill="E3E9EE"/>
                            <w:vAlign w:val="center"/>
                          </w:tcPr>
                          <w:p w14:paraId="014562BF"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1600 </w:t>
                            </w:r>
                          </w:p>
                        </w:tc>
                        <w:tc>
                          <w:tcPr>
                            <w:tcW w:w="827" w:type="dxa"/>
                            <w:gridSpan w:val="9"/>
                            <w:tcBorders>
                              <w:left w:val="single" w:sz="4" w:space="0" w:color="000406"/>
                              <w:right w:val="single" w:sz="4" w:space="0" w:color="000406"/>
                            </w:tcBorders>
                            <w:shd w:val="clear" w:color="auto" w:fill="E3E9EE"/>
                            <w:vAlign w:val="center"/>
                          </w:tcPr>
                          <w:p w14:paraId="5DE9EAD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109 </w:t>
                            </w:r>
                          </w:p>
                        </w:tc>
                        <w:tc>
                          <w:tcPr>
                            <w:tcW w:w="895" w:type="dxa"/>
                            <w:gridSpan w:val="9"/>
                            <w:tcBorders>
                              <w:left w:val="single" w:sz="4" w:space="0" w:color="000406"/>
                              <w:right w:val="single" w:sz="4" w:space="0" w:color="000406"/>
                            </w:tcBorders>
                            <w:shd w:val="clear" w:color="auto" w:fill="E3E9EE"/>
                            <w:vAlign w:val="center"/>
                          </w:tcPr>
                          <w:p w14:paraId="71E30F7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122 </w:t>
                            </w:r>
                          </w:p>
                        </w:tc>
                        <w:tc>
                          <w:tcPr>
                            <w:tcW w:w="880" w:type="dxa"/>
                            <w:gridSpan w:val="6"/>
                            <w:tcBorders>
                              <w:left w:val="single" w:sz="4" w:space="0" w:color="000406"/>
                              <w:right w:val="single" w:sz="4" w:space="0" w:color="000406"/>
                            </w:tcBorders>
                            <w:shd w:val="clear" w:color="auto" w:fill="E3E9EE"/>
                            <w:vAlign w:val="center"/>
                          </w:tcPr>
                          <w:p w14:paraId="2ED48FD0"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817" w:type="dxa"/>
                            <w:gridSpan w:val="9"/>
                            <w:tcBorders>
                              <w:left w:val="single" w:sz="4" w:space="0" w:color="000406"/>
                              <w:right w:val="single" w:sz="4" w:space="0" w:color="000204"/>
                            </w:tcBorders>
                            <w:shd w:val="clear" w:color="auto" w:fill="E3E9EE"/>
                            <w:vAlign w:val="center"/>
                          </w:tcPr>
                          <w:p w14:paraId="2B9DDAB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141 </w:t>
                            </w:r>
                          </w:p>
                        </w:tc>
                      </w:tr>
                      <w:tr w:rsidR="00000000" w14:paraId="43D3990C" w14:textId="77777777">
                        <w:tblPrEx>
                          <w:tblCellMar>
                            <w:top w:w="0" w:type="dxa"/>
                            <w:bottom w:w="0" w:type="dxa"/>
                          </w:tblCellMar>
                        </w:tblPrEx>
                        <w:trPr>
                          <w:gridAfter w:val="15"/>
                          <w:wAfter w:w="2214" w:type="dxa"/>
                          <w:trHeight w:val="151"/>
                        </w:trPr>
                        <w:tc>
                          <w:tcPr>
                            <w:tcW w:w="1240" w:type="dxa"/>
                            <w:gridSpan w:val="5"/>
                            <w:tcBorders>
                              <w:left w:val="single" w:sz="4" w:space="0" w:color="000204"/>
                              <w:right w:val="single" w:sz="4" w:space="0" w:color="000406"/>
                            </w:tcBorders>
                            <w:vAlign w:val="center"/>
                          </w:tcPr>
                          <w:p w14:paraId="782DD40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2000 </w:t>
                            </w:r>
                          </w:p>
                        </w:tc>
                        <w:tc>
                          <w:tcPr>
                            <w:tcW w:w="827" w:type="dxa"/>
                            <w:gridSpan w:val="9"/>
                            <w:tcBorders>
                              <w:left w:val="single" w:sz="4" w:space="0" w:color="000406"/>
                              <w:right w:val="single" w:sz="4" w:space="0" w:color="000406"/>
                            </w:tcBorders>
                            <w:vAlign w:val="center"/>
                          </w:tcPr>
                          <w:p w14:paraId="112C7D5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108 </w:t>
                            </w:r>
                          </w:p>
                        </w:tc>
                        <w:tc>
                          <w:tcPr>
                            <w:tcW w:w="895" w:type="dxa"/>
                            <w:gridSpan w:val="9"/>
                            <w:tcBorders>
                              <w:left w:val="single" w:sz="4" w:space="0" w:color="000406"/>
                              <w:right w:val="single" w:sz="4" w:space="0" w:color="000406"/>
                            </w:tcBorders>
                            <w:vAlign w:val="center"/>
                          </w:tcPr>
                          <w:p w14:paraId="72D065A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123 </w:t>
                            </w:r>
                          </w:p>
                        </w:tc>
                        <w:tc>
                          <w:tcPr>
                            <w:tcW w:w="880" w:type="dxa"/>
                            <w:gridSpan w:val="6"/>
                            <w:tcBorders>
                              <w:left w:val="single" w:sz="4" w:space="0" w:color="000406"/>
                              <w:right w:val="single" w:sz="4" w:space="0" w:color="000406"/>
                            </w:tcBorders>
                            <w:vAlign w:val="center"/>
                          </w:tcPr>
                          <w:p w14:paraId="3FD9116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136 </w:t>
                            </w:r>
                          </w:p>
                        </w:tc>
                        <w:tc>
                          <w:tcPr>
                            <w:tcW w:w="817" w:type="dxa"/>
                            <w:gridSpan w:val="9"/>
                            <w:tcBorders>
                              <w:left w:val="single" w:sz="4" w:space="0" w:color="000406"/>
                              <w:right w:val="single" w:sz="4" w:space="0" w:color="000204"/>
                            </w:tcBorders>
                            <w:vAlign w:val="center"/>
                          </w:tcPr>
                          <w:p w14:paraId="057DBD4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148 </w:t>
                            </w:r>
                          </w:p>
                        </w:tc>
                      </w:tr>
                      <w:tr w:rsidR="00000000" w14:paraId="2DC599EC" w14:textId="77777777">
                        <w:tblPrEx>
                          <w:tblCellMar>
                            <w:top w:w="0" w:type="dxa"/>
                            <w:bottom w:w="0" w:type="dxa"/>
                          </w:tblCellMar>
                        </w:tblPrEx>
                        <w:trPr>
                          <w:gridAfter w:val="15"/>
                          <w:wAfter w:w="2214" w:type="dxa"/>
                          <w:trHeight w:val="151"/>
                        </w:trPr>
                        <w:tc>
                          <w:tcPr>
                            <w:tcW w:w="1240" w:type="dxa"/>
                            <w:gridSpan w:val="5"/>
                            <w:tcBorders>
                              <w:left w:val="single" w:sz="4" w:space="0" w:color="000204"/>
                              <w:right w:val="single" w:sz="4" w:space="0" w:color="000406"/>
                            </w:tcBorders>
                            <w:shd w:val="clear" w:color="auto" w:fill="E3E9EE"/>
                            <w:vAlign w:val="center"/>
                          </w:tcPr>
                          <w:p w14:paraId="27A3410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2500 </w:t>
                            </w:r>
                          </w:p>
                        </w:tc>
                        <w:tc>
                          <w:tcPr>
                            <w:tcW w:w="827" w:type="dxa"/>
                            <w:gridSpan w:val="9"/>
                            <w:tcBorders>
                              <w:left w:val="single" w:sz="4" w:space="0" w:color="000406"/>
                              <w:right w:val="single" w:sz="4" w:space="0" w:color="000406"/>
                            </w:tcBorders>
                            <w:shd w:val="clear" w:color="auto" w:fill="E3E9EE"/>
                            <w:vAlign w:val="center"/>
                          </w:tcPr>
                          <w:p w14:paraId="3D031B1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109 </w:t>
                            </w:r>
                          </w:p>
                        </w:tc>
                        <w:tc>
                          <w:tcPr>
                            <w:tcW w:w="895" w:type="dxa"/>
                            <w:gridSpan w:val="9"/>
                            <w:tcBorders>
                              <w:left w:val="single" w:sz="4" w:space="0" w:color="000406"/>
                              <w:right w:val="single" w:sz="4" w:space="0" w:color="000406"/>
                            </w:tcBorders>
                            <w:shd w:val="clear" w:color="auto" w:fill="E3E9EE"/>
                            <w:vAlign w:val="center"/>
                          </w:tcPr>
                          <w:p w14:paraId="3B33F26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127 </w:t>
                            </w:r>
                          </w:p>
                        </w:tc>
                        <w:tc>
                          <w:tcPr>
                            <w:tcW w:w="880" w:type="dxa"/>
                            <w:gridSpan w:val="6"/>
                            <w:tcBorders>
                              <w:left w:val="single" w:sz="4" w:space="0" w:color="000406"/>
                              <w:right w:val="single" w:sz="4" w:space="0" w:color="000406"/>
                            </w:tcBorders>
                            <w:shd w:val="clear" w:color="auto" w:fill="E3E9EE"/>
                            <w:vAlign w:val="center"/>
                          </w:tcPr>
                          <w:p w14:paraId="52E6AB6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142 </w:t>
                            </w:r>
                          </w:p>
                        </w:tc>
                        <w:tc>
                          <w:tcPr>
                            <w:tcW w:w="817" w:type="dxa"/>
                            <w:gridSpan w:val="9"/>
                            <w:tcBorders>
                              <w:left w:val="single" w:sz="4" w:space="0" w:color="000406"/>
                              <w:right w:val="single" w:sz="4" w:space="0" w:color="000204"/>
                            </w:tcBorders>
                            <w:shd w:val="clear" w:color="auto" w:fill="E3E9EE"/>
                            <w:vAlign w:val="center"/>
                          </w:tcPr>
                          <w:p w14:paraId="764AC71D"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157 </w:t>
                            </w:r>
                          </w:p>
                        </w:tc>
                      </w:tr>
                      <w:tr w:rsidR="00000000" w14:paraId="6ABC4177" w14:textId="77777777">
                        <w:tblPrEx>
                          <w:tblCellMar>
                            <w:top w:w="0" w:type="dxa"/>
                            <w:bottom w:w="0" w:type="dxa"/>
                          </w:tblCellMar>
                        </w:tblPrEx>
                        <w:trPr>
                          <w:gridAfter w:val="15"/>
                          <w:wAfter w:w="2214" w:type="dxa"/>
                          <w:trHeight w:val="150"/>
                        </w:trPr>
                        <w:tc>
                          <w:tcPr>
                            <w:tcW w:w="1240" w:type="dxa"/>
                            <w:gridSpan w:val="5"/>
                            <w:tcBorders>
                              <w:left w:val="single" w:sz="4" w:space="0" w:color="000204"/>
                              <w:right w:val="single" w:sz="4" w:space="0" w:color="000406"/>
                            </w:tcBorders>
                            <w:vAlign w:val="center"/>
                          </w:tcPr>
                          <w:p w14:paraId="10AECC47"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3150 </w:t>
                            </w:r>
                          </w:p>
                        </w:tc>
                        <w:tc>
                          <w:tcPr>
                            <w:tcW w:w="827" w:type="dxa"/>
                            <w:gridSpan w:val="9"/>
                            <w:tcBorders>
                              <w:left w:val="single" w:sz="4" w:space="0" w:color="000406"/>
                              <w:right w:val="single" w:sz="4" w:space="0" w:color="000406"/>
                            </w:tcBorders>
                            <w:vAlign w:val="center"/>
                          </w:tcPr>
                          <w:p w14:paraId="1CDF759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110 </w:t>
                            </w:r>
                          </w:p>
                        </w:tc>
                        <w:tc>
                          <w:tcPr>
                            <w:tcW w:w="895" w:type="dxa"/>
                            <w:gridSpan w:val="9"/>
                            <w:tcBorders>
                              <w:left w:val="single" w:sz="4" w:space="0" w:color="000406"/>
                              <w:right w:val="single" w:sz="4" w:space="0" w:color="000406"/>
                            </w:tcBorders>
                            <w:vAlign w:val="center"/>
                          </w:tcPr>
                          <w:p w14:paraId="43AF0BB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132 </w:t>
                            </w:r>
                          </w:p>
                        </w:tc>
                        <w:tc>
                          <w:tcPr>
                            <w:tcW w:w="880" w:type="dxa"/>
                            <w:gridSpan w:val="6"/>
                            <w:tcBorders>
                              <w:left w:val="single" w:sz="4" w:space="0" w:color="000406"/>
                              <w:right w:val="single" w:sz="4" w:space="0" w:color="000406"/>
                            </w:tcBorders>
                            <w:vAlign w:val="center"/>
                          </w:tcPr>
                          <w:p w14:paraId="2D61D1A9"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152 </w:t>
                            </w:r>
                          </w:p>
                        </w:tc>
                        <w:tc>
                          <w:tcPr>
                            <w:tcW w:w="817" w:type="dxa"/>
                            <w:gridSpan w:val="9"/>
                            <w:tcBorders>
                              <w:left w:val="single" w:sz="4" w:space="0" w:color="000406"/>
                              <w:right w:val="single" w:sz="4" w:space="0" w:color="000204"/>
                            </w:tcBorders>
                            <w:vAlign w:val="center"/>
                          </w:tcPr>
                          <w:p w14:paraId="1CB51A3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170 </w:t>
                            </w:r>
                          </w:p>
                        </w:tc>
                      </w:tr>
                      <w:tr w:rsidR="00000000" w14:paraId="51E99812" w14:textId="77777777">
                        <w:tblPrEx>
                          <w:tblCellMar>
                            <w:top w:w="0" w:type="dxa"/>
                            <w:bottom w:w="0" w:type="dxa"/>
                          </w:tblCellMar>
                        </w:tblPrEx>
                        <w:trPr>
                          <w:gridAfter w:val="15"/>
                          <w:wAfter w:w="2214" w:type="dxa"/>
                          <w:trHeight w:val="151"/>
                        </w:trPr>
                        <w:tc>
                          <w:tcPr>
                            <w:tcW w:w="1240" w:type="dxa"/>
                            <w:gridSpan w:val="5"/>
                            <w:tcBorders>
                              <w:left w:val="single" w:sz="4" w:space="0" w:color="000204"/>
                              <w:bottom w:val="single" w:sz="4" w:space="0" w:color="000000"/>
                              <w:right w:val="single" w:sz="4" w:space="0" w:color="000406"/>
                            </w:tcBorders>
                            <w:shd w:val="clear" w:color="auto" w:fill="E3E9EE"/>
                            <w:vAlign w:val="center"/>
                          </w:tcPr>
                          <w:p w14:paraId="532871FB"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4000 </w:t>
                            </w:r>
                          </w:p>
                        </w:tc>
                        <w:tc>
                          <w:tcPr>
                            <w:tcW w:w="827" w:type="dxa"/>
                            <w:gridSpan w:val="9"/>
                            <w:tcBorders>
                              <w:left w:val="single" w:sz="4" w:space="0" w:color="000406"/>
                              <w:bottom w:val="single" w:sz="4" w:space="0" w:color="000000"/>
                              <w:right w:val="single" w:sz="4" w:space="0" w:color="000406"/>
                            </w:tcBorders>
                            <w:shd w:val="clear" w:color="auto" w:fill="E3E9EE"/>
                            <w:vAlign w:val="center"/>
                          </w:tcPr>
                          <w:p w14:paraId="51A99EC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112 </w:t>
                            </w:r>
                          </w:p>
                        </w:tc>
                        <w:tc>
                          <w:tcPr>
                            <w:tcW w:w="895" w:type="dxa"/>
                            <w:gridSpan w:val="9"/>
                            <w:tcBorders>
                              <w:left w:val="single" w:sz="4" w:space="0" w:color="000406"/>
                              <w:bottom w:val="single" w:sz="4" w:space="0" w:color="000000"/>
                              <w:right w:val="single" w:sz="4" w:space="0" w:color="000406"/>
                            </w:tcBorders>
                            <w:shd w:val="clear" w:color="auto" w:fill="E3E9EE"/>
                            <w:vAlign w:val="center"/>
                          </w:tcPr>
                          <w:p w14:paraId="733CDDA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142 </w:t>
                            </w:r>
                          </w:p>
                        </w:tc>
                        <w:tc>
                          <w:tcPr>
                            <w:tcW w:w="880" w:type="dxa"/>
                            <w:gridSpan w:val="6"/>
                            <w:tcBorders>
                              <w:left w:val="single" w:sz="4" w:space="0" w:color="000406"/>
                              <w:bottom w:val="single" w:sz="4" w:space="0" w:color="000000"/>
                              <w:right w:val="single" w:sz="4" w:space="0" w:color="000406"/>
                            </w:tcBorders>
                            <w:shd w:val="clear" w:color="auto" w:fill="E3E9EE"/>
                            <w:vAlign w:val="center"/>
                          </w:tcPr>
                          <w:p w14:paraId="01114E8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168 </w:t>
                            </w:r>
                          </w:p>
                        </w:tc>
                        <w:tc>
                          <w:tcPr>
                            <w:tcW w:w="817" w:type="dxa"/>
                            <w:gridSpan w:val="9"/>
                            <w:tcBorders>
                              <w:left w:val="single" w:sz="4" w:space="0" w:color="000406"/>
                              <w:bottom w:val="single" w:sz="4" w:space="0" w:color="000000"/>
                              <w:right w:val="single" w:sz="4" w:space="0" w:color="000204"/>
                            </w:tcBorders>
                            <w:shd w:val="clear" w:color="auto" w:fill="E3E9EE"/>
                            <w:vAlign w:val="center"/>
                          </w:tcPr>
                          <w:p w14:paraId="0FFF584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193 </w:t>
                            </w:r>
                          </w:p>
                        </w:tc>
                      </w:tr>
                    </w:tbl>
                  </w:txbxContent>
                </v:textbox>
                <w10:wrap type="through" anchorx="page" anchory="page"/>
              </v:shape>
            </w:pict>
          </mc:Fallback>
        </mc:AlternateContent>
      </w:r>
    </w:p>
    <w:p w14:paraId="5B952BB7" w14:textId="77777777" w:rsidR="00541A14" w:rsidRDefault="00A450E1">
      <w:pPr>
        <w:pStyle w:val="CM43"/>
        <w:rPr>
          <w:sz w:val="18"/>
          <w:szCs w:val="18"/>
        </w:rPr>
      </w:pPr>
      <w:r>
        <w:rPr>
          <w:sz w:val="18"/>
          <w:szCs w:val="18"/>
        </w:rPr>
        <w:t xml:space="preserve">Pu – Usual Range in sea miles </w:t>
      </w:r>
    </w:p>
    <w:p w14:paraId="04BAFD86" w14:textId="77777777" w:rsidR="00541A14" w:rsidRDefault="00A450E1">
      <w:pPr>
        <w:pStyle w:val="CM43"/>
        <w:rPr>
          <w:sz w:val="18"/>
          <w:szCs w:val="18"/>
        </w:rPr>
      </w:pPr>
      <w:r>
        <w:rPr>
          <w:sz w:val="18"/>
          <w:szCs w:val="18"/>
        </w:rPr>
        <w:t xml:space="preserve">f – Frequency of the sound in Hz </w:t>
      </w:r>
    </w:p>
    <w:p w14:paraId="149CC2B1" w14:textId="77777777" w:rsidR="00541A14" w:rsidRDefault="00A450E1">
      <w:pPr>
        <w:pStyle w:val="Default"/>
        <w:spacing w:line="216" w:lineRule="atLeast"/>
        <w:ind w:left="440"/>
        <w:rPr>
          <w:rFonts w:cs="Times New Roman"/>
          <w:color w:val="auto"/>
          <w:sz w:val="18"/>
          <w:szCs w:val="18"/>
        </w:rPr>
      </w:pPr>
      <w:r>
        <w:rPr>
          <w:rFonts w:cs="Times New Roman"/>
          <w:color w:val="auto"/>
          <w:sz w:val="18"/>
          <w:szCs w:val="18"/>
        </w:rPr>
        <w:t xml:space="preserve">Nr – Sound Pressure Level, in decibels, of the sound emitted by the SOUND SIGNAL at the reference distance of 1 metre in the direction concerned. </w:t>
      </w:r>
    </w:p>
    <w:p w14:paraId="5CE5BEF0" w14:textId="77777777" w:rsidR="00541A14" w:rsidRDefault="00541A14">
      <w:pPr>
        <w:pStyle w:val="CM172"/>
        <w:spacing w:after="202"/>
        <w:jc w:val="both"/>
        <w:rPr>
          <w:sz w:val="18"/>
          <w:szCs w:val="18"/>
        </w:rPr>
      </w:pPr>
    </w:p>
    <w:p w14:paraId="74DAF7B1" w14:textId="77777777" w:rsidR="00541A14" w:rsidRDefault="00DD420F">
      <w:pPr>
        <w:pStyle w:val="Default"/>
        <w:framePr w:w="1220" w:wrap="auto" w:vAnchor="page" w:hAnchor="page" w:x="608" w:y="16278"/>
        <w:rPr>
          <w:rFonts w:cs="Times New Roman"/>
          <w:color w:val="auto"/>
          <w:sz w:val="18"/>
          <w:szCs w:val="18"/>
        </w:rPr>
      </w:pPr>
      <w:r>
        <w:rPr>
          <w:rFonts w:cs="Times New Roman"/>
          <w:noProof/>
          <w:color w:val="auto"/>
          <w:sz w:val="18"/>
          <w:szCs w:val="18"/>
        </w:rPr>
        <w:drawing>
          <wp:inline distT="0" distB="0" distL="0" distR="0" wp14:anchorId="61597026" wp14:editId="3F3057BE">
            <wp:extent cx="266700" cy="142240"/>
            <wp:effectExtent l="0" t="0" r="12700" b="1016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66700" cy="142240"/>
                    </a:xfrm>
                    <a:prstGeom prst="rect">
                      <a:avLst/>
                    </a:prstGeom>
                    <a:noFill/>
                    <a:ln>
                      <a:noFill/>
                    </a:ln>
                  </pic:spPr>
                </pic:pic>
              </a:graphicData>
            </a:graphic>
          </wp:inline>
        </w:drawing>
      </w:r>
    </w:p>
    <w:p w14:paraId="0F5D40D5" w14:textId="77777777" w:rsidR="00541A14" w:rsidRDefault="00541A14">
      <w:pPr>
        <w:pStyle w:val="CM100"/>
        <w:ind w:left="8357"/>
        <w:rPr>
          <w:sz w:val="18"/>
          <w:szCs w:val="18"/>
        </w:rPr>
      </w:pPr>
    </w:p>
    <w:p w14:paraId="078CE4DA" w14:textId="77777777" w:rsidR="00541A14" w:rsidRDefault="00DD420F">
      <w:pPr>
        <w:pStyle w:val="Default"/>
        <w:framePr w:w="1100" w:wrap="auto" w:vAnchor="page" w:hAnchor="page" w:x="8964" w:y="16323"/>
        <w:rPr>
          <w:rFonts w:cs="Times New Roman"/>
          <w:color w:val="auto"/>
          <w:sz w:val="18"/>
          <w:szCs w:val="18"/>
        </w:rPr>
      </w:pPr>
      <w:r>
        <w:rPr>
          <w:rFonts w:cs="Times New Roman"/>
          <w:noProof/>
          <w:color w:val="auto"/>
          <w:sz w:val="18"/>
          <w:szCs w:val="18"/>
        </w:rPr>
        <w:drawing>
          <wp:inline distT="0" distB="0" distL="0" distR="0" wp14:anchorId="3CA2EA1E" wp14:editId="50FC4F6C">
            <wp:extent cx="227330" cy="113665"/>
            <wp:effectExtent l="0" t="0" r="127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43343EE2" w14:textId="77777777" w:rsidR="00541A14" w:rsidRDefault="00DD420F">
      <w:pPr>
        <w:pStyle w:val="Default"/>
        <w:framePr w:w="2088" w:wrap="auto" w:vAnchor="page" w:hAnchor="page" w:x="9249" w:y="16323"/>
        <w:rPr>
          <w:rFonts w:cs="Times New Roman"/>
          <w:color w:val="auto"/>
          <w:sz w:val="18"/>
          <w:szCs w:val="18"/>
        </w:rPr>
      </w:pPr>
      <w:r>
        <w:rPr>
          <w:rFonts w:cs="Times New Roman"/>
          <w:noProof/>
          <w:color w:val="auto"/>
          <w:sz w:val="18"/>
          <w:szCs w:val="18"/>
        </w:rPr>
        <w:drawing>
          <wp:inline distT="0" distB="0" distL="0" distR="0" wp14:anchorId="7A7FC9DB" wp14:editId="136FDEC8">
            <wp:extent cx="823595" cy="11366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465D4D13" w14:textId="77777777" w:rsidR="00541A14" w:rsidRDefault="00DD420F">
      <w:pPr>
        <w:pStyle w:val="Default"/>
        <w:pageBreakBefore/>
        <w:framePr w:w="12876" w:wrap="auto" w:vAnchor="page" w:hAnchor="page" w:x="101" w:y="1"/>
        <w:spacing w:after="860"/>
        <w:rPr>
          <w:rFonts w:cs="Times New Roman"/>
          <w:color w:val="auto"/>
          <w:sz w:val="18"/>
          <w:szCs w:val="18"/>
        </w:rPr>
      </w:pPr>
      <w:r>
        <w:rPr>
          <w:rFonts w:cs="Times New Roman"/>
          <w:noProof/>
          <w:color w:val="auto"/>
          <w:sz w:val="18"/>
          <w:szCs w:val="18"/>
        </w:rPr>
        <w:drawing>
          <wp:inline distT="0" distB="0" distL="0" distR="0" wp14:anchorId="45C25AD3" wp14:editId="4C232505">
            <wp:extent cx="7553960" cy="1056640"/>
            <wp:effectExtent l="0" t="0" r="0" b="1016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0462BE1A" w14:textId="77777777" w:rsidR="00541A14" w:rsidRDefault="00A450E1">
      <w:pPr>
        <w:pStyle w:val="CM173"/>
        <w:spacing w:after="340"/>
        <w:rPr>
          <w:rFonts w:ascii="Futura Book" w:hAnsi="Futura Book" w:cs="Futura Book"/>
          <w:color w:val="2C5062"/>
          <w:sz w:val="28"/>
          <w:szCs w:val="28"/>
        </w:rPr>
      </w:pPr>
      <w:r>
        <w:rPr>
          <w:rFonts w:ascii="Futura Book" w:hAnsi="Futura Book" w:cs="Futura Book"/>
          <w:b/>
          <w:bCs/>
          <w:color w:val="2C5062"/>
          <w:sz w:val="28"/>
          <w:szCs w:val="28"/>
        </w:rPr>
        <w:t xml:space="preserve">6.6 Nautical Publications </w:t>
      </w:r>
    </w:p>
    <w:p w14:paraId="5B23AA02"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6.6.1 Navigational Warnings </w:t>
      </w:r>
    </w:p>
    <w:p w14:paraId="023E0245"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SOLAS Chapter V Regulation 13 requires for contracting governments to provide navigational information to mariners. The Regulation 13 states: </w:t>
      </w:r>
    </w:p>
    <w:p w14:paraId="1FE9C7FE" w14:textId="77777777" w:rsidR="00541A14" w:rsidRDefault="00A450E1">
      <w:pPr>
        <w:pStyle w:val="CM54"/>
        <w:jc w:val="center"/>
        <w:rPr>
          <w:rFonts w:ascii="Palatino" w:hAnsi="Palatino" w:cs="Palatino"/>
          <w:color w:val="000000"/>
          <w:sz w:val="20"/>
          <w:szCs w:val="20"/>
        </w:rPr>
      </w:pPr>
      <w:r>
        <w:rPr>
          <w:rFonts w:ascii="Palatino" w:hAnsi="Palatino" w:cs="Palatino"/>
          <w:color w:val="000000"/>
          <w:sz w:val="20"/>
          <w:szCs w:val="20"/>
        </w:rPr>
        <w:t xml:space="preserve">“Contracting Governments undertake to arrange for information relating to aids to navigation </w:t>
      </w:r>
    </w:p>
    <w:p w14:paraId="66AA1438" w14:textId="77777777" w:rsidR="00541A14" w:rsidRDefault="00A450E1">
      <w:pPr>
        <w:pStyle w:val="CM54"/>
        <w:jc w:val="center"/>
        <w:rPr>
          <w:rFonts w:ascii="Palatino" w:hAnsi="Palatino" w:cs="Palatino"/>
          <w:color w:val="000000"/>
          <w:sz w:val="20"/>
          <w:szCs w:val="20"/>
        </w:rPr>
      </w:pPr>
      <w:r>
        <w:rPr>
          <w:rFonts w:ascii="Palatino" w:hAnsi="Palatino" w:cs="Palatino"/>
          <w:color w:val="000000"/>
          <w:sz w:val="20"/>
          <w:szCs w:val="20"/>
        </w:rPr>
        <w:t xml:space="preserve">to be made available to all concerned. Changes in the transmissions of position-fixing systems </w:t>
      </w:r>
    </w:p>
    <w:p w14:paraId="25D69AFC" w14:textId="77777777" w:rsidR="00541A14" w:rsidRDefault="00A450E1">
      <w:pPr>
        <w:pStyle w:val="CM54"/>
        <w:jc w:val="center"/>
        <w:rPr>
          <w:rFonts w:ascii="Palatino" w:hAnsi="Palatino" w:cs="Palatino"/>
          <w:color w:val="000000"/>
          <w:sz w:val="20"/>
          <w:szCs w:val="20"/>
        </w:rPr>
      </w:pPr>
      <w:r>
        <w:rPr>
          <w:rFonts w:ascii="Palatino" w:hAnsi="Palatino" w:cs="Palatino"/>
          <w:color w:val="000000"/>
          <w:sz w:val="20"/>
          <w:szCs w:val="20"/>
        </w:rPr>
        <w:t xml:space="preserve">which could adversely affect the performance of receivers fitted in ships shall be avoided as far </w:t>
      </w:r>
    </w:p>
    <w:p w14:paraId="35048BF1" w14:textId="77777777" w:rsidR="00541A14" w:rsidRDefault="00A450E1">
      <w:pPr>
        <w:pStyle w:val="CM165"/>
        <w:spacing w:after="85" w:line="296" w:lineRule="atLeast"/>
        <w:jc w:val="center"/>
        <w:rPr>
          <w:rFonts w:ascii="Palatino" w:hAnsi="Palatino" w:cs="Palatino"/>
          <w:color w:val="000000"/>
          <w:sz w:val="20"/>
          <w:szCs w:val="20"/>
        </w:rPr>
      </w:pPr>
      <w:r>
        <w:rPr>
          <w:rFonts w:ascii="Palatino" w:hAnsi="Palatino" w:cs="Palatino"/>
          <w:color w:val="000000"/>
          <w:sz w:val="20"/>
          <w:szCs w:val="20"/>
        </w:rPr>
        <w:t>as possible and only be effected after timely and adequate notice has been promulgated.”</w:t>
      </w:r>
    </w:p>
    <w:p w14:paraId="0A796097" w14:textId="77777777" w:rsidR="00541A14" w:rsidRDefault="00A450E1">
      <w:pPr>
        <w:pStyle w:val="CM165"/>
        <w:spacing w:after="85" w:line="286" w:lineRule="atLeast"/>
        <w:ind w:left="57"/>
        <w:rPr>
          <w:rFonts w:ascii="Palatino" w:hAnsi="Palatino" w:cs="Palatino"/>
          <w:color w:val="000000"/>
          <w:sz w:val="20"/>
          <w:szCs w:val="20"/>
        </w:rPr>
      </w:pPr>
      <w:r>
        <w:rPr>
          <w:rFonts w:ascii="Palatino" w:hAnsi="Palatino" w:cs="Palatino"/>
          <w:color w:val="000000"/>
          <w:sz w:val="20"/>
          <w:szCs w:val="20"/>
        </w:rPr>
        <w:t xml:space="preserve"> This information falls into three basic categories: </w:t>
      </w:r>
    </w:p>
    <w:p w14:paraId="6D7B31A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information about planned changes, such as: </w:t>
      </w:r>
    </w:p>
    <w:p w14:paraId="2A2BF735" w14:textId="77777777" w:rsidR="00541A14" w:rsidRDefault="00A450E1">
      <w:pPr>
        <w:pStyle w:val="Default"/>
        <w:numPr>
          <w:ilvl w:val="0"/>
          <w:numId w:val="128"/>
        </w:numPr>
        <w:rPr>
          <w:rFonts w:ascii="Palatino" w:hAnsi="Palatino" w:cs="Palatino"/>
          <w:sz w:val="20"/>
          <w:szCs w:val="20"/>
        </w:rPr>
      </w:pPr>
      <w:r>
        <w:rPr>
          <w:rFonts w:ascii="Palatino" w:hAnsi="Palatino" w:cs="Palatino"/>
          <w:sz w:val="20"/>
          <w:szCs w:val="20"/>
        </w:rPr>
        <w:t xml:space="preserve">dredging, surveying, pipe and cable laying; </w:t>
      </w:r>
    </w:p>
    <w:p w14:paraId="73B780B2" w14:textId="77777777" w:rsidR="00541A14" w:rsidRDefault="00A450E1">
      <w:pPr>
        <w:pStyle w:val="Default"/>
        <w:numPr>
          <w:ilvl w:val="0"/>
          <w:numId w:val="128"/>
        </w:numPr>
        <w:rPr>
          <w:rFonts w:ascii="Palatino" w:hAnsi="Palatino" w:cs="Palatino"/>
          <w:sz w:val="20"/>
          <w:szCs w:val="20"/>
        </w:rPr>
      </w:pPr>
      <w:r>
        <w:rPr>
          <w:rFonts w:ascii="Palatino" w:hAnsi="Palatino" w:cs="Palatino"/>
          <w:sz w:val="20"/>
          <w:szCs w:val="20"/>
        </w:rPr>
        <w:t xml:space="preserve">changes to an existing aid or the establishment of new aids to navigation; </w:t>
      </w:r>
    </w:p>
    <w:p w14:paraId="61D121B3" w14:textId="77777777" w:rsidR="00541A14" w:rsidRDefault="00A450E1">
      <w:pPr>
        <w:pStyle w:val="Default"/>
        <w:numPr>
          <w:ilvl w:val="0"/>
          <w:numId w:val="128"/>
        </w:numPr>
        <w:rPr>
          <w:rFonts w:ascii="Palatino" w:hAnsi="Palatino" w:cs="Palatino"/>
          <w:sz w:val="20"/>
          <w:szCs w:val="20"/>
        </w:rPr>
      </w:pPr>
      <w:r>
        <w:rPr>
          <w:rFonts w:ascii="Palatino" w:hAnsi="Palatino" w:cs="Palatino"/>
          <w:sz w:val="20"/>
          <w:szCs w:val="20"/>
        </w:rPr>
        <w:t xml:space="preserve">changes to traffic arrangements; </w:t>
      </w:r>
    </w:p>
    <w:p w14:paraId="2F06C5BE" w14:textId="77777777" w:rsidR="00541A14" w:rsidRDefault="00A450E1">
      <w:pPr>
        <w:pStyle w:val="Default"/>
        <w:numPr>
          <w:ilvl w:val="0"/>
          <w:numId w:val="128"/>
        </w:numPr>
        <w:rPr>
          <w:rFonts w:ascii="Palatino" w:hAnsi="Palatino" w:cs="Palatino"/>
          <w:sz w:val="20"/>
          <w:szCs w:val="20"/>
        </w:rPr>
      </w:pPr>
      <w:r>
        <w:rPr>
          <w:rFonts w:ascii="Palatino" w:hAnsi="Palatino" w:cs="Palatino"/>
          <w:sz w:val="20"/>
          <w:szCs w:val="20"/>
        </w:rPr>
        <w:t xml:space="preserve">commercial maritime activities; </w:t>
      </w:r>
    </w:p>
    <w:p w14:paraId="31DCCB36" w14:textId="77777777" w:rsidR="00541A14" w:rsidRDefault="00A450E1">
      <w:pPr>
        <w:pStyle w:val="Default"/>
        <w:numPr>
          <w:ilvl w:val="0"/>
          <w:numId w:val="128"/>
        </w:numPr>
        <w:rPr>
          <w:rFonts w:ascii="Palatino" w:hAnsi="Palatino" w:cs="Palatino"/>
          <w:sz w:val="20"/>
          <w:szCs w:val="20"/>
        </w:rPr>
      </w:pPr>
      <w:r>
        <w:rPr>
          <w:rFonts w:ascii="Palatino" w:hAnsi="Palatino" w:cs="Palatino"/>
          <w:sz w:val="20"/>
          <w:szCs w:val="20"/>
        </w:rPr>
        <w:t xml:space="preserve">short term events (naval exercises, yacht races, etc.). </w:t>
      </w:r>
    </w:p>
    <w:p w14:paraId="7E6CB180" w14:textId="77777777" w:rsidR="00541A14" w:rsidRDefault="00541A14">
      <w:pPr>
        <w:pStyle w:val="Default"/>
        <w:rPr>
          <w:rFonts w:ascii="Palatino" w:hAnsi="Palatino" w:cs="Palatino"/>
          <w:sz w:val="20"/>
          <w:szCs w:val="20"/>
        </w:rPr>
      </w:pPr>
    </w:p>
    <w:p w14:paraId="2AE2885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information about navigational un-planned events, such as: </w:t>
      </w:r>
    </w:p>
    <w:p w14:paraId="4F964435" w14:textId="77777777" w:rsidR="00541A14" w:rsidRDefault="00A450E1">
      <w:pPr>
        <w:pStyle w:val="Default"/>
        <w:numPr>
          <w:ilvl w:val="0"/>
          <w:numId w:val="129"/>
        </w:numPr>
        <w:rPr>
          <w:rFonts w:ascii="Palatino" w:hAnsi="Palatino" w:cs="Palatino"/>
          <w:sz w:val="20"/>
          <w:szCs w:val="20"/>
        </w:rPr>
      </w:pPr>
      <w:r>
        <w:rPr>
          <w:rFonts w:ascii="Palatino" w:hAnsi="Palatino" w:cs="Palatino"/>
          <w:sz w:val="20"/>
          <w:szCs w:val="20"/>
        </w:rPr>
        <w:t xml:space="preserve">the failure of aids to navigation; </w:t>
      </w:r>
    </w:p>
    <w:p w14:paraId="52C378B9" w14:textId="77777777" w:rsidR="00541A14" w:rsidRDefault="00A450E1">
      <w:pPr>
        <w:pStyle w:val="Default"/>
        <w:numPr>
          <w:ilvl w:val="0"/>
          <w:numId w:val="129"/>
        </w:numPr>
        <w:rPr>
          <w:rFonts w:ascii="Palatino" w:hAnsi="Palatino" w:cs="Palatino"/>
          <w:sz w:val="20"/>
          <w:szCs w:val="20"/>
        </w:rPr>
      </w:pPr>
      <w:r>
        <w:rPr>
          <w:rFonts w:ascii="Palatino" w:hAnsi="Palatino" w:cs="Palatino"/>
          <w:sz w:val="20"/>
          <w:szCs w:val="20"/>
        </w:rPr>
        <w:t xml:space="preserve">marine incidents (groundings, collisions, wrecks etc.) ; </w:t>
      </w:r>
    </w:p>
    <w:p w14:paraId="2FFB3862" w14:textId="77777777" w:rsidR="00541A14" w:rsidRDefault="00A450E1">
      <w:pPr>
        <w:pStyle w:val="Default"/>
        <w:numPr>
          <w:ilvl w:val="0"/>
          <w:numId w:val="129"/>
        </w:numPr>
        <w:rPr>
          <w:rFonts w:ascii="Palatino" w:hAnsi="Palatino" w:cs="Palatino"/>
          <w:sz w:val="20"/>
          <w:szCs w:val="20"/>
        </w:rPr>
      </w:pPr>
      <w:r>
        <w:rPr>
          <w:rFonts w:ascii="Palatino" w:hAnsi="Palatino" w:cs="Palatino"/>
          <w:sz w:val="20"/>
          <w:szCs w:val="20"/>
        </w:rPr>
        <w:t xml:space="preserve">search and rescue activities. </w:t>
      </w:r>
    </w:p>
    <w:p w14:paraId="53AEE603" w14:textId="77777777" w:rsidR="00541A14" w:rsidRDefault="00541A14">
      <w:pPr>
        <w:pStyle w:val="Default"/>
        <w:rPr>
          <w:rFonts w:ascii="Palatino" w:hAnsi="Palatino" w:cs="Palatino"/>
          <w:sz w:val="20"/>
          <w:szCs w:val="20"/>
        </w:rPr>
      </w:pPr>
    </w:p>
    <w:p w14:paraId="77BAD5D5" w14:textId="77777777" w:rsidR="00541A14" w:rsidRDefault="00A450E1">
      <w:pPr>
        <w:pStyle w:val="CM175"/>
        <w:spacing w:after="267" w:line="291" w:lineRule="atLeast"/>
        <w:rPr>
          <w:rFonts w:ascii="Palatino" w:hAnsi="Palatino" w:cs="Palatino"/>
          <w:color w:val="000000"/>
          <w:sz w:val="20"/>
          <w:szCs w:val="20"/>
        </w:rPr>
      </w:pPr>
      <w:r>
        <w:rPr>
          <w:rFonts w:ascii="Palatino" w:hAnsi="Palatino" w:cs="Palatino"/>
          <w:color w:val="000000"/>
          <w:sz w:val="20"/>
          <w:szCs w:val="20"/>
        </w:rPr>
        <w:t xml:space="preserve">• new information arising from survey work or previously undiscovered hazards. </w:t>
      </w:r>
    </w:p>
    <w:p w14:paraId="55AA36ED"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6.6.2 World-Wide Navigational Warning Service </w:t>
      </w:r>
    </w:p>
    <w:p w14:paraId="7E0A0753"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The promulgation of information on navigational safety is coordinated by means of the World-Wide Navigational Warning Service that was established jointly by the IMO and the IHO in 1977. </w:t>
      </w:r>
    </w:p>
    <w:p w14:paraId="61C7E433" w14:textId="77777777" w:rsidR="00541A14" w:rsidRDefault="00A450E1">
      <w:pPr>
        <w:pStyle w:val="CM4"/>
        <w:rPr>
          <w:rFonts w:ascii="Palatino" w:hAnsi="Palatino" w:cs="Palatino"/>
          <w:color w:val="000000"/>
          <w:sz w:val="20"/>
          <w:szCs w:val="20"/>
        </w:rPr>
      </w:pPr>
      <w:r>
        <w:rPr>
          <w:rFonts w:ascii="Palatino" w:hAnsi="Palatino" w:cs="Palatino"/>
          <w:b/>
          <w:bCs/>
          <w:color w:val="000000"/>
          <w:sz w:val="20"/>
          <w:szCs w:val="20"/>
        </w:rPr>
        <w:t xml:space="preserve">The World-Wide Navigational Warning Service is administered through 16 NAVAREAS (shown in </w:t>
      </w:r>
    </w:p>
    <w:p w14:paraId="4C8A6BD7" w14:textId="77777777" w:rsidR="00541A14" w:rsidRDefault="00A450E1">
      <w:pPr>
        <w:pStyle w:val="CM203"/>
        <w:spacing w:after="4245" w:line="291" w:lineRule="atLeast"/>
        <w:rPr>
          <w:rFonts w:ascii="Palatino" w:hAnsi="Palatino" w:cs="Palatino"/>
          <w:color w:val="000000"/>
          <w:sz w:val="20"/>
          <w:szCs w:val="20"/>
        </w:rPr>
      </w:pPr>
      <w:r>
        <w:rPr>
          <w:rFonts w:ascii="Palatino" w:hAnsi="Palatino" w:cs="Palatino"/>
          <w:b/>
          <w:bCs/>
          <w:color w:val="000000"/>
          <w:sz w:val="20"/>
          <w:szCs w:val="20"/>
        </w:rPr>
        <w:t>Figure 25)</w:t>
      </w:r>
      <w:r>
        <w:rPr>
          <w:rFonts w:ascii="Palatino" w:hAnsi="Palatino" w:cs="Palatino"/>
          <w:color w:val="000000"/>
          <w:sz w:val="20"/>
          <w:szCs w:val="20"/>
        </w:rPr>
        <w:t xml:space="preserve">. Each NAVAREA has an Area Coordinator who is responsible for collecting information, analysing it, and transmitting NAVAREA Warnings. The delimitation of NAVAREAS is not related to, and shall not prejudice the delimitation of any boundaries between states. </w:t>
      </w:r>
    </w:p>
    <w:p w14:paraId="755805D9" w14:textId="77777777" w:rsidR="00541A14" w:rsidRDefault="00A450E1">
      <w:pPr>
        <w:pStyle w:val="CM165"/>
        <w:spacing w:after="85"/>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4CE54181"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131 </w:t>
      </w:r>
    </w:p>
    <w:p w14:paraId="120ECC74" w14:textId="77777777" w:rsidR="00541A14" w:rsidRDefault="00DD420F">
      <w:pPr>
        <w:pStyle w:val="Default"/>
        <w:pageBreakBefore/>
        <w:framePr w:w="24782" w:wrap="auto" w:vAnchor="page" w:hAnchor="page" w:x="101" w:y="12002"/>
        <w:spacing w:after="232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7B501EE2" wp14:editId="4BBDBDC9">
            <wp:extent cx="7553960" cy="8888730"/>
            <wp:effectExtent l="0" t="0" r="0" b="127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7553960" cy="8888730"/>
                    </a:xfrm>
                    <a:prstGeom prst="rect">
                      <a:avLst/>
                    </a:prstGeom>
                    <a:noFill/>
                    <a:ln>
                      <a:noFill/>
                    </a:ln>
                  </pic:spPr>
                </pic:pic>
              </a:graphicData>
            </a:graphic>
          </wp:inline>
        </w:drawing>
      </w:r>
    </w:p>
    <w:p w14:paraId="5CC648C5" w14:textId="77777777" w:rsidR="00541A14" w:rsidRDefault="00541A14">
      <w:pPr>
        <w:pStyle w:val="CM172"/>
        <w:spacing w:after="202"/>
        <w:jc w:val="both"/>
        <w:rPr>
          <w:rFonts w:ascii="Palatino" w:hAnsi="Palatino" w:cs="Palatino"/>
          <w:color w:val="12225F"/>
          <w:sz w:val="23"/>
          <w:szCs w:val="23"/>
        </w:rPr>
      </w:pPr>
    </w:p>
    <w:p w14:paraId="3DE2841C" w14:textId="77777777" w:rsidR="00541A14" w:rsidRDefault="00DD420F">
      <w:pPr>
        <w:pStyle w:val="Default"/>
        <w:framePr w:w="1220" w:wrap="auto" w:vAnchor="page" w:hAnchor="page" w:x="608" w:y="16278"/>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4926A142" wp14:editId="6A0547A0">
            <wp:extent cx="266700" cy="142240"/>
            <wp:effectExtent l="0" t="0" r="12700" b="1016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66700" cy="142240"/>
                    </a:xfrm>
                    <a:prstGeom prst="rect">
                      <a:avLst/>
                    </a:prstGeom>
                    <a:noFill/>
                    <a:ln>
                      <a:noFill/>
                    </a:ln>
                  </pic:spPr>
                </pic:pic>
              </a:graphicData>
            </a:graphic>
          </wp:inline>
        </w:drawing>
      </w:r>
    </w:p>
    <w:p w14:paraId="35F2F825" w14:textId="77777777" w:rsidR="00541A14" w:rsidRDefault="00541A14">
      <w:pPr>
        <w:pStyle w:val="CM100"/>
        <w:ind w:left="8357"/>
        <w:rPr>
          <w:rFonts w:ascii="Palatino" w:hAnsi="Palatino" w:cs="Palatino"/>
          <w:color w:val="12225F"/>
          <w:sz w:val="23"/>
          <w:szCs w:val="23"/>
        </w:rPr>
      </w:pPr>
    </w:p>
    <w:p w14:paraId="45267257" w14:textId="77777777" w:rsidR="00541A14" w:rsidRDefault="00DD420F">
      <w:pPr>
        <w:pStyle w:val="Default"/>
        <w:framePr w:w="1100" w:wrap="auto" w:vAnchor="page" w:hAnchor="page" w:x="8964" w:y="16323"/>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6799BF7B" wp14:editId="1053C347">
            <wp:extent cx="227330" cy="113665"/>
            <wp:effectExtent l="0" t="0" r="127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6EFD57B5" w14:textId="77777777" w:rsidR="00541A14" w:rsidRDefault="00DD420F">
      <w:pPr>
        <w:pStyle w:val="Default"/>
        <w:framePr w:w="2088" w:wrap="auto" w:vAnchor="page" w:hAnchor="page" w:x="9249" w:y="16323"/>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78773C5A" wp14:editId="1153466E">
            <wp:extent cx="823595" cy="11366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081AAE5F" w14:textId="77777777" w:rsidR="00541A14" w:rsidRDefault="00DD420F">
      <w:pPr>
        <w:pStyle w:val="Default"/>
        <w:pageBreakBefore/>
        <w:framePr w:w="12876" w:wrap="auto" w:vAnchor="page" w:hAnchor="page" w:x="101" w:y="1"/>
        <w:spacing w:after="82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42C195A5" wp14:editId="1796B0D0">
            <wp:extent cx="7553960" cy="1056640"/>
            <wp:effectExtent l="0" t="0" r="0" b="1016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02A0307B" w14:textId="77777777" w:rsidR="00541A14" w:rsidRDefault="00A450E1">
      <w:pPr>
        <w:pStyle w:val="CM172"/>
        <w:spacing w:after="202"/>
        <w:rPr>
          <w:rFonts w:ascii="Futura Book" w:hAnsi="Futura Book" w:cs="Futura Book"/>
          <w:color w:val="2C5062"/>
          <w:sz w:val="22"/>
          <w:szCs w:val="22"/>
        </w:rPr>
      </w:pPr>
      <w:r>
        <w:rPr>
          <w:rFonts w:ascii="Futura Book" w:hAnsi="Futura Book" w:cs="Futura Book"/>
          <w:b/>
          <w:bCs/>
          <w:color w:val="2C5062"/>
          <w:sz w:val="22"/>
          <w:szCs w:val="22"/>
        </w:rPr>
        <w:t xml:space="preserve">6.6.3 Lists of Aids to Navigation </w:t>
      </w:r>
    </w:p>
    <w:p w14:paraId="56709A7A"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List of Lights and List of Radio Signals </w:t>
      </w:r>
    </w:p>
    <w:p w14:paraId="38E31237"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Lists of aids to navigation are produced by (or for) most Competent Authorities as part of the navigational information made available to mariners in support of SOLAS Chapter V Regulation 13. They provide details of: </w:t>
      </w:r>
    </w:p>
    <w:p w14:paraId="7A3E94EE" w14:textId="77777777" w:rsidR="00541A14" w:rsidRDefault="00A450E1">
      <w:pPr>
        <w:pStyle w:val="Default"/>
        <w:numPr>
          <w:ilvl w:val="0"/>
          <w:numId w:val="130"/>
        </w:numPr>
        <w:rPr>
          <w:rFonts w:ascii="Palatino" w:hAnsi="Palatino" w:cs="Palatino"/>
          <w:sz w:val="20"/>
          <w:szCs w:val="20"/>
        </w:rPr>
      </w:pPr>
      <w:r>
        <w:rPr>
          <w:rFonts w:ascii="Palatino" w:hAnsi="Palatino" w:cs="Palatino"/>
          <w:sz w:val="20"/>
          <w:szCs w:val="20"/>
        </w:rPr>
        <w:t xml:space="preserve">name; </w:t>
      </w:r>
    </w:p>
    <w:p w14:paraId="4DE45D34" w14:textId="77777777" w:rsidR="00541A14" w:rsidRDefault="00A450E1">
      <w:pPr>
        <w:pStyle w:val="Default"/>
        <w:numPr>
          <w:ilvl w:val="0"/>
          <w:numId w:val="130"/>
        </w:numPr>
        <w:rPr>
          <w:rFonts w:ascii="Palatino" w:hAnsi="Palatino" w:cs="Palatino"/>
          <w:sz w:val="20"/>
          <w:szCs w:val="20"/>
        </w:rPr>
      </w:pPr>
      <w:r>
        <w:rPr>
          <w:rFonts w:ascii="Palatino" w:hAnsi="Palatino" w:cs="Palatino"/>
          <w:sz w:val="20"/>
          <w:szCs w:val="20"/>
        </w:rPr>
        <w:t xml:space="preserve">location; </w:t>
      </w:r>
    </w:p>
    <w:p w14:paraId="4CD87FB6" w14:textId="77777777" w:rsidR="00541A14" w:rsidRDefault="00A450E1">
      <w:pPr>
        <w:pStyle w:val="Default"/>
        <w:numPr>
          <w:ilvl w:val="0"/>
          <w:numId w:val="130"/>
        </w:numPr>
        <w:rPr>
          <w:rFonts w:ascii="Palatino" w:hAnsi="Palatino" w:cs="Palatino"/>
          <w:sz w:val="20"/>
          <w:szCs w:val="20"/>
        </w:rPr>
      </w:pPr>
      <w:r>
        <w:rPr>
          <w:rFonts w:ascii="Palatino" w:hAnsi="Palatino" w:cs="Palatino"/>
          <w:sz w:val="20"/>
          <w:szCs w:val="20"/>
        </w:rPr>
        <w:t xml:space="preserve">the characteristics of the aids; • operating schedule. </w:t>
      </w:r>
    </w:p>
    <w:p w14:paraId="28A85192" w14:textId="77777777" w:rsidR="00541A14" w:rsidRDefault="00541A14">
      <w:pPr>
        <w:pStyle w:val="Default"/>
        <w:rPr>
          <w:rFonts w:ascii="Palatino" w:hAnsi="Palatino" w:cs="Palatino"/>
          <w:sz w:val="20"/>
          <w:szCs w:val="20"/>
        </w:rPr>
      </w:pPr>
    </w:p>
    <w:p w14:paraId="5C4E0975" w14:textId="77777777" w:rsidR="00541A14" w:rsidRDefault="00A450E1">
      <w:pPr>
        <w:pStyle w:val="CM173"/>
        <w:spacing w:after="340" w:line="346" w:lineRule="atLeast"/>
        <w:rPr>
          <w:rFonts w:ascii="Palatino" w:hAnsi="Palatino" w:cs="Palatino"/>
          <w:color w:val="000000"/>
          <w:sz w:val="20"/>
          <w:szCs w:val="20"/>
        </w:rPr>
      </w:pPr>
      <w:r>
        <w:rPr>
          <w:rFonts w:ascii="Palatino" w:hAnsi="Palatino" w:cs="Palatino"/>
          <w:color w:val="000000"/>
          <w:sz w:val="20"/>
          <w:szCs w:val="20"/>
        </w:rPr>
        <w:t xml:space="preserve">These lists will not always include buoys and unlit aids to navigation. </w:t>
      </w:r>
    </w:p>
    <w:p w14:paraId="38CDA8EB" w14:textId="77777777" w:rsidR="00541A14" w:rsidRDefault="00A450E1">
      <w:pPr>
        <w:pStyle w:val="Default"/>
        <w:rPr>
          <w:rFonts w:ascii="Futura Book" w:hAnsi="Futura Book" w:cs="Futura Book"/>
          <w:color w:val="2C5062"/>
          <w:sz w:val="22"/>
          <w:szCs w:val="22"/>
        </w:rPr>
      </w:pPr>
      <w:r>
        <w:rPr>
          <w:rFonts w:ascii="Futura Book" w:hAnsi="Futura Book" w:cs="Futura Book"/>
          <w:b/>
          <w:bCs/>
          <w:color w:val="2C5062"/>
          <w:sz w:val="22"/>
          <w:szCs w:val="22"/>
        </w:rPr>
        <w:t xml:space="preserve">6.6.4 Standard Descriptions </w:t>
      </w:r>
    </w:p>
    <w:p w14:paraId="44D609ED" w14:textId="77777777" w:rsidR="00541A14" w:rsidRDefault="00A450E1">
      <w:pPr>
        <w:pStyle w:val="CM169"/>
        <w:spacing w:after="65" w:line="346" w:lineRule="atLeast"/>
        <w:rPr>
          <w:rFonts w:ascii="Palatino" w:hAnsi="Palatino" w:cs="Palatino"/>
          <w:color w:val="000000"/>
          <w:sz w:val="20"/>
          <w:szCs w:val="20"/>
        </w:rPr>
      </w:pPr>
      <w:r>
        <w:rPr>
          <w:rFonts w:ascii="Palatino" w:hAnsi="Palatino" w:cs="Palatino"/>
          <w:color w:val="000000"/>
          <w:sz w:val="20"/>
          <w:szCs w:val="20"/>
        </w:rPr>
        <w:t xml:space="preserve">The Joint IMO/IHO/WMO Manual on Maritime Safety Information (IMO COMSAR/Circ 15), </w:t>
      </w:r>
    </w:p>
    <w:p w14:paraId="624798AB" w14:textId="77777777" w:rsidR="00541A14" w:rsidRDefault="00A450E1">
      <w:pPr>
        <w:pStyle w:val="CM169"/>
        <w:spacing w:after="65" w:line="346" w:lineRule="atLeast"/>
        <w:rPr>
          <w:rFonts w:ascii="Palatino" w:hAnsi="Palatino" w:cs="Palatino"/>
          <w:color w:val="000000"/>
          <w:sz w:val="20"/>
          <w:szCs w:val="20"/>
        </w:rPr>
      </w:pPr>
      <w:r>
        <w:rPr>
          <w:rFonts w:ascii="Palatino" w:hAnsi="Palatino" w:cs="Palatino"/>
          <w:color w:val="000000"/>
          <w:sz w:val="20"/>
          <w:szCs w:val="20"/>
        </w:rPr>
        <w:t xml:space="preserve">February 1998 provides definitions of standard terms to describe particular events that should be used </w:t>
      </w:r>
    </w:p>
    <w:p w14:paraId="6FB8D493" w14:textId="77777777" w:rsidR="00541A14" w:rsidRDefault="00A450E1">
      <w:pPr>
        <w:pStyle w:val="CM169"/>
        <w:spacing w:after="65" w:line="346" w:lineRule="atLeast"/>
        <w:rPr>
          <w:rFonts w:ascii="Palatino" w:hAnsi="Palatino" w:cs="Palatino"/>
          <w:color w:val="000000"/>
          <w:sz w:val="20"/>
          <w:szCs w:val="20"/>
        </w:rPr>
      </w:pPr>
      <w:r>
        <w:rPr>
          <w:rFonts w:ascii="Palatino" w:hAnsi="Palatino" w:cs="Palatino"/>
          <w:color w:val="000000"/>
          <w:sz w:val="20"/>
          <w:szCs w:val="20"/>
        </w:rPr>
        <w:t xml:space="preserve">when composing navigational warnings. Some of the terms that are relevant to the condition of aids </w:t>
      </w:r>
    </w:p>
    <w:p w14:paraId="20C0004B" w14:textId="77777777" w:rsidR="00541A14" w:rsidRDefault="00A450E1">
      <w:pPr>
        <w:pStyle w:val="CM172"/>
        <w:spacing w:after="202" w:line="346" w:lineRule="atLeast"/>
        <w:rPr>
          <w:rFonts w:ascii="Palatino" w:hAnsi="Palatino" w:cs="Palatino"/>
          <w:color w:val="000000"/>
          <w:sz w:val="20"/>
          <w:szCs w:val="20"/>
        </w:rPr>
      </w:pPr>
      <w:r>
        <w:rPr>
          <w:rFonts w:ascii="Palatino" w:hAnsi="Palatino" w:cs="Palatino"/>
          <w:color w:val="000000"/>
          <w:sz w:val="20"/>
          <w:szCs w:val="20"/>
        </w:rPr>
        <w:t xml:space="preserve">to navigation have been defined as indicated in Table 21. </w:t>
      </w:r>
    </w:p>
    <w:p w14:paraId="00D7FE83"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82816" behindDoc="0" locked="0" layoutInCell="0" allowOverlap="1" wp14:anchorId="0B09D530" wp14:editId="134439B4">
                <wp:simplePos x="0" y="0"/>
                <wp:positionH relativeFrom="page">
                  <wp:posOffset>772795</wp:posOffset>
                </wp:positionH>
                <wp:positionV relativeFrom="page">
                  <wp:posOffset>5027295</wp:posOffset>
                </wp:positionV>
                <wp:extent cx="6267450" cy="3297555"/>
                <wp:effectExtent l="0" t="0" r="0" b="0"/>
                <wp:wrapThrough wrapText="bothSides">
                  <wp:wrapPolygon edited="0">
                    <wp:start x="0" y="0"/>
                    <wp:lineTo x="21600" y="0"/>
                    <wp:lineTo x="21600" y="21600"/>
                    <wp:lineTo x="0" y="21600"/>
                    <wp:lineTo x="0" y="0"/>
                  </wp:wrapPolygon>
                </wp:wrapThrough>
                <wp:docPr id="53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3297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5A090" w14:textId="77777777" w:rsidR="00541A14" w:rsidRDefault="00A450E1">
                            <w:pPr>
                              <w:widowControl w:val="0"/>
                              <w:autoSpaceDE w:val="0"/>
                              <w:autoSpaceDN w:val="0"/>
                              <w:adjustRightInd w:val="0"/>
                              <w:spacing w:after="245" w:line="358" w:lineRule="atLeast"/>
                              <w:rPr>
                                <w:rFonts w:ascii="Palatino" w:hAnsi="Palatino" w:cs="Palatino"/>
                                <w:color w:val="000000"/>
                              </w:rPr>
                            </w:pPr>
                            <w:r>
                              <w:rPr>
                                <w:rFonts w:ascii="Palatino" w:hAnsi="Palatino" w:cs="Palatino"/>
                                <w:b/>
                                <w:bCs/>
                                <w:color w:val="000000"/>
                              </w:rPr>
                              <w:t xml:space="preserve">Table 21 - Sample of the COMSAR/Circ15 standard terms </w:t>
                            </w:r>
                          </w:p>
                          <w:tbl>
                            <w:tblPr>
                              <w:tblW w:w="0" w:type="auto"/>
                              <w:tblBorders>
                                <w:top w:val="nil"/>
                                <w:left w:val="nil"/>
                                <w:bottom w:val="nil"/>
                                <w:right w:val="nil"/>
                              </w:tblBorders>
                              <w:tblLayout w:type="fixed"/>
                              <w:tblLook w:val="0000" w:firstRow="0" w:lastRow="0" w:firstColumn="0" w:lastColumn="0" w:noHBand="0" w:noVBand="0"/>
                            </w:tblPr>
                            <w:tblGrid>
                              <w:gridCol w:w="2925"/>
                              <w:gridCol w:w="6145"/>
                            </w:tblGrid>
                            <w:tr w:rsidR="00541A14" w14:paraId="6DD12CBF" w14:textId="77777777">
                              <w:trPr>
                                <w:trHeight w:val="293"/>
                              </w:trPr>
                              <w:tc>
                                <w:tcPr>
                                  <w:tcW w:w="2925" w:type="dxa"/>
                                  <w:tcBorders>
                                    <w:left w:val="single" w:sz="4" w:space="0" w:color="030506"/>
                                    <w:right w:val="single" w:sz="4" w:space="0" w:color="080A0C"/>
                                  </w:tcBorders>
                                  <w:shd w:val="clear" w:color="auto" w:fill="93B8D6"/>
                                  <w:vAlign w:val="center"/>
                                </w:tcPr>
                                <w:p w14:paraId="2EED9E56"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Descriptors for Lighthouses, Beacons Buoys and Lightvessels </w:t>
                                  </w:r>
                                </w:p>
                              </w:tc>
                              <w:tc>
                                <w:tcPr>
                                  <w:tcW w:w="6145" w:type="dxa"/>
                                  <w:tcBorders>
                                    <w:left w:val="single" w:sz="4" w:space="0" w:color="080A0C"/>
                                    <w:right w:val="single" w:sz="4" w:space="0" w:color="030506"/>
                                  </w:tcBorders>
                                  <w:shd w:val="clear" w:color="auto" w:fill="93B8D6"/>
                                  <w:vAlign w:val="center"/>
                                </w:tcPr>
                                <w:p w14:paraId="6CE023FA"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Comments </w:t>
                                  </w:r>
                                </w:p>
                              </w:tc>
                            </w:tr>
                            <w:tr w:rsidR="00541A14" w14:paraId="42A831EC" w14:textId="77777777">
                              <w:trPr>
                                <w:trHeight w:val="1693"/>
                              </w:trPr>
                              <w:tc>
                                <w:tcPr>
                                  <w:tcW w:w="2925" w:type="dxa"/>
                                  <w:tcBorders>
                                    <w:top w:val="single" w:sz="2" w:space="0" w:color="93B8D6"/>
                                    <w:left w:val="single" w:sz="4" w:space="0" w:color="030506"/>
                                    <w:bottom w:val="single" w:sz="4" w:space="0" w:color="000000"/>
                                    <w:right w:val="single" w:sz="4" w:space="0" w:color="080A0C"/>
                                  </w:tcBorders>
                                </w:tcPr>
                                <w:p w14:paraId="0CAE903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UNLIT LIGHT UNRELIABLE DAMAGED DESTROYED ESTABLISHED (+ location) OFF STATION MISSING RE-ESTABLISHED </w:t>
                                  </w:r>
                                </w:p>
                              </w:tc>
                              <w:tc>
                                <w:tcPr>
                                  <w:tcW w:w="6145" w:type="dxa"/>
                                  <w:tcBorders>
                                    <w:top w:val="single" w:sz="2" w:space="0" w:color="93B8D6"/>
                                    <w:left w:val="single" w:sz="4" w:space="0" w:color="080A0C"/>
                                    <w:bottom w:val="single" w:sz="4" w:space="0" w:color="000000"/>
                                    <w:right w:val="single" w:sz="4" w:space="0" w:color="030506"/>
                                  </w:tcBorders>
                                </w:tcPr>
                                <w:p w14:paraId="1FDED54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Incorrect Terms include: Out, Extinguished, Not Burning, Not Working Incorrect Terms include: Weak, Dim, Low Power, Fixed, Flashing incorrectly, Out of Character Use only for major damage eg. loss of significant functionality Incorrect Terms include: Temporarily destroyed New Light Buoy (lightvessel) not in the charted position Buoy (lightvessel) completely absent from position Only appropriate for lights that have previously been Charted or Listed as Destroyed </w:t>
                                  </w:r>
                                </w:p>
                              </w:tc>
                            </w:tr>
                          </w:tbl>
                          <w:p w14:paraId="27A13556"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50" type="#_x0000_t202" style="position:absolute;margin-left:60.85pt;margin-top:395.85pt;width:493.5pt;height:259.65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" o:allowincell="f" filled="f" stroked="f">
                <v:textbox>
                  <w:txbxContent>
                    <w:p w14:paraId="6C05A090" w14:textId="77777777" w:rsidR="00000000" w:rsidRDefault="00A450E1">
                      <w:pPr>
                        <w:widowControl w:val="0"/>
                        <w:autoSpaceDE w:val="0"/>
                        <w:autoSpaceDN w:val="0"/>
                        <w:adjustRightInd w:val="0"/>
                        <w:spacing w:after="245" w:line="358" w:lineRule="atLeast"/>
                        <w:rPr>
                          <w:rFonts w:ascii="Palatino" w:hAnsi="Palatino" w:cs="Palatino"/>
                          <w:color w:val="000000"/>
                        </w:rPr>
                      </w:pPr>
                      <w:r>
                        <w:rPr>
                          <w:rFonts w:ascii="Palatino" w:hAnsi="Palatino" w:cs="Palatino"/>
                          <w:b/>
                          <w:bCs/>
                          <w:color w:val="000000"/>
                        </w:rPr>
                        <w:t xml:space="preserve">Table 21 - Sample of the COMSAR/Circ15 standard terms </w:t>
                      </w:r>
                    </w:p>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57"/>
                        <w:gridCol w:w="33"/>
                        <w:gridCol w:w="302"/>
                        <w:gridCol w:w="33"/>
                        <w:gridCol w:w="135"/>
                        <w:gridCol w:w="177"/>
                        <w:gridCol w:w="125"/>
                        <w:gridCol w:w="55"/>
                        <w:gridCol w:w="20"/>
                        <w:gridCol w:w="50"/>
                        <w:gridCol w:w="168"/>
                        <w:gridCol w:w="97"/>
                        <w:gridCol w:w="33"/>
                        <w:gridCol w:w="175"/>
                        <w:gridCol w:w="197"/>
                        <w:gridCol w:w="112"/>
                        <w:gridCol w:w="5"/>
                        <w:gridCol w:w="123"/>
                        <w:gridCol w:w="302"/>
                        <w:gridCol w:w="240"/>
                        <w:gridCol w:w="60"/>
                        <w:gridCol w:w="237"/>
                        <w:gridCol w:w="38"/>
                        <w:gridCol w:w="90"/>
                        <w:gridCol w:w="370"/>
                        <w:gridCol w:w="5"/>
                        <w:gridCol w:w="5"/>
                        <w:gridCol w:w="12"/>
                        <w:gridCol w:w="47"/>
                        <w:gridCol w:w="168"/>
                        <w:gridCol w:w="52"/>
                        <w:gridCol w:w="122"/>
                        <w:gridCol w:w="108"/>
                        <w:gridCol w:w="503"/>
                        <w:gridCol w:w="47"/>
                        <w:gridCol w:w="355"/>
                        <w:gridCol w:w="10"/>
                        <w:gridCol w:w="371"/>
                        <w:gridCol w:w="509"/>
                        <w:gridCol w:w="183"/>
                        <w:gridCol w:w="57"/>
                        <w:gridCol w:w="283"/>
                        <w:gridCol w:w="1892"/>
                        <w:gridCol w:w="77"/>
                        <w:gridCol w:w="15"/>
                        <w:gridCol w:w="8"/>
                      </w:tblGrid>
                      <w:tr w:rsidR="00000000" w14:paraId="6DD12CBF" w14:textId="77777777">
                        <w:tblPrEx>
                          <w:tblCellMar>
                            <w:top w:w="0" w:type="dxa"/>
                            <w:bottom w:w="0" w:type="dxa"/>
                          </w:tblCellMar>
                        </w:tblPrEx>
                        <w:trPr>
                          <w:gridAfter w:val="1"/>
                          <w:wAfter w:w="8" w:type="dxa"/>
                          <w:trHeight w:val="293"/>
                        </w:trPr>
                        <w:tc>
                          <w:tcPr>
                            <w:tcW w:w="2925" w:type="dxa"/>
                            <w:gridSpan w:val="20"/>
                            <w:tcBorders>
                              <w:left w:val="single" w:sz="4" w:space="0" w:color="030506"/>
                              <w:right w:val="single" w:sz="4" w:space="0" w:color="080A0C"/>
                            </w:tcBorders>
                            <w:shd w:val="clear" w:color="auto" w:fill="93B8D6"/>
                            <w:vAlign w:val="center"/>
                          </w:tcPr>
                          <w:p w14:paraId="2EED9E56"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Descriptors for Lighthouses, Beacons Buoys and Lightvessels </w:t>
                            </w:r>
                          </w:p>
                        </w:tc>
                        <w:tc>
                          <w:tcPr>
                            <w:tcW w:w="6145" w:type="dxa"/>
                            <w:gridSpan w:val="27"/>
                            <w:tcBorders>
                              <w:left w:val="single" w:sz="4" w:space="0" w:color="080A0C"/>
                              <w:right w:val="single" w:sz="4" w:space="0" w:color="030506"/>
                            </w:tcBorders>
                            <w:shd w:val="clear" w:color="auto" w:fill="93B8D6"/>
                            <w:vAlign w:val="center"/>
                          </w:tcPr>
                          <w:p w14:paraId="6CE023FA"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Comments </w:t>
                            </w:r>
                          </w:p>
                        </w:tc>
                      </w:tr>
                      <w:tr w:rsidR="00000000" w14:paraId="42A831EC" w14:textId="77777777">
                        <w:tblPrEx>
                          <w:tblCellMar>
                            <w:top w:w="0" w:type="dxa"/>
                            <w:bottom w:w="0" w:type="dxa"/>
                          </w:tblCellMar>
                        </w:tblPrEx>
                        <w:trPr>
                          <w:gridAfter w:val="1"/>
                          <w:wAfter w:w="8" w:type="dxa"/>
                          <w:trHeight w:val="1693"/>
                        </w:trPr>
                        <w:tc>
                          <w:tcPr>
                            <w:tcW w:w="2925" w:type="dxa"/>
                            <w:gridSpan w:val="20"/>
                            <w:tcBorders>
                              <w:top w:val="single" w:sz="2" w:space="0" w:color="93B8D6"/>
                              <w:left w:val="single" w:sz="4" w:space="0" w:color="030506"/>
                              <w:bottom w:val="single" w:sz="4" w:space="0" w:color="000000"/>
                              <w:right w:val="single" w:sz="4" w:space="0" w:color="080A0C"/>
                            </w:tcBorders>
                          </w:tcPr>
                          <w:p w14:paraId="0CAE903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UNLIT LIGHT UNRELIABLE DAMAGED DESTROYED ESTABLISHED (+ location) OFF STATION MISSING RE-ESTABLISHED </w:t>
                            </w:r>
                          </w:p>
                        </w:tc>
                        <w:tc>
                          <w:tcPr>
                            <w:tcW w:w="6145" w:type="dxa"/>
                            <w:gridSpan w:val="27"/>
                            <w:tcBorders>
                              <w:top w:val="single" w:sz="2" w:space="0" w:color="93B8D6"/>
                              <w:left w:val="single" w:sz="4" w:space="0" w:color="080A0C"/>
                              <w:bottom w:val="single" w:sz="4" w:space="0" w:color="000000"/>
                              <w:right w:val="single" w:sz="4" w:space="0" w:color="030506"/>
                            </w:tcBorders>
                          </w:tcPr>
                          <w:p w14:paraId="1FDED54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Incorrect Terms include: Out, Extinguished, Not Burning, Not Working Incorrect Terms include: Weak, Dim, Low Power, Fixed, Flashing incorrectly, Out of Character Use only for major damage eg. loss of significant functionality Incorrect Terms include: Tempo</w:t>
                            </w:r>
                            <w:r>
                              <w:rPr>
                                <w:rFonts w:ascii="Helvetica 55 Roman" w:hAnsi="Helvetica 55 Roman" w:cs="Helvetica 55 Roman"/>
                                <w:sz w:val="18"/>
                                <w:szCs w:val="18"/>
                              </w:rPr>
                              <w:t xml:space="preserve">rarily destroyed New Light Buoy (lightvessel) not in the charted position Buoy (lightvessel) completely absent from position Only appropriate for lights that have previously been Charted or Listed as Destroyed </w:t>
                            </w:r>
                          </w:p>
                        </w:tc>
                      </w:tr>
                    </w:tbl>
                  </w:txbxContent>
                </v:textbox>
                <w10:wrap type="through" anchorx="page" anchory="page"/>
              </v:shape>
            </w:pict>
          </mc:Fallback>
        </mc:AlternateContent>
      </w:r>
    </w:p>
    <w:p w14:paraId="794BA314" w14:textId="77777777" w:rsidR="00541A14" w:rsidRDefault="00A450E1">
      <w:pPr>
        <w:pStyle w:val="CM54"/>
        <w:jc w:val="center"/>
        <w:rPr>
          <w:rFonts w:ascii="Palatino" w:hAnsi="Palatino" w:cs="Palatino"/>
          <w:sz w:val="20"/>
          <w:szCs w:val="20"/>
        </w:rPr>
      </w:pPr>
      <w:r>
        <w:rPr>
          <w:rFonts w:ascii="Palatino" w:hAnsi="Palatino" w:cs="Palatino"/>
          <w:sz w:val="20"/>
          <w:szCs w:val="20"/>
        </w:rPr>
        <w:t xml:space="preserve">The above list of terms and definitions do not adequately cover all of the situations that an Authority might want to use when issuing a navigation warning. An expanded set of definitions of terms for use </w:t>
      </w:r>
    </w:p>
    <w:p w14:paraId="65BC3F02" w14:textId="77777777" w:rsidR="00541A14" w:rsidRDefault="00A450E1">
      <w:pPr>
        <w:pStyle w:val="CM187"/>
        <w:spacing w:after="2867" w:line="291" w:lineRule="atLeast"/>
        <w:rPr>
          <w:rFonts w:ascii="Palatino" w:hAnsi="Palatino" w:cs="Palatino"/>
          <w:sz w:val="20"/>
          <w:szCs w:val="20"/>
        </w:rPr>
      </w:pPr>
      <w:r>
        <w:rPr>
          <w:rFonts w:ascii="Palatino" w:hAnsi="Palatino" w:cs="Palatino"/>
          <w:sz w:val="20"/>
          <w:szCs w:val="20"/>
        </w:rPr>
        <w:t xml:space="preserve">in navigation warnings is provided for Competent Authorities’ consideration in Table 22. </w:t>
      </w:r>
    </w:p>
    <w:p w14:paraId="01CA2824" w14:textId="77777777" w:rsidR="00541A14" w:rsidRDefault="00A450E1">
      <w:pPr>
        <w:pStyle w:val="CM12"/>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43729C95"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133 </w:t>
      </w:r>
    </w:p>
    <w:p w14:paraId="1EEDE01E" w14:textId="77777777" w:rsidR="00541A14" w:rsidRDefault="00DD420F">
      <w:pPr>
        <w:pStyle w:val="Default"/>
        <w:pageBreakBefore/>
        <w:framePr w:w="24782" w:wrap="auto" w:vAnchor="page" w:hAnchor="page" w:x="101" w:y="1"/>
        <w:spacing w:after="88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3B6668C3" wp14:editId="62CDC76C">
            <wp:extent cx="7553960" cy="1056640"/>
            <wp:effectExtent l="0" t="0" r="0" b="1016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26BB9D2A"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83840" behindDoc="0" locked="0" layoutInCell="0" allowOverlap="1" wp14:anchorId="0B685820" wp14:editId="3D096797">
                <wp:simplePos x="0" y="0"/>
                <wp:positionH relativeFrom="page">
                  <wp:posOffset>772795</wp:posOffset>
                </wp:positionH>
                <wp:positionV relativeFrom="page">
                  <wp:posOffset>1383665</wp:posOffset>
                </wp:positionV>
                <wp:extent cx="6267450" cy="9573260"/>
                <wp:effectExtent l="0" t="0" r="0" b="0"/>
                <wp:wrapThrough wrapText="bothSides">
                  <wp:wrapPolygon edited="0">
                    <wp:start x="0" y="0"/>
                    <wp:lineTo x="21600" y="0"/>
                    <wp:lineTo x="21600" y="21600"/>
                    <wp:lineTo x="0" y="21600"/>
                    <wp:lineTo x="0" y="0"/>
                  </wp:wrapPolygon>
                </wp:wrapThrough>
                <wp:docPr id="53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9573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78617" w14:textId="77777777" w:rsidR="00541A14" w:rsidRDefault="00A450E1">
                            <w:pPr>
                              <w:widowControl w:val="0"/>
                              <w:autoSpaceDE w:val="0"/>
                              <w:autoSpaceDN w:val="0"/>
                              <w:adjustRightInd w:val="0"/>
                              <w:spacing w:after="237"/>
                              <w:jc w:val="center"/>
                              <w:rPr>
                                <w:rFonts w:ascii="Palatino" w:hAnsi="Palatino" w:cs="Palatino"/>
                                <w:color w:val="000000"/>
                              </w:rPr>
                            </w:pPr>
                            <w:r>
                              <w:rPr>
                                <w:rFonts w:ascii="Palatino" w:hAnsi="Palatino" w:cs="Palatino"/>
                                <w:b/>
                                <w:bCs/>
                              </w:rPr>
                              <w:t xml:space="preserve">Table 22 – A suggested expanded list of terms and definitions for use in navigation warnings </w:t>
                            </w:r>
                          </w:p>
                          <w:tbl>
                            <w:tblPr>
                              <w:tblW w:w="0" w:type="auto"/>
                              <w:tblBorders>
                                <w:top w:val="nil"/>
                                <w:left w:val="nil"/>
                                <w:bottom w:val="nil"/>
                                <w:right w:val="nil"/>
                              </w:tblBorders>
                              <w:tblLayout w:type="fixed"/>
                              <w:tblLook w:val="0000" w:firstRow="0" w:lastRow="0" w:firstColumn="0" w:lastColumn="0" w:noHBand="0" w:noVBand="0"/>
                            </w:tblPr>
                            <w:tblGrid>
                              <w:gridCol w:w="2490"/>
                              <w:gridCol w:w="6580"/>
                            </w:tblGrid>
                            <w:tr w:rsidR="00541A14" w14:paraId="2A8C9DC9" w14:textId="77777777">
                              <w:trPr>
                                <w:trHeight w:val="205"/>
                              </w:trPr>
                              <w:tc>
                                <w:tcPr>
                                  <w:tcW w:w="2490" w:type="dxa"/>
                                  <w:tcBorders>
                                    <w:top w:val="single" w:sz="4" w:space="0" w:color="171D22"/>
                                    <w:left w:val="single" w:sz="4" w:space="0" w:color="000000"/>
                                    <w:right w:val="single" w:sz="4" w:space="0" w:color="000101"/>
                                  </w:tcBorders>
                                  <w:shd w:val="clear" w:color="auto" w:fill="93B8D6"/>
                                  <w:vAlign w:val="center"/>
                                </w:tcPr>
                                <w:p w14:paraId="76D00162"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Term </w:t>
                                  </w:r>
                                </w:p>
                              </w:tc>
                              <w:tc>
                                <w:tcPr>
                                  <w:tcW w:w="6580" w:type="dxa"/>
                                  <w:tcBorders>
                                    <w:top w:val="single" w:sz="4" w:space="0" w:color="171D22"/>
                                    <w:left w:val="single" w:sz="4" w:space="0" w:color="000101"/>
                                    <w:right w:val="single" w:sz="4" w:space="0" w:color="000000"/>
                                  </w:tcBorders>
                                  <w:shd w:val="clear" w:color="auto" w:fill="93B8D6"/>
                                  <w:vAlign w:val="center"/>
                                </w:tcPr>
                                <w:p w14:paraId="24D2156C"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Definition </w:t>
                                  </w:r>
                                </w:p>
                              </w:tc>
                            </w:tr>
                            <w:tr w:rsidR="00541A14" w14:paraId="049104CC" w14:textId="77777777">
                              <w:trPr>
                                <w:trHeight w:val="5911"/>
                              </w:trPr>
                              <w:tc>
                                <w:tcPr>
                                  <w:tcW w:w="2490" w:type="dxa"/>
                                  <w:tcBorders>
                                    <w:top w:val="single" w:sz="2" w:space="0" w:color="93B8D6"/>
                                    <w:left w:val="single" w:sz="4" w:space="0" w:color="000000"/>
                                    <w:bottom w:val="single" w:sz="4" w:space="0" w:color="000000"/>
                                    <w:right w:val="single" w:sz="4" w:space="0" w:color="000101"/>
                                  </w:tcBorders>
                                </w:tcPr>
                                <w:p w14:paraId="6F8E01C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Station Established in position Re-established in position Unlit Unreliable Reduced power Off station Altered Altered in position Destroyed Restored to normal Replaced in position Temporarily replaced by Temporarily withdrawn Temporarily discontinued Permanently withdrawn Permanently discontinued </w:t>
                                  </w:r>
                                </w:p>
                              </w:tc>
                              <w:tc>
                                <w:tcPr>
                                  <w:tcW w:w="6580" w:type="dxa"/>
                                  <w:tcBorders>
                                    <w:top w:val="single" w:sz="2" w:space="0" w:color="93B8D6"/>
                                    <w:left w:val="single" w:sz="4" w:space="0" w:color="000101"/>
                                    <w:bottom w:val="single" w:sz="4" w:space="0" w:color="000000"/>
                                    <w:right w:val="single" w:sz="4" w:space="0" w:color="000000"/>
                                  </w:tcBorders>
                                </w:tcPr>
                                <w:p w14:paraId="35E746B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The authorised and exact location of an aid to navigation. Any type of aid placed in operation for the first time at a given station. Any type of aid placed in operation at a station at which a similar type of aid with identical characteristics had been previously established, but subsequently destroyed, withdrawn or discontinued. When a light is out because of defective equipment, or any unintentional or deliberate occurrence and it is intended to restore it to normal as soon as practicable. When an aid of any type is not exhibiting its correct characteristics and it is intended to restore it to normal as soon as practicable. When an aid of any type is not operating at its correct power, but is exhibiting the correct characteristics and it is intended to restore it to normal replace it as soon as practicable. When a floating aid is adrift, missing or out of position and it is intended to replace it as soon as practicable. When the characteristics or structure of any aid have been altered, without changing the type of aid or its station. When a change is made to the station of an aid (ie its location) without changing the type of aid, character or type of structure. Any type of aid that has been damaged to the extent that it is no longer of use as an aid to navigation, but the structure may remain. Any type of aid that has been previously described as unlit, unreliable, reduced power or temporarily discontinued and has now been serviced so as to exhibit its correct characteristics and power. When a floating aid previously described as off station or temporarily discontinued is returned to station or replaced by another with the same characteristics. When any aid is discontinued, temporarily withdrawn or off station and another aid of different type or characteristics is immediately established at the same station. When a floating aid has been entirely removed from its station and no similar aid is left in its place, but it is intended to re-establish the aid in the near future. When a sound signal or radionavigation service is silent because of maintenance requirements, or any unintentional or deliberate occurrence, and it is intended to restore it to normal as soon as practicable. When a floating aid has been entirely removed from its station with no similar aid is left in its place and it is not intended to re-establish that aid in the near future. When any aid, other than a floating aid, is removed from a station or the service is terminated or silenced because it is no longer required. </w:t>
                                  </w:r>
                                </w:p>
                              </w:tc>
                            </w:tr>
                          </w:tbl>
                          <w:p w14:paraId="6D099866"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51" type="#_x0000_t202" style="position:absolute;margin-left:60.85pt;margin-top:108.95pt;width:493.5pt;height:753.8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" o:allowincell="f" filled="f" stroked="f">
                <v:textbox>
                  <w:txbxContent>
                    <w:p w14:paraId="35A78617" w14:textId="77777777" w:rsidR="00000000" w:rsidRDefault="00A450E1">
                      <w:pPr>
                        <w:widowControl w:val="0"/>
                        <w:autoSpaceDE w:val="0"/>
                        <w:autoSpaceDN w:val="0"/>
                        <w:adjustRightInd w:val="0"/>
                        <w:spacing w:after="237"/>
                        <w:jc w:val="center"/>
                        <w:rPr>
                          <w:rFonts w:ascii="Palatino" w:hAnsi="Palatino" w:cs="Palatino"/>
                          <w:color w:val="000000"/>
                        </w:rPr>
                      </w:pPr>
                      <w:r>
                        <w:rPr>
                          <w:rFonts w:ascii="Palatino" w:hAnsi="Palatino" w:cs="Palatino"/>
                          <w:b/>
                          <w:bCs/>
                        </w:rPr>
                        <w:t xml:space="preserve">Table 22 – A suggested expanded list of terms and definitions for use in navigation warnings </w:t>
                      </w:r>
                    </w:p>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57"/>
                        <w:gridCol w:w="33"/>
                        <w:gridCol w:w="302"/>
                        <w:gridCol w:w="33"/>
                        <w:gridCol w:w="135"/>
                        <w:gridCol w:w="177"/>
                        <w:gridCol w:w="125"/>
                        <w:gridCol w:w="55"/>
                        <w:gridCol w:w="20"/>
                        <w:gridCol w:w="50"/>
                        <w:gridCol w:w="168"/>
                        <w:gridCol w:w="97"/>
                        <w:gridCol w:w="33"/>
                        <w:gridCol w:w="175"/>
                        <w:gridCol w:w="197"/>
                        <w:gridCol w:w="112"/>
                        <w:gridCol w:w="5"/>
                        <w:gridCol w:w="425"/>
                        <w:gridCol w:w="240"/>
                        <w:gridCol w:w="60"/>
                        <w:gridCol w:w="237"/>
                        <w:gridCol w:w="38"/>
                        <w:gridCol w:w="90"/>
                        <w:gridCol w:w="370"/>
                        <w:gridCol w:w="5"/>
                        <w:gridCol w:w="5"/>
                        <w:gridCol w:w="12"/>
                        <w:gridCol w:w="47"/>
                        <w:gridCol w:w="168"/>
                        <w:gridCol w:w="52"/>
                        <w:gridCol w:w="122"/>
                        <w:gridCol w:w="108"/>
                        <w:gridCol w:w="503"/>
                        <w:gridCol w:w="47"/>
                        <w:gridCol w:w="355"/>
                        <w:gridCol w:w="10"/>
                        <w:gridCol w:w="371"/>
                        <w:gridCol w:w="509"/>
                        <w:gridCol w:w="183"/>
                        <w:gridCol w:w="57"/>
                        <w:gridCol w:w="283"/>
                        <w:gridCol w:w="1892"/>
                        <w:gridCol w:w="77"/>
                        <w:gridCol w:w="15"/>
                        <w:gridCol w:w="8"/>
                      </w:tblGrid>
                      <w:tr w:rsidR="00000000" w14:paraId="2A8C9DC9" w14:textId="77777777">
                        <w:tblPrEx>
                          <w:tblCellMar>
                            <w:top w:w="0" w:type="dxa"/>
                            <w:bottom w:w="0" w:type="dxa"/>
                          </w:tblCellMar>
                        </w:tblPrEx>
                        <w:trPr>
                          <w:gridAfter w:val="1"/>
                          <w:wAfter w:w="7" w:type="dxa"/>
                          <w:trHeight w:val="205"/>
                        </w:trPr>
                        <w:tc>
                          <w:tcPr>
                            <w:tcW w:w="2490" w:type="dxa"/>
                            <w:gridSpan w:val="16"/>
                            <w:tcBorders>
                              <w:top w:val="single" w:sz="4" w:space="0" w:color="171D22"/>
                              <w:left w:val="single" w:sz="4" w:space="0" w:color="000000"/>
                              <w:right w:val="single" w:sz="4" w:space="0" w:color="000101"/>
                            </w:tcBorders>
                            <w:shd w:val="clear" w:color="auto" w:fill="93B8D6"/>
                            <w:vAlign w:val="center"/>
                          </w:tcPr>
                          <w:p w14:paraId="76D00162"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Term </w:t>
                            </w:r>
                          </w:p>
                        </w:tc>
                        <w:tc>
                          <w:tcPr>
                            <w:tcW w:w="6580" w:type="dxa"/>
                            <w:gridSpan w:val="30"/>
                            <w:tcBorders>
                              <w:top w:val="single" w:sz="4" w:space="0" w:color="171D22"/>
                              <w:left w:val="single" w:sz="4" w:space="0" w:color="000101"/>
                              <w:right w:val="single" w:sz="4" w:space="0" w:color="000000"/>
                            </w:tcBorders>
                            <w:shd w:val="clear" w:color="auto" w:fill="93B8D6"/>
                            <w:vAlign w:val="center"/>
                          </w:tcPr>
                          <w:p w14:paraId="24D2156C"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Definition </w:t>
                            </w:r>
                          </w:p>
                        </w:tc>
                      </w:tr>
                      <w:tr w:rsidR="00000000" w14:paraId="049104CC" w14:textId="77777777">
                        <w:tblPrEx>
                          <w:tblCellMar>
                            <w:top w:w="0" w:type="dxa"/>
                            <w:bottom w:w="0" w:type="dxa"/>
                          </w:tblCellMar>
                        </w:tblPrEx>
                        <w:trPr>
                          <w:gridAfter w:val="1"/>
                          <w:wAfter w:w="7" w:type="dxa"/>
                          <w:trHeight w:val="5911"/>
                        </w:trPr>
                        <w:tc>
                          <w:tcPr>
                            <w:tcW w:w="2490" w:type="dxa"/>
                            <w:gridSpan w:val="16"/>
                            <w:tcBorders>
                              <w:top w:val="single" w:sz="2" w:space="0" w:color="93B8D6"/>
                              <w:left w:val="single" w:sz="4" w:space="0" w:color="000000"/>
                              <w:bottom w:val="single" w:sz="4" w:space="0" w:color="000000"/>
                              <w:right w:val="single" w:sz="4" w:space="0" w:color="000101"/>
                            </w:tcBorders>
                          </w:tcPr>
                          <w:p w14:paraId="6F8E01C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Station Established in position Re-established in position Unlit Unreliable Reduced power Off station Altered Altered in position Destroyed Restored to normal Replaced in position Temporarily replaced by Temporarily withdrawn Temporarily discontinued Perma</w:t>
                            </w:r>
                            <w:r>
                              <w:rPr>
                                <w:rFonts w:ascii="Helvetica 55 Roman" w:hAnsi="Helvetica 55 Roman" w:cs="Helvetica 55 Roman"/>
                                <w:sz w:val="18"/>
                                <w:szCs w:val="18"/>
                              </w:rPr>
                              <w:t xml:space="preserve">nently withdrawn Permanently discontinued </w:t>
                            </w:r>
                          </w:p>
                        </w:tc>
                        <w:tc>
                          <w:tcPr>
                            <w:tcW w:w="6580" w:type="dxa"/>
                            <w:gridSpan w:val="30"/>
                            <w:tcBorders>
                              <w:top w:val="single" w:sz="2" w:space="0" w:color="93B8D6"/>
                              <w:left w:val="single" w:sz="4" w:space="0" w:color="000101"/>
                              <w:bottom w:val="single" w:sz="4" w:space="0" w:color="000000"/>
                              <w:right w:val="single" w:sz="4" w:space="0" w:color="000000"/>
                            </w:tcBorders>
                          </w:tcPr>
                          <w:p w14:paraId="35E746B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The authorised and exact location of an aid to navigation. Any type of aid placed in operation for the first time at a given station. Any type of aid placed in operation at a station at which a similar type of aid</w:t>
                            </w:r>
                            <w:r>
                              <w:rPr>
                                <w:rFonts w:ascii="Helvetica 55 Roman" w:hAnsi="Helvetica 55 Roman" w:cs="Helvetica 55 Roman"/>
                                <w:sz w:val="18"/>
                                <w:szCs w:val="18"/>
                              </w:rPr>
                              <w:t xml:space="preserve"> with identical characteristics had been previously established, but subsequently destroyed, withdrawn or discontinued. When a light is out because of defective equipment, or any unintentional or deliberate occurrence and it is intended to restore it to no</w:t>
                            </w:r>
                            <w:r>
                              <w:rPr>
                                <w:rFonts w:ascii="Helvetica 55 Roman" w:hAnsi="Helvetica 55 Roman" w:cs="Helvetica 55 Roman"/>
                                <w:sz w:val="18"/>
                                <w:szCs w:val="18"/>
                              </w:rPr>
                              <w:t>rmal as soon as practicable. When an aid of any type is not exhibiting its correct characteristics and it is intended to restore it to normal as soon as practicable. When an aid of any type is not operating at its correct power, but is exhibiting the corre</w:t>
                            </w:r>
                            <w:r>
                              <w:rPr>
                                <w:rFonts w:ascii="Helvetica 55 Roman" w:hAnsi="Helvetica 55 Roman" w:cs="Helvetica 55 Roman"/>
                                <w:sz w:val="18"/>
                                <w:szCs w:val="18"/>
                              </w:rPr>
                              <w:t>ct characteristics and it is intended to restore it to normal replace it as soon as practicable. When a floating aid is adrift, missing or out of position and it is intended to replace it as soon as practicable. When the characteristics or structure of any</w:t>
                            </w:r>
                            <w:r>
                              <w:rPr>
                                <w:rFonts w:ascii="Helvetica 55 Roman" w:hAnsi="Helvetica 55 Roman" w:cs="Helvetica 55 Roman"/>
                                <w:sz w:val="18"/>
                                <w:szCs w:val="18"/>
                              </w:rPr>
                              <w:t xml:space="preserve"> aid have been altered, without changing the type of aid or its station. When a change is made to the station of an aid (ie its location) without changing the type of aid, character or type of structure. Any type of aid that has been damaged to the extent </w:t>
                            </w:r>
                            <w:r>
                              <w:rPr>
                                <w:rFonts w:ascii="Helvetica 55 Roman" w:hAnsi="Helvetica 55 Roman" w:cs="Helvetica 55 Roman"/>
                                <w:sz w:val="18"/>
                                <w:szCs w:val="18"/>
                              </w:rPr>
                              <w:t>that it is no longer of use as an aid to navigation, but the structure may remain. Any type of aid that has been previously described as unlit, unreliable, reduced power or temporarily discontinued and has now been serviced so as to exhibit its correct cha</w:t>
                            </w:r>
                            <w:r>
                              <w:rPr>
                                <w:rFonts w:ascii="Helvetica 55 Roman" w:hAnsi="Helvetica 55 Roman" w:cs="Helvetica 55 Roman"/>
                                <w:sz w:val="18"/>
                                <w:szCs w:val="18"/>
                              </w:rPr>
                              <w:t xml:space="preserve">racteristics and power. When a floating aid previously described as off station or temporarily discontinued is returned to station or replaced by another with the same characteristics. When any aid is discontinued, temporarily withdrawn or off station and </w:t>
                            </w:r>
                            <w:r>
                              <w:rPr>
                                <w:rFonts w:ascii="Helvetica 55 Roman" w:hAnsi="Helvetica 55 Roman" w:cs="Helvetica 55 Roman"/>
                                <w:sz w:val="18"/>
                                <w:szCs w:val="18"/>
                              </w:rPr>
                              <w:t xml:space="preserve">another aid of different type or characteristics is immediately established at the same station. When a floating aid has been entirely removed from its station and no similar aid is left in its place, but it is intended to re-establish the aid in the near </w:t>
                            </w:r>
                            <w:r>
                              <w:rPr>
                                <w:rFonts w:ascii="Helvetica 55 Roman" w:hAnsi="Helvetica 55 Roman" w:cs="Helvetica 55 Roman"/>
                                <w:sz w:val="18"/>
                                <w:szCs w:val="18"/>
                              </w:rPr>
                              <w:t>future. When a sound signal or radionavigation service is silent because of maintenance requirements, or any unintentional or deliberate occurrence, and it is intended to restore it to normal as soon as practicable. When a floating aid has been entirely re</w:t>
                            </w:r>
                            <w:r>
                              <w:rPr>
                                <w:rFonts w:ascii="Helvetica 55 Roman" w:hAnsi="Helvetica 55 Roman" w:cs="Helvetica 55 Roman"/>
                                <w:sz w:val="18"/>
                                <w:szCs w:val="18"/>
                              </w:rPr>
                              <w:t>moved from its station with no similar aid is left in its place and it is not intended to re-establish that aid in the near future. When any aid, other than a floating aid, is removed from a station or the service is terminated or silenced because it is no</w:t>
                            </w:r>
                            <w:r>
                              <w:rPr>
                                <w:rFonts w:ascii="Helvetica 55 Roman" w:hAnsi="Helvetica 55 Roman" w:cs="Helvetica 55 Roman"/>
                                <w:sz w:val="18"/>
                                <w:szCs w:val="18"/>
                              </w:rPr>
                              <w:t xml:space="preserve"> longer required. </w:t>
                            </w:r>
                          </w:p>
                        </w:tc>
                      </w:tr>
                    </w:tbl>
                  </w:txbxContent>
                </v:textbox>
                <w10:wrap type="through" anchorx="page" anchory="page"/>
              </v:shape>
            </w:pict>
          </mc:Fallback>
        </mc:AlternateContent>
      </w:r>
    </w:p>
    <w:p w14:paraId="06892BEE" w14:textId="77777777" w:rsidR="00541A14" w:rsidRDefault="00541A14">
      <w:pPr>
        <w:pStyle w:val="CM172"/>
        <w:spacing w:after="202"/>
        <w:jc w:val="both"/>
      </w:pPr>
    </w:p>
    <w:p w14:paraId="5766EA81" w14:textId="77777777" w:rsidR="00541A14" w:rsidRDefault="00DD420F">
      <w:pPr>
        <w:pStyle w:val="Default"/>
        <w:framePr w:w="1220" w:wrap="auto" w:vAnchor="page" w:hAnchor="page" w:x="608" w:y="16278"/>
        <w:rPr>
          <w:rFonts w:cs="Times New Roman"/>
          <w:color w:val="auto"/>
        </w:rPr>
      </w:pPr>
      <w:r>
        <w:rPr>
          <w:rFonts w:cs="Times New Roman"/>
          <w:noProof/>
          <w:color w:val="auto"/>
        </w:rPr>
        <w:drawing>
          <wp:inline distT="0" distB="0" distL="0" distR="0" wp14:anchorId="2CD7ECE4" wp14:editId="72A7A2EB">
            <wp:extent cx="266700" cy="142240"/>
            <wp:effectExtent l="0" t="0" r="12700" b="1016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266700" cy="142240"/>
                    </a:xfrm>
                    <a:prstGeom prst="rect">
                      <a:avLst/>
                    </a:prstGeom>
                    <a:noFill/>
                    <a:ln>
                      <a:noFill/>
                    </a:ln>
                  </pic:spPr>
                </pic:pic>
              </a:graphicData>
            </a:graphic>
          </wp:inline>
        </w:drawing>
      </w:r>
    </w:p>
    <w:p w14:paraId="223F34AD" w14:textId="77777777" w:rsidR="00541A14" w:rsidRDefault="00541A14">
      <w:pPr>
        <w:pStyle w:val="CM100"/>
        <w:ind w:left="8357"/>
      </w:pPr>
    </w:p>
    <w:p w14:paraId="6DD49435" w14:textId="77777777" w:rsidR="00541A14" w:rsidRDefault="00DD420F">
      <w:pPr>
        <w:pStyle w:val="Default"/>
        <w:framePr w:w="1100" w:wrap="auto" w:vAnchor="page" w:hAnchor="page" w:x="8964" w:y="16323"/>
        <w:rPr>
          <w:rFonts w:cs="Times New Roman"/>
          <w:color w:val="auto"/>
        </w:rPr>
      </w:pPr>
      <w:r>
        <w:rPr>
          <w:rFonts w:cs="Times New Roman"/>
          <w:noProof/>
          <w:color w:val="auto"/>
        </w:rPr>
        <w:drawing>
          <wp:inline distT="0" distB="0" distL="0" distR="0" wp14:anchorId="24220523" wp14:editId="482BDB9E">
            <wp:extent cx="227330" cy="113665"/>
            <wp:effectExtent l="0" t="0" r="127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0F469A69" w14:textId="77777777" w:rsidR="00541A14" w:rsidRDefault="00DD420F">
      <w:pPr>
        <w:pStyle w:val="Default"/>
        <w:framePr w:w="2088" w:wrap="auto" w:vAnchor="page" w:hAnchor="page" w:x="9249" w:y="16323"/>
        <w:rPr>
          <w:rFonts w:cs="Times New Roman"/>
          <w:color w:val="auto"/>
        </w:rPr>
      </w:pPr>
      <w:r>
        <w:rPr>
          <w:rFonts w:cs="Times New Roman"/>
          <w:noProof/>
          <w:color w:val="auto"/>
        </w:rPr>
        <w:drawing>
          <wp:inline distT="0" distB="0" distL="0" distR="0" wp14:anchorId="55951650" wp14:editId="5385D3B4">
            <wp:extent cx="823595" cy="11366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229E6A04" w14:textId="77777777" w:rsidR="00541A14" w:rsidRDefault="00DD420F">
      <w:pPr>
        <w:pStyle w:val="Default"/>
        <w:pageBreakBefore/>
        <w:framePr w:w="12876" w:wrap="auto" w:vAnchor="page" w:hAnchor="page" w:x="101" w:y="1"/>
        <w:spacing w:after="860"/>
        <w:rPr>
          <w:rFonts w:cs="Times New Roman"/>
          <w:color w:val="auto"/>
        </w:rPr>
      </w:pPr>
      <w:r>
        <w:rPr>
          <w:rFonts w:cs="Times New Roman"/>
          <w:noProof/>
          <w:color w:val="auto"/>
        </w:rPr>
        <w:drawing>
          <wp:inline distT="0" distB="0" distL="0" distR="0" wp14:anchorId="501775A9" wp14:editId="2F09A2FF">
            <wp:extent cx="7553960" cy="1056640"/>
            <wp:effectExtent l="0" t="0" r="0" b="1016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3255D3F3"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6.6.5 Positions </w:t>
      </w:r>
    </w:p>
    <w:p w14:paraId="21B0E978" w14:textId="77777777" w:rsidR="00541A14" w:rsidRDefault="00A450E1">
      <w:pPr>
        <w:pStyle w:val="CM165"/>
        <w:spacing w:after="85" w:line="291" w:lineRule="atLeast"/>
        <w:ind w:right="777"/>
        <w:rPr>
          <w:rFonts w:ascii="Palatino" w:hAnsi="Palatino" w:cs="Palatino"/>
          <w:color w:val="000000"/>
          <w:sz w:val="20"/>
          <w:szCs w:val="20"/>
        </w:rPr>
      </w:pPr>
      <w:r>
        <w:rPr>
          <w:rFonts w:ascii="Palatino" w:hAnsi="Palatino" w:cs="Palatino"/>
          <w:color w:val="000000"/>
          <w:sz w:val="20"/>
          <w:szCs w:val="20"/>
        </w:rPr>
        <w:t xml:space="preserve">The Joint IMO/IHO/WMO Manual on Maritime Safety Information Edition 3 2009 states that positions should always be given in Degrees, Minutes and Decimal Minutes in the form: </w:t>
      </w:r>
    </w:p>
    <w:p w14:paraId="1AF9726B" w14:textId="77777777" w:rsidR="00541A14" w:rsidRDefault="00A450E1">
      <w:pPr>
        <w:pStyle w:val="Default"/>
        <w:numPr>
          <w:ilvl w:val="0"/>
          <w:numId w:val="131"/>
        </w:numPr>
        <w:rPr>
          <w:rFonts w:ascii="Palatino" w:hAnsi="Palatino" w:cs="Palatino"/>
          <w:sz w:val="20"/>
          <w:szCs w:val="20"/>
        </w:rPr>
      </w:pPr>
      <w:r>
        <w:rPr>
          <w:rFonts w:ascii="Palatino" w:hAnsi="Palatino" w:cs="Palatino"/>
          <w:sz w:val="20"/>
          <w:szCs w:val="20"/>
        </w:rPr>
        <w:t xml:space="preserve">DD-MM.mmm N or S. </w:t>
      </w:r>
    </w:p>
    <w:p w14:paraId="6EA733D5" w14:textId="77777777" w:rsidR="00541A14" w:rsidRDefault="00A450E1">
      <w:pPr>
        <w:pStyle w:val="Default"/>
        <w:numPr>
          <w:ilvl w:val="0"/>
          <w:numId w:val="131"/>
        </w:numPr>
        <w:rPr>
          <w:rFonts w:ascii="Palatino" w:hAnsi="Palatino" w:cs="Palatino"/>
          <w:sz w:val="20"/>
          <w:szCs w:val="20"/>
        </w:rPr>
      </w:pPr>
      <w:r>
        <w:rPr>
          <w:rFonts w:ascii="Palatino" w:hAnsi="Palatino" w:cs="Palatino"/>
          <w:sz w:val="20"/>
          <w:szCs w:val="20"/>
        </w:rPr>
        <w:t xml:space="preserve">DDD-MM.mmm E or W. </w:t>
      </w:r>
    </w:p>
    <w:p w14:paraId="1F7C5EBA" w14:textId="77777777" w:rsidR="00541A14" w:rsidRDefault="00A450E1">
      <w:pPr>
        <w:pStyle w:val="Default"/>
        <w:numPr>
          <w:ilvl w:val="0"/>
          <w:numId w:val="131"/>
        </w:numPr>
        <w:rPr>
          <w:rFonts w:ascii="Palatino" w:hAnsi="Palatino" w:cs="Palatino"/>
          <w:sz w:val="20"/>
          <w:szCs w:val="20"/>
        </w:rPr>
      </w:pPr>
      <w:r>
        <w:rPr>
          <w:rFonts w:ascii="Palatino" w:hAnsi="Palatino" w:cs="Palatino"/>
          <w:sz w:val="20"/>
          <w:szCs w:val="20"/>
        </w:rPr>
        <w:t xml:space="preserve">Leading zeros should always be included </w:t>
      </w:r>
    </w:p>
    <w:p w14:paraId="014AD23A" w14:textId="77777777" w:rsidR="00541A14" w:rsidRDefault="00A450E1">
      <w:pPr>
        <w:pStyle w:val="Default"/>
        <w:numPr>
          <w:ilvl w:val="0"/>
          <w:numId w:val="131"/>
        </w:numPr>
        <w:rPr>
          <w:rFonts w:ascii="Palatino" w:hAnsi="Palatino" w:cs="Palatino"/>
          <w:sz w:val="20"/>
          <w:szCs w:val="20"/>
        </w:rPr>
      </w:pPr>
      <w:r>
        <w:rPr>
          <w:rFonts w:ascii="Palatino" w:hAnsi="Palatino" w:cs="Palatino"/>
          <w:sz w:val="20"/>
          <w:szCs w:val="20"/>
        </w:rPr>
        <w:t xml:space="preserve">The same level of accuracy should be quoted for both Latitude and Longitude. </w:t>
      </w:r>
    </w:p>
    <w:p w14:paraId="2E6FA794" w14:textId="77777777" w:rsidR="00541A14" w:rsidRDefault="00541A14">
      <w:pPr>
        <w:pStyle w:val="Default"/>
        <w:rPr>
          <w:rFonts w:ascii="Palatino" w:hAnsi="Palatino" w:cs="Palatino"/>
          <w:sz w:val="20"/>
          <w:szCs w:val="20"/>
        </w:rPr>
      </w:pPr>
    </w:p>
    <w:p w14:paraId="0C7CAE90"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Recording of Aids to Navigation Positions </w:t>
      </w:r>
    </w:p>
    <w:p w14:paraId="2641887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Aids to Navigation positions can be recorded in number of ways.  </w:t>
      </w:r>
    </w:p>
    <w:p w14:paraId="3B1D1DA0" w14:textId="77777777" w:rsidR="00541A14" w:rsidRDefault="00A450E1">
      <w:pPr>
        <w:pStyle w:val="CM44"/>
        <w:ind w:left="300" w:right="205" w:hanging="300"/>
        <w:rPr>
          <w:rFonts w:ascii="Palatino" w:hAnsi="Palatino" w:cs="Palatino"/>
          <w:color w:val="000000"/>
          <w:sz w:val="20"/>
          <w:szCs w:val="20"/>
        </w:rPr>
      </w:pPr>
      <w:r>
        <w:rPr>
          <w:rFonts w:ascii="Palatino" w:hAnsi="Palatino" w:cs="Palatino"/>
          <w:color w:val="000000"/>
          <w:sz w:val="20"/>
          <w:szCs w:val="20"/>
        </w:rPr>
        <w:t xml:space="preserve">• Where an Authority has operational DGPS stations, a program should be implemented to determine the WGS84 positions of each aid to navigation (fixed and floating) within the coverage </w:t>
      </w:r>
    </w:p>
    <w:p w14:paraId="670663E5" w14:textId="77777777" w:rsidR="00541A14" w:rsidRDefault="00A450E1">
      <w:pPr>
        <w:pStyle w:val="CM165"/>
        <w:spacing w:after="85" w:line="286" w:lineRule="atLeast"/>
        <w:ind w:left="300" w:right="95"/>
        <w:rPr>
          <w:rFonts w:ascii="Palatino" w:hAnsi="Palatino" w:cs="Palatino"/>
          <w:color w:val="000000"/>
          <w:sz w:val="20"/>
          <w:szCs w:val="20"/>
        </w:rPr>
      </w:pPr>
      <w:r>
        <w:rPr>
          <w:rFonts w:ascii="Palatino" w:hAnsi="Palatino" w:cs="Palatino"/>
          <w:color w:val="000000"/>
          <w:sz w:val="20"/>
          <w:szCs w:val="20"/>
        </w:rPr>
        <w:t xml:space="preserve">area, and for this information to be passed to the hydrographic authority for future use.  It is anticipated that the information would assist the hydrographic authority in checking the accuracy of charts, planning future survey requirements and for updating List of Lights. </w:t>
      </w:r>
    </w:p>
    <w:p w14:paraId="7B332566"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In the case of lighted fixed aids to navigation the WGS84 position should be measured close to </w:t>
      </w:r>
    </w:p>
    <w:p w14:paraId="742EB8C1" w14:textId="77777777" w:rsidR="00541A14" w:rsidRDefault="00A450E1">
      <w:pPr>
        <w:pStyle w:val="CM165"/>
        <w:spacing w:after="85" w:line="296" w:lineRule="atLeast"/>
        <w:jc w:val="center"/>
        <w:rPr>
          <w:rFonts w:ascii="Palatino" w:hAnsi="Palatino" w:cs="Palatino"/>
          <w:color w:val="000000"/>
          <w:sz w:val="20"/>
          <w:szCs w:val="20"/>
        </w:rPr>
      </w:pPr>
      <w:r>
        <w:rPr>
          <w:rFonts w:ascii="Palatino" w:hAnsi="Palatino" w:cs="Palatino"/>
          <w:color w:val="000000"/>
          <w:sz w:val="20"/>
          <w:szCs w:val="20"/>
        </w:rPr>
        <w:t xml:space="preserve">the focal centre of the light so that the WGS84 elevation is also determined.  Alternatively, several positions around the optic or lantern house could be measured and a central position computed. </w:t>
      </w:r>
    </w:p>
    <w:p w14:paraId="3F72CA4F"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In the case of unlighted fixed aids to navigation the WGS84 position should be the base of the </w:t>
      </w:r>
    </w:p>
    <w:p w14:paraId="31C81ED4"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structure. </w:t>
      </w:r>
    </w:p>
    <w:p w14:paraId="65537498" w14:textId="77777777" w:rsidR="00541A14" w:rsidRDefault="00A450E1">
      <w:pPr>
        <w:pStyle w:val="Default"/>
        <w:numPr>
          <w:ilvl w:val="0"/>
          <w:numId w:val="132"/>
        </w:numPr>
        <w:rPr>
          <w:rFonts w:ascii="Palatino" w:hAnsi="Palatino" w:cs="Palatino"/>
          <w:sz w:val="20"/>
          <w:szCs w:val="20"/>
        </w:rPr>
      </w:pPr>
      <w:r>
        <w:rPr>
          <w:rFonts w:ascii="Palatino" w:hAnsi="Palatino" w:cs="Palatino"/>
          <w:sz w:val="20"/>
          <w:szCs w:val="20"/>
        </w:rPr>
        <w:t xml:space="preserve">In the case of floating aids to navigation the WGS84 position should be the position of the anchor. </w:t>
      </w:r>
    </w:p>
    <w:p w14:paraId="4DACD34B" w14:textId="77777777" w:rsidR="00541A14" w:rsidRDefault="00A450E1">
      <w:pPr>
        <w:pStyle w:val="Default"/>
        <w:numPr>
          <w:ilvl w:val="0"/>
          <w:numId w:val="132"/>
        </w:numPr>
        <w:rPr>
          <w:rFonts w:ascii="Palatino" w:hAnsi="Palatino" w:cs="Palatino"/>
          <w:sz w:val="20"/>
          <w:szCs w:val="20"/>
        </w:rPr>
      </w:pPr>
      <w:r>
        <w:rPr>
          <w:rFonts w:ascii="Palatino" w:hAnsi="Palatino" w:cs="Palatino"/>
          <w:sz w:val="20"/>
          <w:szCs w:val="20"/>
        </w:rPr>
        <w:t xml:space="preserve">Each position should be recorded to three decimal places of a minute and include the time, date </w:t>
      </w:r>
    </w:p>
    <w:p w14:paraId="7A32C98C" w14:textId="77777777" w:rsidR="00541A14" w:rsidRDefault="00541A14">
      <w:pPr>
        <w:pStyle w:val="Default"/>
        <w:rPr>
          <w:rFonts w:ascii="Palatino" w:hAnsi="Palatino" w:cs="Palatino"/>
          <w:sz w:val="20"/>
          <w:szCs w:val="20"/>
        </w:rPr>
      </w:pPr>
    </w:p>
    <w:p w14:paraId="096AEFE1"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and details of the measuring equipment. </w:t>
      </w:r>
    </w:p>
    <w:p w14:paraId="6681537E"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Where an Authority has to refer to charts of different datum, positions are communicated with the </w:t>
      </w:r>
    </w:p>
    <w:p w14:paraId="0A6CF0ED" w14:textId="77777777" w:rsidR="00541A14" w:rsidRDefault="00A450E1">
      <w:pPr>
        <w:pStyle w:val="CM172"/>
        <w:spacing w:after="202" w:line="293" w:lineRule="atLeast"/>
        <w:ind w:left="300"/>
        <w:rPr>
          <w:rFonts w:ascii="Palatino" w:hAnsi="Palatino" w:cs="Palatino"/>
          <w:color w:val="000000"/>
          <w:sz w:val="20"/>
          <w:szCs w:val="20"/>
        </w:rPr>
      </w:pPr>
      <w:r>
        <w:rPr>
          <w:rFonts w:ascii="Palatino" w:hAnsi="Palatino" w:cs="Palatino"/>
          <w:color w:val="000000"/>
          <w:sz w:val="20"/>
          <w:szCs w:val="20"/>
        </w:rPr>
        <w:t xml:space="preserve">appropriate datum reference.  (for example 51° 04.372’N, 100° 26.794’E (WGS 84)). </w:t>
      </w:r>
    </w:p>
    <w:p w14:paraId="10637A02"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534C6442" w14:textId="77777777" w:rsidR="00541A14" w:rsidRDefault="009E3F25">
      <w:pPr>
        <w:pStyle w:val="CM173"/>
        <w:spacing w:after="340" w:line="293" w:lineRule="atLeast"/>
        <w:ind w:left="300"/>
        <w:rPr>
          <w:rFonts w:ascii="Palatino" w:hAnsi="Palatino" w:cs="Palatino"/>
          <w:color w:val="000000"/>
          <w:sz w:val="20"/>
          <w:szCs w:val="20"/>
        </w:rPr>
      </w:pPr>
      <w:hyperlink r:id="rId310" w:history="1">
        <w:r w:rsidR="00A450E1">
          <w:rPr>
            <w:rFonts w:ascii="Palatino" w:hAnsi="Palatino" w:cs="Palatino"/>
            <w:i/>
            <w:iCs/>
            <w:color w:val="000000"/>
            <w:sz w:val="20"/>
            <w:szCs w:val="20"/>
          </w:rPr>
          <w:t xml:space="preserve">IALA Recommendation O-118 for the Recording of Aids to Navigation Positions. </w:t>
        </w:r>
      </w:hyperlink>
    </w:p>
    <w:p w14:paraId="34AF2765"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Bearings </w:t>
      </w:r>
    </w:p>
    <w:p w14:paraId="3E872B5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Bearings, directions of leading (range) lines and limits of sectors should always be stated in terms of the bearings that would be seen by the mariner.  Observing a practice of communicating bearings with </w:t>
      </w:r>
    </w:p>
    <w:p w14:paraId="6296F77B"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the suffix ‘TBS” or True Bearing from Seaward will minimise the risk of confusion. </w:t>
      </w:r>
    </w:p>
    <w:p w14:paraId="54A11714"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6.6.6 Maritime Safety Information </w:t>
      </w:r>
    </w:p>
    <w:p w14:paraId="42FF3B99"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Within a NAVAREA, there can be a hierarchy of warnings promulgated by the national co-ordinator.  Collectively referred to as Maritime Safety Information (MSI).  The warning hierarchy covers: </w:t>
      </w:r>
    </w:p>
    <w:p w14:paraId="549E348C" w14:textId="77777777" w:rsidR="00541A14" w:rsidRDefault="00A450E1">
      <w:pPr>
        <w:pStyle w:val="CM122"/>
        <w:ind w:left="300" w:right="305" w:hanging="300"/>
        <w:rPr>
          <w:rFonts w:ascii="Palatino" w:hAnsi="Palatino" w:cs="Palatino"/>
          <w:color w:val="000000"/>
          <w:sz w:val="20"/>
          <w:szCs w:val="20"/>
        </w:rPr>
      </w:pPr>
      <w:r>
        <w:rPr>
          <w:rFonts w:ascii="Palatino" w:hAnsi="Palatino" w:cs="Palatino"/>
          <w:color w:val="000000"/>
          <w:sz w:val="20"/>
          <w:szCs w:val="20"/>
        </w:rPr>
        <w:t xml:space="preserve">• </w:t>
      </w:r>
      <w:r>
        <w:rPr>
          <w:rFonts w:ascii="Palatino" w:hAnsi="Palatino" w:cs="Palatino"/>
          <w:b/>
          <w:bCs/>
          <w:color w:val="000000"/>
          <w:sz w:val="20"/>
          <w:szCs w:val="20"/>
        </w:rPr>
        <w:t>NAVAREA Warnings</w:t>
      </w:r>
      <w:r>
        <w:rPr>
          <w:rFonts w:ascii="Palatino" w:hAnsi="Palatino" w:cs="Palatino"/>
          <w:color w:val="000000"/>
          <w:sz w:val="20"/>
          <w:szCs w:val="20"/>
        </w:rPr>
        <w:t xml:space="preserve">: that are concerned with information that ocean-going vessels require for safe navigation; </w:t>
      </w:r>
    </w:p>
    <w:p w14:paraId="5452C223" w14:textId="77777777" w:rsidR="00541A14" w:rsidRDefault="00A450E1">
      <w:pPr>
        <w:pStyle w:val="Default"/>
        <w:numPr>
          <w:ilvl w:val="0"/>
          <w:numId w:val="133"/>
        </w:numPr>
        <w:rPr>
          <w:rFonts w:ascii="Palatino" w:hAnsi="Palatino" w:cs="Palatino"/>
          <w:sz w:val="20"/>
          <w:szCs w:val="20"/>
        </w:rPr>
      </w:pPr>
      <w:r>
        <w:rPr>
          <w:rFonts w:ascii="Palatino" w:hAnsi="Palatino" w:cs="Palatino"/>
          <w:sz w:val="20"/>
          <w:szCs w:val="20"/>
        </w:rPr>
        <w:t xml:space="preserve">are transmitted in English and, where appropriate, in other languages; </w:t>
      </w:r>
    </w:p>
    <w:p w14:paraId="05EEAC68" w14:textId="77777777" w:rsidR="00541A14" w:rsidRDefault="00A450E1">
      <w:pPr>
        <w:pStyle w:val="Default"/>
        <w:numPr>
          <w:ilvl w:val="0"/>
          <w:numId w:val="133"/>
        </w:numPr>
        <w:rPr>
          <w:rFonts w:ascii="Palatino" w:hAnsi="Palatino" w:cs="Palatino"/>
          <w:sz w:val="20"/>
          <w:szCs w:val="20"/>
        </w:rPr>
      </w:pPr>
      <w:r>
        <w:rPr>
          <w:rFonts w:ascii="Palatino" w:hAnsi="Palatino" w:cs="Palatino"/>
          <w:sz w:val="20"/>
          <w:szCs w:val="20"/>
        </w:rPr>
        <w:t xml:space="preserve">are promulgated by; </w:t>
      </w:r>
    </w:p>
    <w:p w14:paraId="3058D6A4" w14:textId="77777777" w:rsidR="00541A14" w:rsidRDefault="00A450E1">
      <w:pPr>
        <w:pStyle w:val="Default"/>
        <w:numPr>
          <w:ilvl w:val="0"/>
          <w:numId w:val="133"/>
        </w:numPr>
        <w:rPr>
          <w:rFonts w:ascii="Palatino" w:hAnsi="Palatino" w:cs="Palatino"/>
          <w:sz w:val="20"/>
          <w:szCs w:val="20"/>
        </w:rPr>
      </w:pPr>
      <w:r>
        <w:rPr>
          <w:rFonts w:ascii="Palatino" w:hAnsi="Palatino" w:cs="Palatino"/>
          <w:sz w:val="20"/>
          <w:szCs w:val="20"/>
        </w:rPr>
        <w:t xml:space="preserve">radiotelephony; </w:t>
      </w:r>
    </w:p>
    <w:p w14:paraId="5B2F28A5" w14:textId="77777777" w:rsidR="00541A14" w:rsidRDefault="00A450E1">
      <w:pPr>
        <w:pStyle w:val="Default"/>
        <w:numPr>
          <w:ilvl w:val="0"/>
          <w:numId w:val="133"/>
        </w:numPr>
        <w:rPr>
          <w:rFonts w:ascii="Palatino" w:hAnsi="Palatino" w:cs="Palatino"/>
          <w:sz w:val="20"/>
          <w:szCs w:val="20"/>
        </w:rPr>
      </w:pPr>
      <w:r>
        <w:rPr>
          <w:rFonts w:ascii="Palatino" w:hAnsi="Palatino" w:cs="Palatino"/>
          <w:sz w:val="20"/>
          <w:szCs w:val="20"/>
        </w:rPr>
        <w:t xml:space="preserve">Digital Selective Calling (DSC); </w:t>
      </w:r>
    </w:p>
    <w:p w14:paraId="3B371E54" w14:textId="77777777" w:rsidR="00541A14" w:rsidRDefault="00541A14">
      <w:pPr>
        <w:pStyle w:val="Default"/>
        <w:rPr>
          <w:rFonts w:ascii="Palatino" w:hAnsi="Palatino" w:cs="Palatino"/>
          <w:sz w:val="20"/>
          <w:szCs w:val="20"/>
        </w:rPr>
      </w:pPr>
    </w:p>
    <w:p w14:paraId="4C9354EE" w14:textId="77777777" w:rsidR="00541A14" w:rsidRDefault="00A450E1">
      <w:pPr>
        <w:pStyle w:val="CM12"/>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4B2E1530"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135 </w:t>
      </w:r>
    </w:p>
    <w:p w14:paraId="41EFAD67" w14:textId="77777777" w:rsidR="00541A14" w:rsidRDefault="00DD420F">
      <w:pPr>
        <w:pStyle w:val="Default"/>
        <w:pageBreakBefore/>
        <w:framePr w:w="24782" w:wrap="auto" w:vAnchor="page" w:hAnchor="page" w:x="101" w:y="1"/>
        <w:spacing w:after="88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1FBED8DF" wp14:editId="77929A61">
            <wp:extent cx="7553960" cy="1056640"/>
            <wp:effectExtent l="0" t="0" r="0" b="1016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22DC0F87" w14:textId="77777777" w:rsidR="00541A14" w:rsidRDefault="00A450E1">
      <w:pPr>
        <w:pStyle w:val="Default"/>
        <w:numPr>
          <w:ilvl w:val="0"/>
          <w:numId w:val="134"/>
        </w:numPr>
        <w:rPr>
          <w:rFonts w:ascii="Palatino" w:hAnsi="Palatino" w:cs="Palatino"/>
          <w:sz w:val="20"/>
          <w:szCs w:val="20"/>
        </w:rPr>
      </w:pPr>
      <w:r>
        <w:rPr>
          <w:rFonts w:ascii="Palatino" w:hAnsi="Palatino" w:cs="Palatino"/>
          <w:sz w:val="20"/>
          <w:szCs w:val="20"/>
        </w:rPr>
        <w:t xml:space="preserve">Enhanced Group Calling (EGC); </w:t>
      </w:r>
    </w:p>
    <w:p w14:paraId="6F4C6FFA" w14:textId="77777777" w:rsidR="00541A14" w:rsidRDefault="00A450E1">
      <w:pPr>
        <w:pStyle w:val="Default"/>
        <w:numPr>
          <w:ilvl w:val="0"/>
          <w:numId w:val="134"/>
        </w:numPr>
        <w:rPr>
          <w:rFonts w:ascii="Palatino" w:hAnsi="Palatino" w:cs="Palatino"/>
          <w:sz w:val="20"/>
          <w:szCs w:val="20"/>
        </w:rPr>
      </w:pPr>
      <w:r>
        <w:rPr>
          <w:rFonts w:ascii="Palatino" w:hAnsi="Palatino" w:cs="Palatino"/>
          <w:sz w:val="20"/>
          <w:szCs w:val="20"/>
        </w:rPr>
        <w:t>NAVTEX</w:t>
      </w:r>
      <w:r>
        <w:rPr>
          <w:rFonts w:ascii="Palatino" w:hAnsi="Palatino" w:cs="Palatino"/>
          <w:position w:val="7"/>
          <w:sz w:val="11"/>
          <w:szCs w:val="11"/>
          <w:vertAlign w:val="superscript"/>
        </w:rPr>
        <w:t>37</w:t>
      </w:r>
      <w:r>
        <w:rPr>
          <w:rFonts w:ascii="Palatino" w:hAnsi="Palatino" w:cs="Palatino"/>
          <w:sz w:val="20"/>
          <w:szCs w:val="20"/>
        </w:rPr>
        <w:t xml:space="preserve"> (used for the automatic broadcast of localised Maritime Safety Information (MSI) using radio telex); </w:t>
      </w:r>
    </w:p>
    <w:p w14:paraId="6270C407" w14:textId="77777777" w:rsidR="00541A14" w:rsidRDefault="00A450E1">
      <w:pPr>
        <w:pStyle w:val="Default"/>
        <w:numPr>
          <w:ilvl w:val="0"/>
          <w:numId w:val="134"/>
        </w:numPr>
        <w:rPr>
          <w:rFonts w:ascii="Palatino" w:hAnsi="Palatino" w:cs="Palatino"/>
          <w:sz w:val="20"/>
          <w:szCs w:val="20"/>
        </w:rPr>
      </w:pPr>
      <w:r>
        <w:rPr>
          <w:rFonts w:ascii="Palatino" w:hAnsi="Palatino" w:cs="Palatino"/>
          <w:sz w:val="20"/>
          <w:szCs w:val="20"/>
        </w:rPr>
        <w:t xml:space="preserve">covers the specific NAVAREA and portions of adjacent areas; </w:t>
      </w:r>
    </w:p>
    <w:p w14:paraId="1B1D2446" w14:textId="77777777" w:rsidR="00541A14" w:rsidRDefault="00A450E1">
      <w:pPr>
        <w:pStyle w:val="Default"/>
        <w:numPr>
          <w:ilvl w:val="0"/>
          <w:numId w:val="134"/>
        </w:numPr>
        <w:rPr>
          <w:rFonts w:ascii="Palatino" w:hAnsi="Palatino" w:cs="Palatino"/>
          <w:sz w:val="20"/>
          <w:szCs w:val="20"/>
        </w:rPr>
      </w:pPr>
      <w:r>
        <w:rPr>
          <w:rFonts w:ascii="Palatino" w:hAnsi="Palatino" w:cs="Palatino"/>
          <w:sz w:val="20"/>
          <w:szCs w:val="20"/>
        </w:rPr>
        <w:t xml:space="preserve">details of the broadcast schedules are shown in the List of Radio Signals published by </w:t>
      </w:r>
    </w:p>
    <w:p w14:paraId="48056234" w14:textId="77777777" w:rsidR="00541A14" w:rsidRDefault="00541A14">
      <w:pPr>
        <w:pStyle w:val="Default"/>
        <w:rPr>
          <w:rFonts w:ascii="Palatino" w:hAnsi="Palatino" w:cs="Palatino"/>
          <w:sz w:val="20"/>
          <w:szCs w:val="20"/>
        </w:rPr>
      </w:pPr>
    </w:p>
    <w:p w14:paraId="11953764"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Hydrographic Offices and in the publications of the International Telecommunication Union (ITU); </w:t>
      </w:r>
    </w:p>
    <w:p w14:paraId="247AAA48" w14:textId="77777777" w:rsidR="00541A14" w:rsidRDefault="00A450E1">
      <w:pPr>
        <w:pStyle w:val="CM165"/>
        <w:spacing w:after="85"/>
        <w:ind w:left="600" w:hanging="300"/>
        <w:jc w:val="both"/>
        <w:rPr>
          <w:rFonts w:ascii="Palatino" w:hAnsi="Palatino" w:cs="Palatino"/>
          <w:color w:val="000000"/>
          <w:sz w:val="20"/>
          <w:szCs w:val="20"/>
        </w:rPr>
      </w:pPr>
      <w:r>
        <w:rPr>
          <w:rFonts w:ascii="Palatino" w:hAnsi="Palatino" w:cs="Palatino"/>
          <w:color w:val="000000"/>
          <w:sz w:val="20"/>
          <w:szCs w:val="20"/>
        </w:rPr>
        <w:t xml:space="preserve">– are generally promulgated for a sufficient period of time to ensure its safe reception after which it </w:t>
      </w:r>
    </w:p>
    <w:p w14:paraId="10E3536B" w14:textId="77777777" w:rsidR="00541A14" w:rsidRDefault="00A450E1">
      <w:pPr>
        <w:pStyle w:val="CM165"/>
        <w:spacing w:after="85"/>
        <w:ind w:left="617"/>
        <w:jc w:val="both"/>
        <w:rPr>
          <w:rFonts w:ascii="Palatino" w:hAnsi="Palatino" w:cs="Palatino"/>
          <w:color w:val="000000"/>
          <w:sz w:val="20"/>
          <w:szCs w:val="20"/>
        </w:rPr>
      </w:pPr>
      <w:r>
        <w:rPr>
          <w:rFonts w:ascii="Palatino" w:hAnsi="Palatino" w:cs="Palatino"/>
          <w:color w:val="000000"/>
          <w:sz w:val="20"/>
          <w:szCs w:val="20"/>
        </w:rPr>
        <w:t xml:space="preserve">is cancelled or published in a Notice to Mariners. </w:t>
      </w:r>
    </w:p>
    <w:p w14:paraId="7C03D961" w14:textId="77777777" w:rsidR="00541A14" w:rsidRDefault="00A450E1">
      <w:pPr>
        <w:pStyle w:val="Default"/>
        <w:spacing w:line="280" w:lineRule="atLeast"/>
        <w:ind w:left="300" w:right="692" w:hanging="300"/>
        <w:jc w:val="both"/>
        <w:rPr>
          <w:rFonts w:ascii="Palatino" w:hAnsi="Palatino" w:cs="Palatino"/>
          <w:sz w:val="20"/>
          <w:szCs w:val="20"/>
        </w:rPr>
      </w:pPr>
      <w:r>
        <w:rPr>
          <w:rFonts w:ascii="Palatino" w:hAnsi="Palatino" w:cs="Palatino"/>
          <w:sz w:val="20"/>
          <w:szCs w:val="20"/>
        </w:rPr>
        <w:t xml:space="preserve">• </w:t>
      </w:r>
      <w:r>
        <w:rPr>
          <w:rFonts w:ascii="Palatino" w:hAnsi="Palatino" w:cs="Palatino"/>
          <w:b/>
          <w:bCs/>
          <w:sz w:val="20"/>
          <w:szCs w:val="20"/>
        </w:rPr>
        <w:t>Coastal Warnings</w:t>
      </w:r>
      <w:r>
        <w:rPr>
          <w:rFonts w:ascii="Palatino" w:hAnsi="Palatino" w:cs="Palatino"/>
          <w:sz w:val="20"/>
          <w:szCs w:val="20"/>
        </w:rPr>
        <w:t xml:space="preserve">: that are concerned with information relating to a regional area covering 100-200 nautical miles from the coast. These are: </w:t>
      </w:r>
    </w:p>
    <w:p w14:paraId="3AB75034" w14:textId="77777777" w:rsidR="00541A14" w:rsidRDefault="00A450E1">
      <w:pPr>
        <w:pStyle w:val="Default"/>
        <w:numPr>
          <w:ilvl w:val="0"/>
          <w:numId w:val="135"/>
        </w:numPr>
        <w:rPr>
          <w:rFonts w:ascii="Palatino" w:hAnsi="Palatino" w:cs="Palatino"/>
          <w:sz w:val="20"/>
          <w:szCs w:val="20"/>
        </w:rPr>
      </w:pPr>
      <w:r>
        <w:rPr>
          <w:rFonts w:ascii="Palatino" w:hAnsi="Palatino" w:cs="Palatino"/>
          <w:sz w:val="20"/>
          <w:szCs w:val="20"/>
        </w:rPr>
        <w:t xml:space="preserve">transmitted from a national network of coastal radio stations; </w:t>
      </w:r>
    </w:p>
    <w:p w14:paraId="258CBF5F" w14:textId="77777777" w:rsidR="00541A14" w:rsidRDefault="00A450E1">
      <w:pPr>
        <w:pStyle w:val="Default"/>
        <w:numPr>
          <w:ilvl w:val="0"/>
          <w:numId w:val="135"/>
        </w:numPr>
        <w:rPr>
          <w:rFonts w:ascii="Palatino" w:hAnsi="Palatino" w:cs="Palatino"/>
          <w:sz w:val="20"/>
          <w:szCs w:val="20"/>
        </w:rPr>
      </w:pPr>
      <w:r>
        <w:rPr>
          <w:rFonts w:ascii="Palatino" w:hAnsi="Palatino" w:cs="Palatino"/>
          <w:sz w:val="20"/>
          <w:szCs w:val="20"/>
        </w:rPr>
        <w:t xml:space="preserve">broadcast at scheduled times; </w:t>
      </w:r>
    </w:p>
    <w:p w14:paraId="2396693E" w14:textId="77777777" w:rsidR="00541A14" w:rsidRDefault="00A450E1">
      <w:pPr>
        <w:pStyle w:val="Default"/>
        <w:numPr>
          <w:ilvl w:val="0"/>
          <w:numId w:val="135"/>
        </w:numPr>
        <w:rPr>
          <w:rFonts w:ascii="Palatino" w:hAnsi="Palatino" w:cs="Palatino"/>
          <w:sz w:val="20"/>
          <w:szCs w:val="20"/>
        </w:rPr>
      </w:pPr>
      <w:r>
        <w:rPr>
          <w:rFonts w:ascii="Palatino" w:hAnsi="Palatino" w:cs="Palatino"/>
          <w:sz w:val="20"/>
          <w:szCs w:val="20"/>
        </w:rPr>
        <w:t xml:space="preserve">use English and the national language. </w:t>
      </w:r>
    </w:p>
    <w:p w14:paraId="5C503F2C" w14:textId="77777777" w:rsidR="00541A14" w:rsidRDefault="00541A14">
      <w:pPr>
        <w:pStyle w:val="Default"/>
        <w:rPr>
          <w:rFonts w:ascii="Palatino" w:hAnsi="Palatino" w:cs="Palatino"/>
          <w:sz w:val="20"/>
          <w:szCs w:val="20"/>
        </w:rPr>
      </w:pPr>
    </w:p>
    <w:p w14:paraId="0D94580C"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w:t>
      </w:r>
      <w:r>
        <w:rPr>
          <w:rFonts w:ascii="Palatino" w:hAnsi="Palatino" w:cs="Palatino"/>
          <w:b/>
          <w:bCs/>
          <w:color w:val="000000"/>
          <w:sz w:val="20"/>
          <w:szCs w:val="20"/>
        </w:rPr>
        <w:t>local Warnings</w:t>
      </w:r>
      <w:r>
        <w:rPr>
          <w:rFonts w:ascii="Palatino" w:hAnsi="Palatino" w:cs="Palatino"/>
          <w:color w:val="000000"/>
          <w:sz w:val="20"/>
          <w:szCs w:val="20"/>
        </w:rPr>
        <w:t xml:space="preserve">: that cover the area within the limits of a harbour or port authority: </w:t>
      </w:r>
    </w:p>
    <w:p w14:paraId="0F028EC4" w14:textId="77777777" w:rsidR="00541A14" w:rsidRDefault="00A450E1">
      <w:pPr>
        <w:pStyle w:val="Default"/>
        <w:numPr>
          <w:ilvl w:val="0"/>
          <w:numId w:val="136"/>
        </w:numPr>
        <w:rPr>
          <w:rFonts w:ascii="Palatino" w:hAnsi="Palatino" w:cs="Palatino"/>
          <w:sz w:val="20"/>
          <w:szCs w:val="20"/>
        </w:rPr>
      </w:pPr>
      <w:r>
        <w:rPr>
          <w:rFonts w:ascii="Palatino" w:hAnsi="Palatino" w:cs="Palatino"/>
          <w:sz w:val="20"/>
          <w:szCs w:val="20"/>
        </w:rPr>
        <w:t xml:space="preserve">to supplement Coastal Warnings, and; </w:t>
      </w:r>
    </w:p>
    <w:p w14:paraId="702BB6D6" w14:textId="77777777" w:rsidR="00541A14" w:rsidRDefault="00A450E1">
      <w:pPr>
        <w:pStyle w:val="Default"/>
        <w:numPr>
          <w:ilvl w:val="0"/>
          <w:numId w:val="136"/>
        </w:numPr>
        <w:rPr>
          <w:rFonts w:ascii="Palatino" w:hAnsi="Palatino" w:cs="Palatino"/>
          <w:sz w:val="20"/>
          <w:szCs w:val="20"/>
        </w:rPr>
      </w:pPr>
      <w:r>
        <w:rPr>
          <w:rFonts w:ascii="Palatino" w:hAnsi="Palatino" w:cs="Palatino"/>
          <w:sz w:val="20"/>
          <w:szCs w:val="20"/>
        </w:rPr>
        <w:t xml:space="preserve">may be limited to the national language. </w:t>
      </w:r>
    </w:p>
    <w:p w14:paraId="58123470" w14:textId="77777777" w:rsidR="00541A14" w:rsidRDefault="00541A14">
      <w:pPr>
        <w:pStyle w:val="Default"/>
        <w:rPr>
          <w:rFonts w:ascii="Palatino" w:hAnsi="Palatino" w:cs="Palatino"/>
          <w:sz w:val="20"/>
          <w:szCs w:val="20"/>
        </w:rPr>
      </w:pPr>
    </w:p>
    <w:p w14:paraId="4D72A0E7" w14:textId="77777777" w:rsidR="00541A14" w:rsidRDefault="00A450E1">
      <w:pPr>
        <w:pStyle w:val="CM165"/>
        <w:spacing w:after="85" w:line="300" w:lineRule="atLeast"/>
        <w:ind w:right="585"/>
        <w:jc w:val="both"/>
        <w:rPr>
          <w:rFonts w:ascii="Palatino" w:hAnsi="Palatino" w:cs="Palatino"/>
          <w:color w:val="000000"/>
          <w:sz w:val="20"/>
          <w:szCs w:val="20"/>
        </w:rPr>
      </w:pPr>
      <w:r>
        <w:rPr>
          <w:rFonts w:ascii="Palatino" w:hAnsi="Palatino" w:cs="Palatino"/>
          <w:color w:val="000000"/>
          <w:sz w:val="20"/>
          <w:szCs w:val="20"/>
        </w:rPr>
        <w:t xml:space="preserve">Information concerning navigational warnings can be obtained from the Joint IMO/IHO/WMO Manual on Maritime Safety Information Edition 3 2009. </w:t>
      </w:r>
    </w:p>
    <w:p w14:paraId="41938D31" w14:textId="77777777" w:rsidR="00541A14" w:rsidRDefault="00A450E1">
      <w:pPr>
        <w:pStyle w:val="CM165"/>
        <w:spacing w:after="85" w:line="291" w:lineRule="atLeast"/>
        <w:ind w:left="300" w:hanging="300"/>
        <w:jc w:val="both"/>
        <w:rPr>
          <w:rFonts w:ascii="Palatino" w:hAnsi="Palatino" w:cs="Palatino"/>
          <w:color w:val="000000"/>
          <w:sz w:val="20"/>
          <w:szCs w:val="20"/>
        </w:rPr>
      </w:pPr>
      <w:r>
        <w:rPr>
          <w:rFonts w:ascii="Palatino" w:hAnsi="Palatino" w:cs="Palatino"/>
          <w:color w:val="000000"/>
          <w:sz w:val="20"/>
          <w:szCs w:val="20"/>
        </w:rPr>
        <w:t xml:space="preserve">• </w:t>
      </w:r>
      <w:r>
        <w:rPr>
          <w:rFonts w:ascii="Palatino" w:hAnsi="Palatino" w:cs="Palatino"/>
          <w:b/>
          <w:bCs/>
          <w:color w:val="000000"/>
          <w:sz w:val="20"/>
          <w:szCs w:val="20"/>
        </w:rPr>
        <w:t>Off-station Warnings for major Floating Aids</w:t>
      </w:r>
      <w:r>
        <w:rPr>
          <w:rFonts w:ascii="Palatino" w:hAnsi="Palatino" w:cs="Palatino"/>
          <w:color w:val="000000"/>
          <w:sz w:val="20"/>
          <w:szCs w:val="20"/>
        </w:rPr>
        <w:t xml:space="preserve">: </w:t>
      </w:r>
    </w:p>
    <w:p w14:paraId="549C7162" w14:textId="77777777" w:rsidR="00541A14" w:rsidRDefault="00A450E1">
      <w:pPr>
        <w:pStyle w:val="CM54"/>
        <w:jc w:val="center"/>
        <w:rPr>
          <w:rFonts w:ascii="Palatino" w:hAnsi="Palatino" w:cs="Palatino"/>
          <w:color w:val="000000"/>
          <w:sz w:val="20"/>
          <w:szCs w:val="20"/>
        </w:rPr>
      </w:pPr>
      <w:r>
        <w:rPr>
          <w:rFonts w:ascii="Palatino" w:hAnsi="Palatino" w:cs="Palatino"/>
          <w:color w:val="000000"/>
          <w:sz w:val="20"/>
          <w:szCs w:val="20"/>
        </w:rPr>
        <w:t xml:space="preserve">– When any lightvessel, lightfloat or Lanby (LNB) manned or unmanned is out of position such </w:t>
      </w:r>
    </w:p>
    <w:p w14:paraId="10B69B9D" w14:textId="77777777" w:rsidR="00541A14" w:rsidRDefault="00A450E1">
      <w:pPr>
        <w:pStyle w:val="CM165"/>
        <w:spacing w:after="85" w:line="280" w:lineRule="atLeast"/>
        <w:ind w:left="600" w:right="95"/>
        <w:jc w:val="both"/>
        <w:rPr>
          <w:rFonts w:ascii="Palatino" w:hAnsi="Palatino" w:cs="Palatino"/>
          <w:color w:val="000000"/>
          <w:sz w:val="20"/>
          <w:szCs w:val="20"/>
        </w:rPr>
      </w:pPr>
      <w:r>
        <w:rPr>
          <w:rFonts w:ascii="Palatino" w:hAnsi="Palatino" w:cs="Palatino"/>
          <w:color w:val="000000"/>
          <w:sz w:val="20"/>
          <w:szCs w:val="20"/>
        </w:rPr>
        <w:t xml:space="preserve">that it could be misleading to navigation, all its aids to navigation (lights, sound signals, racon, radio beacon) should be discontinued. </w:t>
      </w:r>
    </w:p>
    <w:p w14:paraId="487C95CD" w14:textId="77777777" w:rsidR="00541A14" w:rsidRDefault="00A450E1">
      <w:pPr>
        <w:pStyle w:val="Default"/>
        <w:numPr>
          <w:ilvl w:val="0"/>
          <w:numId w:val="137"/>
        </w:numPr>
        <w:spacing w:after="3"/>
        <w:rPr>
          <w:rFonts w:ascii="Palatino" w:hAnsi="Palatino" w:cs="Palatino"/>
          <w:sz w:val="20"/>
          <w:szCs w:val="20"/>
        </w:rPr>
      </w:pPr>
      <w:r>
        <w:rPr>
          <w:rFonts w:ascii="Palatino" w:hAnsi="Palatino" w:cs="Palatino"/>
          <w:sz w:val="20"/>
          <w:szCs w:val="20"/>
        </w:rPr>
        <w:t xml:space="preserve">To avoid the risk of collision with passing vessels, warning lights should be continuously displayed as follows: </w:t>
      </w:r>
    </w:p>
    <w:p w14:paraId="6E8BA30D" w14:textId="77777777" w:rsidR="00541A14" w:rsidRDefault="00A450E1">
      <w:pPr>
        <w:pStyle w:val="Default"/>
        <w:numPr>
          <w:ilvl w:val="0"/>
          <w:numId w:val="137"/>
        </w:numPr>
        <w:spacing w:after="3"/>
        <w:rPr>
          <w:rFonts w:ascii="Palatino" w:hAnsi="Palatino" w:cs="Palatino"/>
          <w:sz w:val="20"/>
          <w:szCs w:val="20"/>
        </w:rPr>
      </w:pPr>
      <w:r>
        <w:rPr>
          <w:rFonts w:ascii="Palatino" w:hAnsi="Palatino" w:cs="Palatino"/>
          <w:sz w:val="20"/>
          <w:szCs w:val="20"/>
        </w:rPr>
        <w:t xml:space="preserve">Two all-round red lights in a vertical line similar to those prescribed by Rule 27 of the COLREGS for a vessel “Not under command”. </w:t>
      </w:r>
    </w:p>
    <w:p w14:paraId="7DFB11CB" w14:textId="77777777" w:rsidR="00541A14" w:rsidRDefault="00A450E1">
      <w:pPr>
        <w:pStyle w:val="Default"/>
        <w:numPr>
          <w:ilvl w:val="0"/>
          <w:numId w:val="137"/>
        </w:numPr>
        <w:spacing w:after="3"/>
        <w:rPr>
          <w:rFonts w:ascii="Palatino" w:hAnsi="Palatino" w:cs="Palatino"/>
          <w:sz w:val="20"/>
          <w:szCs w:val="20"/>
        </w:rPr>
      </w:pPr>
      <w:r>
        <w:rPr>
          <w:rFonts w:ascii="Palatino" w:hAnsi="Palatino" w:cs="Palatino"/>
          <w:sz w:val="20"/>
          <w:szCs w:val="20"/>
        </w:rPr>
        <w:t xml:space="preserve">If the appropriate Administration requires a sound signal to be operated, it should be coded MORSE “D” as prescribed by Rule 35 of the COLREGS for a vessel “Not under Command” </w:t>
      </w:r>
    </w:p>
    <w:p w14:paraId="23E6A47D" w14:textId="77777777" w:rsidR="00541A14" w:rsidRDefault="00A450E1">
      <w:pPr>
        <w:pStyle w:val="Default"/>
        <w:numPr>
          <w:ilvl w:val="0"/>
          <w:numId w:val="137"/>
        </w:numPr>
        <w:rPr>
          <w:rFonts w:ascii="Palatino" w:hAnsi="Palatino" w:cs="Palatino"/>
          <w:sz w:val="20"/>
          <w:szCs w:val="20"/>
        </w:rPr>
      </w:pPr>
      <w:r>
        <w:rPr>
          <w:rFonts w:ascii="Palatino" w:hAnsi="Palatino" w:cs="Palatino"/>
          <w:sz w:val="20"/>
          <w:szCs w:val="20"/>
        </w:rPr>
        <w:t xml:space="preserve">If a racon is deployed, it should be coded MORSE “D”. </w:t>
      </w:r>
    </w:p>
    <w:p w14:paraId="6241201B" w14:textId="77777777" w:rsidR="00541A14" w:rsidRDefault="00541A14">
      <w:pPr>
        <w:pStyle w:val="Default"/>
        <w:rPr>
          <w:rFonts w:ascii="Palatino" w:hAnsi="Palatino" w:cs="Palatino"/>
          <w:sz w:val="20"/>
          <w:szCs w:val="20"/>
        </w:rPr>
      </w:pPr>
    </w:p>
    <w:p w14:paraId="77799DB2" w14:textId="77777777" w:rsidR="00541A14" w:rsidRDefault="00A450E1">
      <w:pPr>
        <w:pStyle w:val="CM33"/>
        <w:ind w:left="305"/>
        <w:jc w:val="both"/>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0FA3B977" w14:textId="77777777" w:rsidR="00541A14" w:rsidRDefault="009E3F25">
      <w:pPr>
        <w:pStyle w:val="CM174"/>
        <w:spacing w:after="437" w:line="296" w:lineRule="atLeast"/>
        <w:ind w:left="305"/>
        <w:jc w:val="both"/>
        <w:rPr>
          <w:rFonts w:ascii="Palatino" w:hAnsi="Palatino" w:cs="Palatino"/>
          <w:color w:val="000000"/>
          <w:sz w:val="20"/>
          <w:szCs w:val="20"/>
        </w:rPr>
      </w:pPr>
      <w:hyperlink r:id="rId311" w:history="1">
        <w:r w:rsidR="00A450E1">
          <w:rPr>
            <w:rFonts w:ascii="Palatino" w:hAnsi="Palatino" w:cs="Palatino"/>
            <w:i/>
            <w:iCs/>
            <w:color w:val="000000"/>
            <w:sz w:val="20"/>
            <w:szCs w:val="20"/>
          </w:rPr>
          <w:t xml:space="preserve">IALA Recommendation O-104 on ‘Off Station’ Signals for Major Floating Aids to Navigation`. </w:t>
        </w:r>
      </w:hyperlink>
    </w:p>
    <w:p w14:paraId="170ED131" w14:textId="77777777" w:rsidR="00541A14" w:rsidRDefault="00A450E1">
      <w:pPr>
        <w:pStyle w:val="CM165"/>
        <w:spacing w:after="85"/>
        <w:jc w:val="both"/>
        <w:rPr>
          <w:rFonts w:ascii="Futura Book" w:hAnsi="Futura Book" w:cs="Futura Book"/>
          <w:color w:val="2C5062"/>
          <w:sz w:val="28"/>
          <w:szCs w:val="28"/>
        </w:rPr>
      </w:pPr>
      <w:r>
        <w:rPr>
          <w:rFonts w:ascii="Futura Book" w:hAnsi="Futura Book" w:cs="Futura Book"/>
          <w:b/>
          <w:bCs/>
          <w:color w:val="2C5062"/>
          <w:sz w:val="28"/>
          <w:szCs w:val="28"/>
        </w:rPr>
        <w:t xml:space="preserve">6.7 Tide Gauges and Current Meters </w:t>
      </w:r>
    </w:p>
    <w:p w14:paraId="2E7BF8CD" w14:textId="77777777" w:rsidR="00541A14" w:rsidRDefault="00A450E1">
      <w:pPr>
        <w:pStyle w:val="CM83"/>
        <w:ind w:right="82"/>
        <w:jc w:val="both"/>
        <w:rPr>
          <w:rFonts w:ascii="Palatino" w:hAnsi="Palatino" w:cs="Palatino"/>
          <w:color w:val="000000"/>
          <w:sz w:val="20"/>
          <w:szCs w:val="20"/>
        </w:rPr>
      </w:pPr>
      <w:r>
        <w:rPr>
          <w:rFonts w:ascii="Palatino" w:hAnsi="Palatino" w:cs="Palatino"/>
          <w:color w:val="000000"/>
          <w:sz w:val="20"/>
          <w:szCs w:val="20"/>
        </w:rPr>
        <w:t>A number of countries operate tide gauges and current meters to assist the prediction of tidal heights and streams or for the broadcast of real-time information to shipping</w:t>
      </w:r>
      <w:r>
        <w:rPr>
          <w:rFonts w:ascii="Palatino" w:hAnsi="Palatino" w:cs="Palatino"/>
          <w:color w:val="000000"/>
          <w:position w:val="7"/>
          <w:sz w:val="11"/>
          <w:szCs w:val="11"/>
          <w:vertAlign w:val="superscript"/>
        </w:rPr>
        <w:t>38</w:t>
      </w:r>
      <w:r>
        <w:rPr>
          <w:rFonts w:ascii="Palatino" w:hAnsi="Palatino" w:cs="Palatino"/>
          <w:color w:val="000000"/>
          <w:sz w:val="20"/>
          <w:szCs w:val="20"/>
        </w:rPr>
        <w:t xml:space="preserve">. The latter is generally used to overcome the sometimes considerable differences between actual tide heights and predicted values due </w:t>
      </w:r>
    </w:p>
    <w:p w14:paraId="6504AC8F" w14:textId="77777777" w:rsidR="00541A14" w:rsidRDefault="00A450E1">
      <w:pPr>
        <w:pStyle w:val="CM173"/>
        <w:spacing w:after="340" w:line="296" w:lineRule="atLeast"/>
        <w:jc w:val="both"/>
        <w:rPr>
          <w:rFonts w:ascii="Palatino" w:hAnsi="Palatino" w:cs="Palatino"/>
          <w:color w:val="000000"/>
          <w:sz w:val="20"/>
          <w:szCs w:val="20"/>
        </w:rPr>
      </w:pPr>
      <w:r>
        <w:rPr>
          <w:rFonts w:ascii="Palatino" w:hAnsi="Palatino" w:cs="Palatino"/>
          <w:color w:val="000000"/>
          <w:sz w:val="20"/>
          <w:szCs w:val="20"/>
        </w:rPr>
        <w:t>to meteorological and mean sea level fluctuations.</w:t>
      </w:r>
    </w:p>
    <w:p w14:paraId="7F5CCCDA" w14:textId="77777777" w:rsidR="00541A14" w:rsidRDefault="00A450E1">
      <w:pPr>
        <w:pStyle w:val="CM163"/>
        <w:spacing w:after="642" w:line="273" w:lineRule="atLeast"/>
        <w:ind w:left="810"/>
        <w:rPr>
          <w:rFonts w:ascii="Palatino" w:hAnsi="Palatino" w:cs="Palatino"/>
          <w:color w:val="000000"/>
          <w:sz w:val="18"/>
          <w:szCs w:val="18"/>
        </w:rPr>
      </w:pPr>
      <w:r>
        <w:rPr>
          <w:rFonts w:ascii="Palatino" w:hAnsi="Palatino" w:cs="Palatino"/>
          <w:color w:val="000000"/>
          <w:position w:val="6"/>
          <w:sz w:val="20"/>
          <w:szCs w:val="20"/>
          <w:vertAlign w:val="superscript"/>
        </w:rPr>
        <w:t xml:space="preserve"> 37</w:t>
      </w:r>
      <w:r>
        <w:rPr>
          <w:rFonts w:ascii="Palatino" w:hAnsi="Palatino" w:cs="Palatino"/>
          <w:color w:val="000000"/>
          <w:sz w:val="20"/>
          <w:szCs w:val="20"/>
        </w:rPr>
        <w:t>Also known as Narrow Band Direct Printing, or NBDP</w:t>
      </w:r>
      <w:r>
        <w:rPr>
          <w:rFonts w:ascii="Palatino" w:hAnsi="Palatino" w:cs="Palatino"/>
          <w:color w:val="000000"/>
          <w:sz w:val="18"/>
          <w:szCs w:val="18"/>
        </w:rPr>
        <w:t xml:space="preserve">. </w:t>
      </w:r>
      <w:r>
        <w:rPr>
          <w:rFonts w:ascii="Palatino" w:hAnsi="Palatino" w:cs="Palatino"/>
          <w:color w:val="000000"/>
          <w:position w:val="6"/>
          <w:sz w:val="18"/>
          <w:szCs w:val="18"/>
          <w:vertAlign w:val="superscript"/>
        </w:rPr>
        <w:t>38</w:t>
      </w:r>
      <w:hyperlink r:id="rId312" w:history="1">
        <w:r>
          <w:rPr>
            <w:rFonts w:ascii="Palatino" w:hAnsi="Palatino" w:cs="Palatino"/>
            <w:color w:val="000000"/>
            <w:sz w:val="20"/>
            <w:szCs w:val="20"/>
          </w:rPr>
          <w:t>IALA Recommendation V-128 – Operational and Technical Performance Requirements for VTS Equipment refers.</w:t>
        </w:r>
        <w:r>
          <w:rPr>
            <w:rFonts w:ascii="Palatino" w:hAnsi="Palatino" w:cs="Palatino"/>
            <w:color w:val="000000"/>
            <w:sz w:val="18"/>
            <w:szCs w:val="18"/>
          </w:rPr>
          <w:t xml:space="preserve">. </w:t>
        </w:r>
      </w:hyperlink>
    </w:p>
    <w:p w14:paraId="262BBE68" w14:textId="77777777" w:rsidR="00541A14" w:rsidRDefault="00541A14">
      <w:pPr>
        <w:pStyle w:val="Default"/>
        <w:rPr>
          <w:rFonts w:ascii="Palatino" w:hAnsi="Palatino" w:cs="Palatino"/>
          <w:sz w:val="18"/>
          <w:szCs w:val="18"/>
        </w:rPr>
      </w:pPr>
    </w:p>
    <w:p w14:paraId="77347551" w14:textId="77777777" w:rsidR="00541A14" w:rsidRDefault="00DD420F">
      <w:pPr>
        <w:pStyle w:val="Default"/>
        <w:framePr w:w="1220" w:wrap="auto" w:vAnchor="page" w:hAnchor="page" w:x="608" w:y="16278"/>
        <w:rPr>
          <w:rFonts w:ascii="Palatino" w:hAnsi="Palatino" w:cs="Palatino"/>
          <w:sz w:val="18"/>
          <w:szCs w:val="18"/>
        </w:rPr>
      </w:pPr>
      <w:r>
        <w:rPr>
          <w:rFonts w:ascii="Palatino" w:hAnsi="Palatino" w:cs="Palatino"/>
          <w:noProof/>
          <w:sz w:val="18"/>
          <w:szCs w:val="18"/>
        </w:rPr>
        <w:drawing>
          <wp:inline distT="0" distB="0" distL="0" distR="0" wp14:anchorId="4E39845B" wp14:editId="0F97807C">
            <wp:extent cx="266700" cy="142240"/>
            <wp:effectExtent l="0" t="0" r="12700" b="1016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266700" cy="142240"/>
                    </a:xfrm>
                    <a:prstGeom prst="rect">
                      <a:avLst/>
                    </a:prstGeom>
                    <a:noFill/>
                    <a:ln>
                      <a:noFill/>
                    </a:ln>
                  </pic:spPr>
                </pic:pic>
              </a:graphicData>
            </a:graphic>
          </wp:inline>
        </w:drawing>
      </w:r>
    </w:p>
    <w:p w14:paraId="3285A6F4" w14:textId="77777777" w:rsidR="00541A14" w:rsidRDefault="00541A14">
      <w:pPr>
        <w:pStyle w:val="Default"/>
        <w:ind w:left="8357"/>
        <w:rPr>
          <w:rFonts w:ascii="Palatino" w:hAnsi="Palatino" w:cs="Palatino"/>
          <w:sz w:val="18"/>
          <w:szCs w:val="18"/>
        </w:rPr>
      </w:pPr>
    </w:p>
    <w:p w14:paraId="4C62A24D" w14:textId="77777777" w:rsidR="00541A14" w:rsidRDefault="00DD420F">
      <w:pPr>
        <w:pStyle w:val="Default"/>
        <w:framePr w:w="1100" w:wrap="auto" w:vAnchor="page" w:hAnchor="page" w:x="8964" w:y="16323"/>
        <w:rPr>
          <w:rFonts w:ascii="Palatino" w:hAnsi="Palatino" w:cs="Palatino"/>
          <w:sz w:val="18"/>
          <w:szCs w:val="18"/>
        </w:rPr>
      </w:pPr>
      <w:r>
        <w:rPr>
          <w:rFonts w:ascii="Palatino" w:hAnsi="Palatino" w:cs="Palatino"/>
          <w:noProof/>
          <w:sz w:val="18"/>
          <w:szCs w:val="18"/>
        </w:rPr>
        <w:drawing>
          <wp:inline distT="0" distB="0" distL="0" distR="0" wp14:anchorId="4228DE54" wp14:editId="34E608B8">
            <wp:extent cx="227330" cy="113665"/>
            <wp:effectExtent l="0" t="0" r="127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7330" cy="113665"/>
                    </a:xfrm>
                    <a:prstGeom prst="rect">
                      <a:avLst/>
                    </a:prstGeom>
                    <a:noFill/>
                    <a:ln>
                      <a:noFill/>
                    </a:ln>
                  </pic:spPr>
                </pic:pic>
              </a:graphicData>
            </a:graphic>
          </wp:inline>
        </w:drawing>
      </w:r>
    </w:p>
    <w:p w14:paraId="7EF93EA2" w14:textId="77777777" w:rsidR="00541A14" w:rsidRDefault="00DD420F">
      <w:pPr>
        <w:pStyle w:val="Default"/>
        <w:framePr w:w="2088" w:wrap="auto" w:vAnchor="page" w:hAnchor="page" w:x="9249" w:y="16323"/>
        <w:rPr>
          <w:rFonts w:ascii="Palatino" w:hAnsi="Palatino" w:cs="Palatino"/>
          <w:sz w:val="18"/>
          <w:szCs w:val="18"/>
        </w:rPr>
      </w:pPr>
      <w:r>
        <w:rPr>
          <w:rFonts w:ascii="Palatino" w:hAnsi="Palatino" w:cs="Palatino"/>
          <w:noProof/>
          <w:sz w:val="18"/>
          <w:szCs w:val="18"/>
        </w:rPr>
        <w:drawing>
          <wp:inline distT="0" distB="0" distL="0" distR="0" wp14:anchorId="77E94A44" wp14:editId="4BD30139">
            <wp:extent cx="823595" cy="113665"/>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823595" cy="113665"/>
                    </a:xfrm>
                    <a:prstGeom prst="rect">
                      <a:avLst/>
                    </a:prstGeom>
                    <a:noFill/>
                    <a:ln>
                      <a:noFill/>
                    </a:ln>
                  </pic:spPr>
                </pic:pic>
              </a:graphicData>
            </a:graphic>
          </wp:inline>
        </w:drawing>
      </w:r>
    </w:p>
    <w:p w14:paraId="3AE4C4D0" w14:textId="77777777" w:rsidR="00541A14" w:rsidRDefault="00DD420F">
      <w:pPr>
        <w:pStyle w:val="Default"/>
        <w:pageBreakBefore/>
        <w:framePr w:w="12876" w:wrap="auto" w:vAnchor="page" w:hAnchor="page" w:x="101" w:y="1"/>
        <w:spacing w:after="820"/>
        <w:rPr>
          <w:rFonts w:ascii="Palatino" w:hAnsi="Palatino" w:cs="Palatino"/>
          <w:sz w:val="18"/>
          <w:szCs w:val="18"/>
        </w:rPr>
      </w:pPr>
      <w:r>
        <w:rPr>
          <w:rFonts w:ascii="Palatino" w:hAnsi="Palatino" w:cs="Palatino"/>
          <w:noProof/>
          <w:sz w:val="18"/>
          <w:szCs w:val="18"/>
        </w:rPr>
        <w:drawing>
          <wp:inline distT="0" distB="0" distL="0" distR="0" wp14:anchorId="78E2BE8C" wp14:editId="2DB4EEB5">
            <wp:extent cx="7553960" cy="1056640"/>
            <wp:effectExtent l="0" t="0" r="0" b="1016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755F320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These systems are supplemented in areas of risk by tsunami early warning systems. </w:t>
      </w:r>
    </w:p>
    <w:p w14:paraId="601042C3"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Authorities that are procuring or upgrading sea level measurement devices, are encouraged to consider using equipment that can support the requirements of the Global Sea Level Observing System (GLOSS) coordinated by the Intergovernmental Oceanographic Commission.  Typically this calls for gauges capable of measuring to centimetre (1 cm.) accuracy in all weather (especially wave) conditions and for the free exchange of hourly sea level data with an International Sea Level Centre. </w:t>
      </w:r>
    </w:p>
    <w:p w14:paraId="6ADE207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Information on the GLOSS Programme can be found at: www.gloss-sealevel.org/ </w:t>
      </w:r>
    </w:p>
    <w:p w14:paraId="66901EBD"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Technical recommendations on sea level observations can be found at: www.pol.ac.uk/psmsl/manuals/ </w:t>
      </w:r>
    </w:p>
    <w:p w14:paraId="41F82AC7"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6.8 Under keel Clearance Management Systems </w:t>
      </w:r>
    </w:p>
    <w:p w14:paraId="688DE04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There is an increasing use of real time Under Keel Clearance (UKC) management systems for port </w:t>
      </w:r>
    </w:p>
    <w:p w14:paraId="25E197F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and coastal navigation. Proven tools exist to safely manage UKC without the need for a fixed draught </w:t>
      </w:r>
    </w:p>
    <w:p w14:paraId="5A8F19C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limit. Real-time UKC systems have been adopted in many ports around the world.  Vessel transits </w:t>
      </w:r>
    </w:p>
    <w:p w14:paraId="3EDD7CC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are pre-planned using predicted information and are refined with observed differences between </w:t>
      </w:r>
    </w:p>
    <w:p w14:paraId="5207C33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predicted and actual information (e.g. tides) closer to the time of transit.  Transits are executed with the assistance of portable systems that can receive real-time environmental data (tides, waves, current, weather). This enables a pilot to execute a transit having full regard to real-time environmental </w:t>
      </w:r>
    </w:p>
    <w:p w14:paraId="0ED808CB" w14:textId="77777777" w:rsidR="00541A14" w:rsidRDefault="00A450E1">
      <w:pPr>
        <w:pStyle w:val="CM165"/>
        <w:spacing w:after="85" w:line="286" w:lineRule="atLeast"/>
        <w:ind w:right="702"/>
        <w:rPr>
          <w:rFonts w:ascii="Palatino" w:hAnsi="Palatino" w:cs="Palatino"/>
          <w:color w:val="000000"/>
          <w:sz w:val="20"/>
          <w:szCs w:val="20"/>
        </w:rPr>
      </w:pPr>
      <w:r>
        <w:rPr>
          <w:rFonts w:ascii="Palatino" w:hAnsi="Palatino" w:cs="Palatino"/>
          <w:color w:val="000000"/>
          <w:sz w:val="20"/>
          <w:szCs w:val="20"/>
        </w:rPr>
        <w:t xml:space="preserve">conditions. The pilot is able to fine-tune a ship’s actual UKC by varying speed (affects squat/ settlement) and rate of turn (affects angle of heel) to ensure it remains within predefined limits. </w:t>
      </w:r>
    </w:p>
    <w:p w14:paraId="10D60CFF"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Predictive and real time UKC software applications including associated portable pilot software applications require a ground truthing approach for ensuring their operational integrity and Competent Authorities seeking to implement real time UKC management systems may need to provide additional aids to navigation and related infrastructure (e.g. hydrometeo sensors, fully redundant communications links) to support a real time UKC management system. </w:t>
      </w:r>
    </w:p>
    <w:p w14:paraId="7EBD3D6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Competent Authorities considering implementing UKC management systems should undertake a </w:t>
      </w:r>
    </w:p>
    <w:p w14:paraId="3CEA273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rigorous assessment of the economic benefits that would accrue to the shipping industry through </w:t>
      </w:r>
    </w:p>
    <w:p w14:paraId="7DEF0779"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the increased in maximum draughts that may be accommodated through the use of real time UKC management systems. </w:t>
      </w:r>
    </w:p>
    <w:p w14:paraId="55FEAA6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It is imperative that a robust operational model(s) and governance framework(s) is in place for the </w:t>
      </w:r>
    </w:p>
    <w:p w14:paraId="25DB748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introduction of a flexible UKC system.  The accuracy of charted depths and predicted tide levels is </w:t>
      </w:r>
    </w:p>
    <w:p w14:paraId="6F1138D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integral to the management of UKC. Hydrographic surveys have inherent technical limitations due partly to uncertainties in tidal reductions.  Nautical charts can seldom, therefore, be absolutely reliable in their representation of depth.  Furthermore, in some areas where there are sand waves the shape and hence the depth of the seabed is constantly changing. Potential components of that framework include: </w:t>
      </w:r>
    </w:p>
    <w:p w14:paraId="02BEE1AF"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Initial validation of the UKC calculation outputs of the system by an independent person or</w:t>
      </w:r>
    </w:p>
    <w:p w14:paraId="6FE4ABFF"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organisation e.g. hydrographers, hydrodynamics experts, using accepted validation techniques </w:t>
      </w:r>
    </w:p>
    <w:p w14:paraId="32A74309"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such as: </w:t>
      </w:r>
    </w:p>
    <w:p w14:paraId="55C38251" w14:textId="77777777" w:rsidR="00541A14" w:rsidRDefault="00A450E1">
      <w:pPr>
        <w:pStyle w:val="Default"/>
        <w:numPr>
          <w:ilvl w:val="0"/>
          <w:numId w:val="138"/>
        </w:numPr>
        <w:rPr>
          <w:rFonts w:ascii="Palatino" w:hAnsi="Palatino" w:cs="Palatino"/>
          <w:sz w:val="20"/>
          <w:szCs w:val="20"/>
        </w:rPr>
      </w:pPr>
      <w:r>
        <w:rPr>
          <w:rFonts w:ascii="Palatino" w:hAnsi="Palatino" w:cs="Palatino"/>
          <w:sz w:val="20"/>
          <w:szCs w:val="20"/>
        </w:rPr>
        <w:t xml:space="preserve">Regular calibration of sensors providing hydrometeo data inputs. </w:t>
      </w:r>
    </w:p>
    <w:p w14:paraId="486B334B" w14:textId="77777777" w:rsidR="00541A14" w:rsidRDefault="00A450E1">
      <w:pPr>
        <w:pStyle w:val="Default"/>
        <w:numPr>
          <w:ilvl w:val="0"/>
          <w:numId w:val="138"/>
        </w:numPr>
        <w:rPr>
          <w:rFonts w:ascii="Palatino" w:hAnsi="Palatino" w:cs="Palatino"/>
          <w:sz w:val="20"/>
          <w:szCs w:val="20"/>
        </w:rPr>
      </w:pPr>
      <w:r>
        <w:rPr>
          <w:rFonts w:ascii="Palatino" w:hAnsi="Palatino" w:cs="Palatino"/>
          <w:sz w:val="20"/>
          <w:szCs w:val="20"/>
        </w:rPr>
        <w:t xml:space="preserve">The accuracy limitations of charted depths and tidal predictions must be factored into any UKC system. </w:t>
      </w:r>
    </w:p>
    <w:p w14:paraId="539BA43A" w14:textId="77777777" w:rsidR="00541A14" w:rsidRDefault="00541A14">
      <w:pPr>
        <w:pStyle w:val="Default"/>
        <w:rPr>
          <w:rFonts w:ascii="Palatino" w:hAnsi="Palatino" w:cs="Palatino"/>
          <w:sz w:val="20"/>
          <w:szCs w:val="20"/>
        </w:rPr>
      </w:pPr>
    </w:p>
    <w:p w14:paraId="14F83910" w14:textId="77777777" w:rsidR="00541A14" w:rsidRDefault="00A450E1">
      <w:pPr>
        <w:pStyle w:val="CM12"/>
        <w:jc w:val="both"/>
        <w:rPr>
          <w:rFonts w:ascii="Palatino" w:hAnsi="Palatino" w:cs="Palatino"/>
          <w:color w:val="12225F"/>
          <w:sz w:val="20"/>
          <w:szCs w:val="20"/>
        </w:rPr>
      </w:pPr>
      <w:r>
        <w:rPr>
          <w:rFonts w:ascii="Palatino" w:hAnsi="Palatino" w:cs="Palatino"/>
          <w:i/>
          <w:iCs/>
          <w:color w:val="12225F"/>
          <w:sz w:val="20"/>
          <w:szCs w:val="20"/>
        </w:rPr>
        <w:t xml:space="preserve">NAVGUIDE 2010 </w:t>
      </w:r>
    </w:p>
    <w:p w14:paraId="11B1D52F" w14:textId="77777777" w:rsidR="00541A14" w:rsidRDefault="00A450E1">
      <w:pPr>
        <w:pStyle w:val="CM111"/>
        <w:ind w:left="9522"/>
        <w:rPr>
          <w:rFonts w:ascii="Palatino" w:hAnsi="Palatino" w:cs="Palatino"/>
          <w:color w:val="12225F"/>
          <w:sz w:val="23"/>
          <w:szCs w:val="23"/>
        </w:rPr>
      </w:pPr>
      <w:r>
        <w:rPr>
          <w:rFonts w:ascii="Palatino" w:hAnsi="Palatino" w:cs="Palatino"/>
          <w:b/>
          <w:bCs/>
          <w:i/>
          <w:iCs/>
          <w:color w:val="12225F"/>
          <w:sz w:val="23"/>
          <w:szCs w:val="23"/>
        </w:rPr>
        <w:t xml:space="preserve">137 </w:t>
      </w:r>
    </w:p>
    <w:p w14:paraId="6E4C32A7" w14:textId="77777777" w:rsidR="00541A14" w:rsidRDefault="00DD420F">
      <w:pPr>
        <w:pStyle w:val="Default"/>
        <w:pageBreakBefore/>
        <w:framePr w:w="12721" w:wrap="auto" w:vAnchor="page" w:hAnchor="page" w:x="101" w:y="1"/>
        <w:spacing w:after="380"/>
        <w:rPr>
          <w:rFonts w:ascii="Palatino" w:hAnsi="Palatino" w:cs="Palatino"/>
          <w:color w:val="12225F"/>
          <w:sz w:val="23"/>
          <w:szCs w:val="23"/>
        </w:rPr>
      </w:pPr>
      <w:r>
        <w:rPr>
          <w:rFonts w:ascii="Palatino" w:hAnsi="Palatino" w:cs="Palatino"/>
          <w:noProof/>
          <w:color w:val="12225F"/>
          <w:sz w:val="23"/>
          <w:szCs w:val="23"/>
        </w:rPr>
        <w:drawing>
          <wp:inline distT="0" distB="0" distL="0" distR="0" wp14:anchorId="11365452" wp14:editId="6C4D9AF6">
            <wp:extent cx="7553960" cy="1153160"/>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7C4034EA" w14:textId="77777777" w:rsidR="00541A14" w:rsidRDefault="00A450E1">
      <w:pPr>
        <w:pStyle w:val="CM165"/>
        <w:spacing w:after="85" w:line="251" w:lineRule="atLeast"/>
        <w:jc w:val="both"/>
        <w:rPr>
          <w:rFonts w:ascii="Palatino" w:hAnsi="Palatino" w:cs="Palatino"/>
          <w:color w:val="000000"/>
          <w:sz w:val="20"/>
          <w:szCs w:val="20"/>
        </w:rPr>
      </w:pPr>
      <w:r>
        <w:rPr>
          <w:rFonts w:ascii="Palatino" w:hAnsi="Palatino" w:cs="Palatino"/>
          <w:color w:val="000000"/>
          <w:sz w:val="20"/>
          <w:szCs w:val="20"/>
        </w:rPr>
        <w:t xml:space="preserve">Competent Authorities should ensure an appropriate minimum under keel clearance limit is enforced in conjunction with the operation of the UKC management system. </w:t>
      </w:r>
    </w:p>
    <w:p w14:paraId="463AE5C6" w14:textId="77777777" w:rsidR="00541A14" w:rsidRDefault="00A450E1">
      <w:pPr>
        <w:pStyle w:val="CM174"/>
        <w:spacing w:after="437" w:line="296" w:lineRule="atLeast"/>
        <w:jc w:val="both"/>
        <w:rPr>
          <w:rFonts w:ascii="Palatino" w:hAnsi="Palatino" w:cs="Palatino"/>
          <w:color w:val="000000"/>
          <w:sz w:val="20"/>
          <w:szCs w:val="20"/>
        </w:rPr>
      </w:pPr>
      <w:r>
        <w:rPr>
          <w:rFonts w:ascii="Palatino" w:hAnsi="Palatino" w:cs="Palatino"/>
          <w:color w:val="000000"/>
          <w:sz w:val="20"/>
          <w:szCs w:val="20"/>
        </w:rPr>
        <w:t xml:space="preserve">The difference in calculation of static and real time under keel clearance is shown in Figures 26 and 27 (courtesy of OMC International Pty Ltd). </w:t>
      </w:r>
    </w:p>
    <w:p w14:paraId="5C8DC501" w14:textId="77777777" w:rsidR="00541A14" w:rsidRDefault="00A450E1">
      <w:pPr>
        <w:pStyle w:val="CM36"/>
        <w:spacing w:after="3022"/>
        <w:rPr>
          <w:rFonts w:ascii="Palatino" w:hAnsi="Palatino" w:cs="Palatino"/>
          <w:color w:val="000000"/>
          <w:sz w:val="20"/>
          <w:szCs w:val="20"/>
        </w:rPr>
      </w:pPr>
      <w:r>
        <w:rPr>
          <w:rFonts w:ascii="Palatino" w:hAnsi="Palatino" w:cs="Palatino"/>
          <w:i/>
          <w:iCs/>
          <w:color w:val="000000"/>
          <w:sz w:val="20"/>
          <w:szCs w:val="20"/>
        </w:rPr>
        <w:t xml:space="preserve">Figure 26 –Traditional UKC measurement rules based on static data </w:t>
      </w:r>
    </w:p>
    <w:p w14:paraId="45CB9CAB" w14:textId="77777777" w:rsidR="00541A14" w:rsidRDefault="00A450E1">
      <w:pPr>
        <w:pStyle w:val="CM162"/>
        <w:spacing w:after="552" w:line="251" w:lineRule="atLeast"/>
        <w:rPr>
          <w:rFonts w:ascii="Palatino" w:hAnsi="Palatino" w:cs="Palatino"/>
          <w:color w:val="000000"/>
          <w:sz w:val="20"/>
          <w:szCs w:val="20"/>
        </w:rPr>
      </w:pPr>
      <w:r>
        <w:rPr>
          <w:rFonts w:ascii="Palatino" w:hAnsi="Palatino" w:cs="Palatino"/>
          <w:i/>
          <w:iCs/>
          <w:color w:val="000000"/>
          <w:sz w:val="20"/>
          <w:szCs w:val="20"/>
        </w:rPr>
        <w:t xml:space="preserve">Figure 27 –UKC measurement based on real time data for each element </w:t>
      </w:r>
    </w:p>
    <w:p w14:paraId="2F4615C7" w14:textId="77777777" w:rsidR="00541A14" w:rsidRDefault="00DD420F">
      <w:pPr>
        <w:pStyle w:val="Default"/>
        <w:framePr w:w="7207" w:wrap="auto" w:vAnchor="page" w:hAnchor="page" w:x="4079" w:y="3678"/>
        <w:spacing w:after="200"/>
        <w:rPr>
          <w:rFonts w:ascii="Palatino" w:hAnsi="Palatino" w:cs="Palatino"/>
          <w:sz w:val="20"/>
          <w:szCs w:val="20"/>
        </w:rPr>
      </w:pPr>
      <w:r>
        <w:rPr>
          <w:rFonts w:ascii="Palatino" w:hAnsi="Palatino" w:cs="Palatino"/>
          <w:noProof/>
          <w:sz w:val="20"/>
          <w:szCs w:val="20"/>
        </w:rPr>
        <w:drawing>
          <wp:inline distT="0" distB="0" distL="0" distR="0" wp14:anchorId="783ED303" wp14:editId="1D321FD7">
            <wp:extent cx="4066540" cy="560006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066540" cy="5600065"/>
                    </a:xfrm>
                    <a:prstGeom prst="rect">
                      <a:avLst/>
                    </a:prstGeom>
                    <a:noFill/>
                    <a:ln>
                      <a:noFill/>
                    </a:ln>
                  </pic:spPr>
                </pic:pic>
              </a:graphicData>
            </a:graphic>
          </wp:inline>
        </w:drawing>
      </w:r>
    </w:p>
    <w:p w14:paraId="2EBE3BFA"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sz w:val="20"/>
          <w:szCs w:val="20"/>
        </w:rPr>
        <w:t xml:space="preserve">Typical port real-time UKC systems have two parts: </w:t>
      </w:r>
    </w:p>
    <w:p w14:paraId="530FA0A3" w14:textId="77777777" w:rsidR="00541A14" w:rsidRDefault="00A450E1">
      <w:pPr>
        <w:pStyle w:val="CM96"/>
        <w:ind w:right="590"/>
        <w:rPr>
          <w:rFonts w:ascii="Palatino" w:hAnsi="Palatino" w:cs="Palatino"/>
          <w:color w:val="000000"/>
          <w:sz w:val="20"/>
          <w:szCs w:val="20"/>
        </w:rPr>
      </w:pPr>
      <w:r>
        <w:rPr>
          <w:rFonts w:ascii="Palatino" w:hAnsi="Palatino" w:cs="Palatino"/>
          <w:color w:val="000000"/>
          <w:sz w:val="20"/>
          <w:szCs w:val="20"/>
        </w:rPr>
        <w:t>• A shore based system that enables UKC passage planning plus VTS-like passage monitoring/</w:t>
      </w:r>
    </w:p>
    <w:p w14:paraId="19927D9C" w14:textId="77777777" w:rsidR="00541A14" w:rsidRDefault="00A450E1">
      <w:pPr>
        <w:pStyle w:val="CM165"/>
        <w:spacing w:after="85"/>
        <w:ind w:left="310"/>
        <w:jc w:val="both"/>
        <w:rPr>
          <w:rFonts w:ascii="Palatino" w:hAnsi="Palatino" w:cs="Palatino"/>
          <w:color w:val="000000"/>
          <w:sz w:val="20"/>
          <w:szCs w:val="20"/>
        </w:rPr>
      </w:pPr>
      <w:r>
        <w:rPr>
          <w:rFonts w:ascii="Palatino" w:hAnsi="Palatino" w:cs="Palatino"/>
          <w:color w:val="000000"/>
          <w:sz w:val="20"/>
          <w:szCs w:val="20"/>
        </w:rPr>
        <w:t xml:space="preserve">assistance, and </w:t>
      </w:r>
    </w:p>
    <w:p w14:paraId="23E98ED5" w14:textId="77777777" w:rsidR="00541A14" w:rsidRDefault="00A450E1">
      <w:pPr>
        <w:pStyle w:val="CM185"/>
        <w:spacing w:after="140"/>
        <w:jc w:val="both"/>
        <w:rPr>
          <w:rFonts w:ascii="Palatino" w:hAnsi="Palatino" w:cs="Palatino"/>
          <w:color w:val="000000"/>
          <w:sz w:val="20"/>
          <w:szCs w:val="20"/>
        </w:rPr>
      </w:pPr>
      <w:r>
        <w:rPr>
          <w:rFonts w:ascii="Palatino" w:hAnsi="Palatino" w:cs="Palatino"/>
          <w:color w:val="000000"/>
          <w:sz w:val="20"/>
          <w:szCs w:val="20"/>
        </w:rPr>
        <w:t xml:space="preserve">• A portable UKC system which is taken onboard and used by pilots. </w:t>
      </w:r>
    </w:p>
    <w:p w14:paraId="52194DF4" w14:textId="77777777" w:rsidR="00541A14" w:rsidRDefault="00A450E1">
      <w:pPr>
        <w:pStyle w:val="Default"/>
        <w:rPr>
          <w:rFonts w:ascii="Palatino" w:hAnsi="Palatino" w:cs="Palatino"/>
          <w:sz w:val="20"/>
          <w:szCs w:val="20"/>
        </w:rPr>
      </w:pPr>
      <w:r>
        <w:rPr>
          <w:rFonts w:ascii="Palatino" w:hAnsi="Palatino" w:cs="Palatino"/>
          <w:sz w:val="20"/>
          <w:szCs w:val="20"/>
        </w:rPr>
        <w:t xml:space="preserve">Portable UKC systems have data communication links to obtain real-time tide, current, wave and weather </w:t>
      </w:r>
    </w:p>
    <w:p w14:paraId="2FD07BE8" w14:textId="77777777" w:rsidR="00541A14" w:rsidRDefault="00A450E1">
      <w:pPr>
        <w:pStyle w:val="CM1"/>
        <w:jc w:val="center"/>
        <w:rPr>
          <w:rFonts w:ascii="Palatino" w:hAnsi="Palatino" w:cs="Palatino"/>
          <w:color w:val="000000"/>
          <w:sz w:val="20"/>
          <w:szCs w:val="20"/>
        </w:rPr>
      </w:pPr>
      <w:r>
        <w:rPr>
          <w:rFonts w:ascii="Palatino" w:hAnsi="Palatino" w:cs="Palatino"/>
          <w:color w:val="000000"/>
          <w:sz w:val="20"/>
          <w:szCs w:val="20"/>
        </w:rPr>
        <w:t>data. Portable UKC systems enable a pilot to fine tune a vessel’s performance, typically speed (which</w:t>
      </w:r>
    </w:p>
    <w:p w14:paraId="6C2E4D31" w14:textId="77777777" w:rsidR="00541A14" w:rsidRDefault="00A450E1">
      <w:pPr>
        <w:pStyle w:val="CM1"/>
        <w:jc w:val="center"/>
        <w:rPr>
          <w:rFonts w:ascii="Palatino" w:hAnsi="Palatino" w:cs="Palatino"/>
          <w:color w:val="000000"/>
          <w:sz w:val="20"/>
          <w:szCs w:val="20"/>
        </w:rPr>
      </w:pPr>
      <w:r>
        <w:rPr>
          <w:rFonts w:ascii="Palatino" w:hAnsi="Palatino" w:cs="Palatino"/>
          <w:color w:val="000000"/>
          <w:sz w:val="20"/>
          <w:szCs w:val="20"/>
        </w:rPr>
        <w:t>affects squat and settlement) and rate of turn (which affects angle of heel), so as to manage and maintain</w:t>
      </w:r>
    </w:p>
    <w:p w14:paraId="47544FCE" w14:textId="77777777" w:rsidR="00541A14" w:rsidRDefault="00A450E1">
      <w:pPr>
        <w:pStyle w:val="CM1"/>
        <w:jc w:val="center"/>
        <w:rPr>
          <w:rFonts w:ascii="Palatino" w:hAnsi="Palatino" w:cs="Palatino"/>
          <w:color w:val="000000"/>
          <w:sz w:val="20"/>
          <w:szCs w:val="20"/>
        </w:rPr>
      </w:pPr>
      <w:r>
        <w:rPr>
          <w:rFonts w:ascii="Palatino" w:hAnsi="Palatino" w:cs="Palatino"/>
          <w:color w:val="000000"/>
          <w:sz w:val="20"/>
          <w:szCs w:val="20"/>
        </w:rPr>
        <w:t xml:space="preserve">UKC in accordance with predefined limits. Portable UKC systems contain electronic charts that, when </w:t>
      </w:r>
    </w:p>
    <w:p w14:paraId="0886672F" w14:textId="77777777" w:rsidR="00541A14" w:rsidRDefault="00A450E1">
      <w:pPr>
        <w:pStyle w:val="CM170"/>
        <w:spacing w:after="887"/>
        <w:ind w:right="590"/>
        <w:rPr>
          <w:rFonts w:ascii="Palatino" w:hAnsi="Palatino" w:cs="Palatino"/>
          <w:color w:val="000000"/>
          <w:sz w:val="20"/>
          <w:szCs w:val="20"/>
        </w:rPr>
      </w:pPr>
      <w:r>
        <w:rPr>
          <w:rFonts w:ascii="Palatino" w:hAnsi="Palatino" w:cs="Palatino"/>
          <w:color w:val="000000"/>
          <w:sz w:val="20"/>
          <w:szCs w:val="20"/>
        </w:rPr>
        <w:t xml:space="preserve">combined with GNSS position inputs, complete the information required to enable safe navigation. </w:t>
      </w:r>
    </w:p>
    <w:p w14:paraId="27312548" w14:textId="77777777" w:rsidR="00541A14" w:rsidRDefault="00DD420F">
      <w:pPr>
        <w:pStyle w:val="Default"/>
        <w:framePr w:w="12709" w:wrap="auto" w:vAnchor="page" w:hAnchor="page" w:x="101" w:y="15067"/>
        <w:rPr>
          <w:rFonts w:ascii="Palatino" w:hAnsi="Palatino" w:cs="Palatino"/>
          <w:sz w:val="20"/>
          <w:szCs w:val="20"/>
        </w:rPr>
      </w:pPr>
      <w:r>
        <w:rPr>
          <w:rFonts w:ascii="Palatino" w:hAnsi="Palatino" w:cs="Palatino"/>
          <w:noProof/>
          <w:sz w:val="20"/>
          <w:szCs w:val="20"/>
        </w:rPr>
        <w:drawing>
          <wp:inline distT="0" distB="0" distL="0" distR="0" wp14:anchorId="26FC376D" wp14:editId="34E70C8B">
            <wp:extent cx="7553960" cy="420370"/>
            <wp:effectExtent l="0" t="0" r="0" b="1143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236FFF45" w14:textId="77777777" w:rsidR="00541A14" w:rsidRDefault="00DD420F">
      <w:pPr>
        <w:pStyle w:val="Default"/>
        <w:pageBreakBefore/>
        <w:framePr w:w="12721" w:wrap="auto" w:vAnchor="page" w:hAnchor="page" w:x="101" w:y="14664"/>
        <w:spacing w:after="180"/>
        <w:rPr>
          <w:rFonts w:ascii="Palatino" w:hAnsi="Palatino" w:cs="Palatino"/>
          <w:sz w:val="20"/>
          <w:szCs w:val="20"/>
        </w:rPr>
      </w:pPr>
      <w:r>
        <w:rPr>
          <w:rFonts w:ascii="Palatino" w:hAnsi="Palatino" w:cs="Palatino"/>
          <w:noProof/>
          <w:sz w:val="20"/>
          <w:szCs w:val="20"/>
        </w:rPr>
        <w:drawing>
          <wp:inline distT="0" distB="0" distL="0" distR="0" wp14:anchorId="1ED8EFF6" wp14:editId="037A8471">
            <wp:extent cx="7553960" cy="1069467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7553960" cy="10694670"/>
                    </a:xfrm>
                    <a:prstGeom prst="rect">
                      <a:avLst/>
                    </a:prstGeom>
                    <a:noFill/>
                    <a:ln>
                      <a:noFill/>
                    </a:ln>
                  </pic:spPr>
                </pic:pic>
              </a:graphicData>
            </a:graphic>
          </wp:inline>
        </w:drawing>
      </w:r>
    </w:p>
    <w:p w14:paraId="1AA0B1D1"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84864" behindDoc="0" locked="0" layoutInCell="0" allowOverlap="1" wp14:anchorId="0E378EE3" wp14:editId="047157E9">
                <wp:simplePos x="0" y="0"/>
                <wp:positionH relativeFrom="page">
                  <wp:posOffset>826770</wp:posOffset>
                </wp:positionH>
                <wp:positionV relativeFrom="page">
                  <wp:posOffset>3440430</wp:posOffset>
                </wp:positionV>
                <wp:extent cx="4682490" cy="2127250"/>
                <wp:effectExtent l="0" t="0" r="0" b="0"/>
                <wp:wrapThrough wrapText="bothSides">
                  <wp:wrapPolygon edited="0">
                    <wp:start x="0" y="0"/>
                    <wp:lineTo x="21600" y="0"/>
                    <wp:lineTo x="21600" y="21600"/>
                    <wp:lineTo x="0" y="21600"/>
                    <wp:lineTo x="0" y="0"/>
                  </wp:wrapPolygon>
                </wp:wrapThrough>
                <wp:docPr id="53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2490" cy="2127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3892"/>
                              <w:gridCol w:w="2682"/>
                            </w:tblGrid>
                            <w:tr w:rsidR="00541A14" w14:paraId="450C0DF2" w14:textId="77777777">
                              <w:trPr>
                                <w:trHeight w:val="188"/>
                              </w:trPr>
                              <w:tc>
                                <w:tcPr>
                                  <w:tcW w:w="3892" w:type="dxa"/>
                                  <w:tcBorders>
                                    <w:top w:val="single" w:sz="4" w:space="0" w:color="1C1B1A"/>
                                    <w:left w:val="single" w:sz="4" w:space="0" w:color="101010"/>
                                    <w:right w:val="single" w:sz="4" w:space="0" w:color="1F1F1E"/>
                                  </w:tcBorders>
                                  <w:shd w:val="clear" w:color="auto" w:fill="AFAEA4"/>
                                  <w:vAlign w:val="center"/>
                                </w:tcPr>
                                <w:p w14:paraId="0728E9D5"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Electric Energy Sources </w:t>
                                  </w:r>
                                </w:p>
                              </w:tc>
                              <w:tc>
                                <w:tcPr>
                                  <w:tcW w:w="2682" w:type="dxa"/>
                                  <w:tcBorders>
                                    <w:top w:val="single" w:sz="4" w:space="0" w:color="1C1B1A"/>
                                    <w:left w:val="single" w:sz="4" w:space="0" w:color="1F1F1E"/>
                                    <w:right w:val="single" w:sz="4" w:space="0" w:color="101010"/>
                                  </w:tcBorders>
                                  <w:shd w:val="clear" w:color="auto" w:fill="AFAEA4"/>
                                  <w:vAlign w:val="center"/>
                                </w:tcPr>
                                <w:p w14:paraId="479F4AF9"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Non-Electric Energy Sources </w:t>
                                  </w:r>
                                </w:p>
                              </w:tc>
                            </w:tr>
                            <w:tr w:rsidR="00541A14" w14:paraId="1437BDA0" w14:textId="77777777">
                              <w:trPr>
                                <w:trHeight w:val="183"/>
                              </w:trPr>
                              <w:tc>
                                <w:tcPr>
                                  <w:tcW w:w="3892" w:type="dxa"/>
                                  <w:tcBorders>
                                    <w:top w:val="single" w:sz="2" w:space="0" w:color="AFAEA4"/>
                                    <w:left w:val="single" w:sz="4" w:space="0" w:color="101010"/>
                                    <w:bottom w:val="single" w:sz="2" w:space="0" w:color="CAC8C3"/>
                                    <w:right w:val="single" w:sz="4" w:space="0" w:color="1F1F1E"/>
                                  </w:tcBorders>
                                  <w:shd w:val="clear" w:color="auto" w:fill="E9E7E4"/>
                                  <w:vAlign w:val="center"/>
                                </w:tcPr>
                                <w:p w14:paraId="7A7FCE6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Commercial power supply </w:t>
                                  </w:r>
                                </w:p>
                              </w:tc>
                              <w:tc>
                                <w:tcPr>
                                  <w:tcW w:w="2682" w:type="dxa"/>
                                  <w:tcBorders>
                                    <w:top w:val="single" w:sz="2" w:space="0" w:color="AFAEA4"/>
                                    <w:left w:val="single" w:sz="4" w:space="0" w:color="1F1F1E"/>
                                    <w:bottom w:val="single" w:sz="2" w:space="0" w:color="CAC8C3"/>
                                    <w:right w:val="single" w:sz="4" w:space="0" w:color="101010"/>
                                  </w:tcBorders>
                                  <w:shd w:val="clear" w:color="auto" w:fill="E9E7E4"/>
                                  <w:vAlign w:val="center"/>
                                </w:tcPr>
                                <w:p w14:paraId="141F6A2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Acetylene </w:t>
                                  </w:r>
                                </w:p>
                              </w:tc>
                            </w:tr>
                            <w:tr w:rsidR="00541A14" w14:paraId="3E8ECF45" w14:textId="77777777">
                              <w:trPr>
                                <w:trHeight w:val="186"/>
                              </w:trPr>
                              <w:tc>
                                <w:tcPr>
                                  <w:tcW w:w="3892" w:type="dxa"/>
                                  <w:tcBorders>
                                    <w:left w:val="single" w:sz="4" w:space="0" w:color="101010"/>
                                    <w:right w:val="single" w:sz="4" w:space="0" w:color="1F1F1E"/>
                                  </w:tcBorders>
                                  <w:shd w:val="clear" w:color="auto" w:fill="CAC8C3"/>
                                  <w:vAlign w:val="center"/>
                                </w:tcPr>
                                <w:p w14:paraId="39724EB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Photovoltaic solar modules </w:t>
                                  </w:r>
                                </w:p>
                              </w:tc>
                              <w:tc>
                                <w:tcPr>
                                  <w:tcW w:w="2682" w:type="dxa"/>
                                  <w:tcBorders>
                                    <w:left w:val="single" w:sz="4" w:space="0" w:color="1F1F1E"/>
                                    <w:right w:val="single" w:sz="4" w:space="0" w:color="101010"/>
                                  </w:tcBorders>
                                  <w:shd w:val="clear" w:color="auto" w:fill="CAC8C3"/>
                                  <w:vAlign w:val="center"/>
                                </w:tcPr>
                                <w:p w14:paraId="7143513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Propane </w:t>
                                  </w:r>
                                </w:p>
                              </w:tc>
                            </w:tr>
                            <w:tr w:rsidR="00541A14" w14:paraId="4889C866" w14:textId="77777777">
                              <w:trPr>
                                <w:trHeight w:val="183"/>
                              </w:trPr>
                              <w:tc>
                                <w:tcPr>
                                  <w:tcW w:w="3892" w:type="dxa"/>
                                  <w:tcBorders>
                                    <w:top w:val="single" w:sz="2" w:space="0" w:color="CAC8C3"/>
                                    <w:left w:val="single" w:sz="4" w:space="0" w:color="101010"/>
                                    <w:bottom w:val="single" w:sz="2" w:space="0" w:color="CAC8C3"/>
                                    <w:right w:val="single" w:sz="4" w:space="0" w:color="1F1F1E"/>
                                  </w:tcBorders>
                                  <w:shd w:val="clear" w:color="auto" w:fill="E9E7E4"/>
                                  <w:vAlign w:val="center"/>
                                </w:tcPr>
                                <w:p w14:paraId="07B2575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Diesel and petrol engine driven generators </w:t>
                                  </w:r>
                                </w:p>
                              </w:tc>
                              <w:tc>
                                <w:tcPr>
                                  <w:tcW w:w="2682" w:type="dxa"/>
                                  <w:tcBorders>
                                    <w:top w:val="single" w:sz="2" w:space="0" w:color="CAC8C3"/>
                                    <w:left w:val="single" w:sz="4" w:space="0" w:color="1F1F1E"/>
                                    <w:bottom w:val="single" w:sz="2" w:space="0" w:color="CAC8C3"/>
                                    <w:right w:val="single" w:sz="4" w:space="0" w:color="101010"/>
                                  </w:tcBorders>
                                  <w:shd w:val="clear" w:color="auto" w:fill="E9E7E4"/>
                                  <w:vAlign w:val="center"/>
                                </w:tcPr>
                                <w:p w14:paraId="5FCCA2A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Butane </w:t>
                                  </w:r>
                                </w:p>
                              </w:tc>
                            </w:tr>
                            <w:tr w:rsidR="00541A14" w14:paraId="4B74EA81" w14:textId="77777777">
                              <w:trPr>
                                <w:trHeight w:val="185"/>
                              </w:trPr>
                              <w:tc>
                                <w:tcPr>
                                  <w:tcW w:w="3892" w:type="dxa"/>
                                  <w:tcBorders>
                                    <w:left w:val="single" w:sz="4" w:space="0" w:color="101010"/>
                                    <w:right w:val="single" w:sz="4" w:space="0" w:color="1F1F1E"/>
                                  </w:tcBorders>
                                  <w:shd w:val="clear" w:color="auto" w:fill="CAC8C3"/>
                                  <w:vAlign w:val="center"/>
                                </w:tcPr>
                                <w:p w14:paraId="68D9CD1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Primary cells </w:t>
                                  </w:r>
                                </w:p>
                              </w:tc>
                              <w:tc>
                                <w:tcPr>
                                  <w:tcW w:w="2682" w:type="dxa"/>
                                  <w:tcBorders>
                                    <w:left w:val="single" w:sz="4" w:space="0" w:color="1F1F1E"/>
                                    <w:right w:val="single" w:sz="4" w:space="0" w:color="101010"/>
                                  </w:tcBorders>
                                  <w:shd w:val="clear" w:color="auto" w:fill="CAC8C3"/>
                                  <w:vAlign w:val="center"/>
                                </w:tcPr>
                                <w:p w14:paraId="069CE11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Kerosene </w:t>
                                  </w:r>
                                </w:p>
                              </w:tc>
                            </w:tr>
                            <w:tr w:rsidR="00541A14" w14:paraId="20388B4C" w14:textId="77777777">
                              <w:trPr>
                                <w:trHeight w:val="183"/>
                              </w:trPr>
                              <w:tc>
                                <w:tcPr>
                                  <w:tcW w:w="3892" w:type="dxa"/>
                                  <w:tcBorders>
                                    <w:top w:val="single" w:sz="2" w:space="0" w:color="CAC8C3"/>
                                    <w:left w:val="single" w:sz="4" w:space="0" w:color="101010"/>
                                    <w:bottom w:val="single" w:sz="2" w:space="0" w:color="CAC8C3"/>
                                    <w:right w:val="single" w:sz="4" w:space="0" w:color="1F1F1E"/>
                                  </w:tcBorders>
                                  <w:shd w:val="clear" w:color="auto" w:fill="E9E7E4"/>
                                  <w:vAlign w:val="center"/>
                                </w:tcPr>
                                <w:p w14:paraId="5F552FF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Wind generators </w:t>
                                  </w:r>
                                </w:p>
                              </w:tc>
                              <w:tc>
                                <w:tcPr>
                                  <w:tcW w:w="2682" w:type="dxa"/>
                                  <w:tcBorders>
                                    <w:top w:val="single" w:sz="2" w:space="0" w:color="CAC8C3"/>
                                    <w:left w:val="single" w:sz="4" w:space="0" w:color="1F1F1E"/>
                                    <w:bottom w:val="single" w:sz="2" w:space="0" w:color="CAC8C3"/>
                                    <w:right w:val="single" w:sz="4" w:space="0" w:color="101010"/>
                                  </w:tcBorders>
                                  <w:shd w:val="clear" w:color="auto" w:fill="E9E7E4"/>
                                </w:tcPr>
                                <w:p w14:paraId="621D7C5B" w14:textId="77777777" w:rsidR="00541A14" w:rsidRDefault="00541A14">
                                  <w:pPr>
                                    <w:pStyle w:val="Default"/>
                                    <w:rPr>
                                      <w:rFonts w:cs="Times New Roman"/>
                                      <w:color w:val="auto"/>
                                    </w:rPr>
                                  </w:pPr>
                                </w:p>
                              </w:tc>
                            </w:tr>
                            <w:tr w:rsidR="00541A14" w14:paraId="29579E95" w14:textId="77777777">
                              <w:trPr>
                                <w:trHeight w:val="186"/>
                              </w:trPr>
                              <w:tc>
                                <w:tcPr>
                                  <w:tcW w:w="3892" w:type="dxa"/>
                                  <w:tcBorders>
                                    <w:left w:val="single" w:sz="4" w:space="0" w:color="101010"/>
                                    <w:right w:val="single" w:sz="4" w:space="0" w:color="1F1F1E"/>
                                  </w:tcBorders>
                                  <w:shd w:val="clear" w:color="auto" w:fill="CAC8C3"/>
                                  <w:vAlign w:val="center"/>
                                </w:tcPr>
                                <w:p w14:paraId="3444AD1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Wave activated generators </w:t>
                                  </w:r>
                                </w:p>
                              </w:tc>
                              <w:tc>
                                <w:tcPr>
                                  <w:tcW w:w="2682" w:type="dxa"/>
                                  <w:tcBorders>
                                    <w:left w:val="single" w:sz="4" w:space="0" w:color="1F1F1E"/>
                                    <w:right w:val="single" w:sz="4" w:space="0" w:color="101010"/>
                                  </w:tcBorders>
                                  <w:shd w:val="clear" w:color="auto" w:fill="CAC8C3"/>
                                </w:tcPr>
                                <w:p w14:paraId="49B113F6" w14:textId="77777777" w:rsidR="00541A14" w:rsidRDefault="00541A14">
                                  <w:pPr>
                                    <w:pStyle w:val="Default"/>
                                    <w:rPr>
                                      <w:rFonts w:cs="Times New Roman"/>
                                      <w:color w:val="auto"/>
                                    </w:rPr>
                                  </w:pPr>
                                </w:p>
                              </w:tc>
                            </w:tr>
                            <w:tr w:rsidR="00541A14" w14:paraId="0AA94BA7" w14:textId="77777777">
                              <w:trPr>
                                <w:trHeight w:val="186"/>
                              </w:trPr>
                              <w:tc>
                                <w:tcPr>
                                  <w:tcW w:w="3892" w:type="dxa"/>
                                  <w:tcBorders>
                                    <w:top w:val="single" w:sz="2" w:space="0" w:color="CAC8C3"/>
                                    <w:left w:val="single" w:sz="4" w:space="0" w:color="101010"/>
                                    <w:bottom w:val="single" w:sz="4" w:space="0" w:color="000000"/>
                                    <w:right w:val="single" w:sz="4" w:space="0" w:color="1F1F1E"/>
                                  </w:tcBorders>
                                  <w:shd w:val="clear" w:color="auto" w:fill="E9E7E4"/>
                                  <w:vAlign w:val="center"/>
                                </w:tcPr>
                                <w:p w14:paraId="216B884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Fuel cells using alcohol or hydrogen </w:t>
                                  </w:r>
                                </w:p>
                              </w:tc>
                              <w:tc>
                                <w:tcPr>
                                  <w:tcW w:w="2682" w:type="dxa"/>
                                  <w:tcBorders>
                                    <w:top w:val="single" w:sz="2" w:space="0" w:color="CAC8C3"/>
                                    <w:left w:val="single" w:sz="4" w:space="0" w:color="1F1F1E"/>
                                    <w:bottom w:val="single" w:sz="4" w:space="0" w:color="000000"/>
                                    <w:right w:val="single" w:sz="4" w:space="0" w:color="101010"/>
                                  </w:tcBorders>
                                  <w:shd w:val="clear" w:color="auto" w:fill="E9E7E4"/>
                                </w:tcPr>
                                <w:p w14:paraId="3557F6F1" w14:textId="77777777" w:rsidR="00541A14" w:rsidRDefault="00541A14">
                                  <w:pPr>
                                    <w:pStyle w:val="Default"/>
                                    <w:rPr>
                                      <w:rFonts w:cs="Times New Roman"/>
                                      <w:color w:val="auto"/>
                                    </w:rPr>
                                  </w:pPr>
                                </w:p>
                              </w:tc>
                            </w:tr>
                          </w:tbl>
                          <w:p w14:paraId="416C4D4B"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52" type="#_x0000_t202" style="position:absolute;margin-left:65.1pt;margin-top:270.9pt;width:368.7pt;height:167.5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57"/>
                        <w:gridCol w:w="33"/>
                        <w:gridCol w:w="302"/>
                        <w:gridCol w:w="33"/>
                        <w:gridCol w:w="135"/>
                        <w:gridCol w:w="177"/>
                        <w:gridCol w:w="125"/>
                        <w:gridCol w:w="55"/>
                        <w:gridCol w:w="20"/>
                        <w:gridCol w:w="50"/>
                        <w:gridCol w:w="168"/>
                        <w:gridCol w:w="97"/>
                        <w:gridCol w:w="33"/>
                        <w:gridCol w:w="372"/>
                        <w:gridCol w:w="112"/>
                        <w:gridCol w:w="5"/>
                        <w:gridCol w:w="425"/>
                        <w:gridCol w:w="240"/>
                        <w:gridCol w:w="60"/>
                        <w:gridCol w:w="237"/>
                        <w:gridCol w:w="38"/>
                        <w:gridCol w:w="90"/>
                        <w:gridCol w:w="370"/>
                        <w:gridCol w:w="5"/>
                        <w:gridCol w:w="5"/>
                        <w:gridCol w:w="12"/>
                        <w:gridCol w:w="47"/>
                        <w:gridCol w:w="168"/>
                        <w:gridCol w:w="52"/>
                        <w:gridCol w:w="122"/>
                        <w:gridCol w:w="108"/>
                        <w:gridCol w:w="503"/>
                        <w:gridCol w:w="47"/>
                        <w:gridCol w:w="355"/>
                        <w:gridCol w:w="10"/>
                        <w:gridCol w:w="371"/>
                        <w:gridCol w:w="509"/>
                        <w:gridCol w:w="183"/>
                        <w:gridCol w:w="57"/>
                        <w:gridCol w:w="283"/>
                        <w:gridCol w:w="1892"/>
                        <w:gridCol w:w="77"/>
                        <w:gridCol w:w="15"/>
                        <w:gridCol w:w="8"/>
                      </w:tblGrid>
                      <w:tr w:rsidR="00000000" w14:paraId="450C0DF2" w14:textId="77777777">
                        <w:tblPrEx>
                          <w:tblCellMar>
                            <w:top w:w="0" w:type="dxa"/>
                            <w:bottom w:w="0" w:type="dxa"/>
                          </w:tblCellMar>
                        </w:tblPrEx>
                        <w:trPr>
                          <w:gridAfter w:val="7"/>
                          <w:wAfter w:w="1255" w:type="dxa"/>
                          <w:trHeight w:val="188"/>
                        </w:trPr>
                        <w:tc>
                          <w:tcPr>
                            <w:tcW w:w="3892" w:type="dxa"/>
                            <w:gridSpan w:val="24"/>
                            <w:tcBorders>
                              <w:top w:val="single" w:sz="4" w:space="0" w:color="1C1B1A"/>
                              <w:left w:val="single" w:sz="4" w:space="0" w:color="101010"/>
                              <w:right w:val="single" w:sz="4" w:space="0" w:color="1F1F1E"/>
                            </w:tcBorders>
                            <w:shd w:val="clear" w:color="auto" w:fill="AFAEA4"/>
                            <w:vAlign w:val="center"/>
                          </w:tcPr>
                          <w:p w14:paraId="0728E9D5"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Electric Energy Sources </w:t>
                            </w:r>
                          </w:p>
                        </w:tc>
                        <w:tc>
                          <w:tcPr>
                            <w:tcW w:w="2682" w:type="dxa"/>
                            <w:gridSpan w:val="15"/>
                            <w:tcBorders>
                              <w:top w:val="single" w:sz="4" w:space="0" w:color="1C1B1A"/>
                              <w:left w:val="single" w:sz="4" w:space="0" w:color="1F1F1E"/>
                              <w:right w:val="single" w:sz="4" w:space="0" w:color="101010"/>
                            </w:tcBorders>
                            <w:shd w:val="clear" w:color="auto" w:fill="AFAEA4"/>
                            <w:vAlign w:val="center"/>
                          </w:tcPr>
                          <w:p w14:paraId="479F4AF9"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Non-Electric Energy Sources </w:t>
                            </w:r>
                          </w:p>
                        </w:tc>
                      </w:tr>
                      <w:tr w:rsidR="00000000" w14:paraId="1437BDA0" w14:textId="77777777">
                        <w:tblPrEx>
                          <w:tblCellMar>
                            <w:top w:w="0" w:type="dxa"/>
                            <w:bottom w:w="0" w:type="dxa"/>
                          </w:tblCellMar>
                        </w:tblPrEx>
                        <w:trPr>
                          <w:gridAfter w:val="7"/>
                          <w:wAfter w:w="1255" w:type="dxa"/>
                          <w:trHeight w:val="183"/>
                        </w:trPr>
                        <w:tc>
                          <w:tcPr>
                            <w:tcW w:w="3892" w:type="dxa"/>
                            <w:gridSpan w:val="24"/>
                            <w:tcBorders>
                              <w:top w:val="single" w:sz="2" w:space="0" w:color="AFAEA4"/>
                              <w:left w:val="single" w:sz="4" w:space="0" w:color="101010"/>
                              <w:bottom w:val="single" w:sz="2" w:space="0" w:color="CAC8C3"/>
                              <w:right w:val="single" w:sz="4" w:space="0" w:color="1F1F1E"/>
                            </w:tcBorders>
                            <w:shd w:val="clear" w:color="auto" w:fill="E9E7E4"/>
                            <w:vAlign w:val="center"/>
                          </w:tcPr>
                          <w:p w14:paraId="7A7FCE6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Commercial power supply </w:t>
                            </w:r>
                          </w:p>
                        </w:tc>
                        <w:tc>
                          <w:tcPr>
                            <w:tcW w:w="2682" w:type="dxa"/>
                            <w:gridSpan w:val="15"/>
                            <w:tcBorders>
                              <w:top w:val="single" w:sz="2" w:space="0" w:color="AFAEA4"/>
                              <w:left w:val="single" w:sz="4" w:space="0" w:color="1F1F1E"/>
                              <w:bottom w:val="single" w:sz="2" w:space="0" w:color="CAC8C3"/>
                              <w:right w:val="single" w:sz="4" w:space="0" w:color="101010"/>
                            </w:tcBorders>
                            <w:shd w:val="clear" w:color="auto" w:fill="E9E7E4"/>
                            <w:vAlign w:val="center"/>
                          </w:tcPr>
                          <w:p w14:paraId="141F6A2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Acetylene </w:t>
                            </w:r>
                          </w:p>
                        </w:tc>
                      </w:tr>
                      <w:tr w:rsidR="00000000" w14:paraId="3E8ECF45" w14:textId="77777777">
                        <w:tblPrEx>
                          <w:tblCellMar>
                            <w:top w:w="0" w:type="dxa"/>
                            <w:bottom w:w="0" w:type="dxa"/>
                          </w:tblCellMar>
                        </w:tblPrEx>
                        <w:trPr>
                          <w:gridAfter w:val="7"/>
                          <w:wAfter w:w="1255" w:type="dxa"/>
                          <w:trHeight w:val="186"/>
                        </w:trPr>
                        <w:tc>
                          <w:tcPr>
                            <w:tcW w:w="3892" w:type="dxa"/>
                            <w:gridSpan w:val="24"/>
                            <w:tcBorders>
                              <w:left w:val="single" w:sz="4" w:space="0" w:color="101010"/>
                              <w:right w:val="single" w:sz="4" w:space="0" w:color="1F1F1E"/>
                            </w:tcBorders>
                            <w:shd w:val="clear" w:color="auto" w:fill="CAC8C3"/>
                            <w:vAlign w:val="center"/>
                          </w:tcPr>
                          <w:p w14:paraId="39724EB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Photovoltaic solar modules </w:t>
                            </w:r>
                          </w:p>
                        </w:tc>
                        <w:tc>
                          <w:tcPr>
                            <w:tcW w:w="2682" w:type="dxa"/>
                            <w:gridSpan w:val="15"/>
                            <w:tcBorders>
                              <w:left w:val="single" w:sz="4" w:space="0" w:color="1F1F1E"/>
                              <w:right w:val="single" w:sz="4" w:space="0" w:color="101010"/>
                            </w:tcBorders>
                            <w:shd w:val="clear" w:color="auto" w:fill="CAC8C3"/>
                            <w:vAlign w:val="center"/>
                          </w:tcPr>
                          <w:p w14:paraId="7143513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Propane </w:t>
                            </w:r>
                          </w:p>
                        </w:tc>
                      </w:tr>
                      <w:tr w:rsidR="00000000" w14:paraId="4889C866" w14:textId="77777777">
                        <w:tblPrEx>
                          <w:tblCellMar>
                            <w:top w:w="0" w:type="dxa"/>
                            <w:bottom w:w="0" w:type="dxa"/>
                          </w:tblCellMar>
                        </w:tblPrEx>
                        <w:trPr>
                          <w:gridAfter w:val="7"/>
                          <w:wAfter w:w="1255" w:type="dxa"/>
                          <w:trHeight w:val="183"/>
                        </w:trPr>
                        <w:tc>
                          <w:tcPr>
                            <w:tcW w:w="3892" w:type="dxa"/>
                            <w:gridSpan w:val="24"/>
                            <w:tcBorders>
                              <w:top w:val="single" w:sz="2" w:space="0" w:color="CAC8C3"/>
                              <w:left w:val="single" w:sz="4" w:space="0" w:color="101010"/>
                              <w:bottom w:val="single" w:sz="2" w:space="0" w:color="CAC8C3"/>
                              <w:right w:val="single" w:sz="4" w:space="0" w:color="1F1F1E"/>
                            </w:tcBorders>
                            <w:shd w:val="clear" w:color="auto" w:fill="E9E7E4"/>
                            <w:vAlign w:val="center"/>
                          </w:tcPr>
                          <w:p w14:paraId="07B2575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Diesel and petrol engine driven generators </w:t>
                            </w:r>
                          </w:p>
                        </w:tc>
                        <w:tc>
                          <w:tcPr>
                            <w:tcW w:w="2682" w:type="dxa"/>
                            <w:gridSpan w:val="15"/>
                            <w:tcBorders>
                              <w:top w:val="single" w:sz="2" w:space="0" w:color="CAC8C3"/>
                              <w:left w:val="single" w:sz="4" w:space="0" w:color="1F1F1E"/>
                              <w:bottom w:val="single" w:sz="2" w:space="0" w:color="CAC8C3"/>
                              <w:right w:val="single" w:sz="4" w:space="0" w:color="101010"/>
                            </w:tcBorders>
                            <w:shd w:val="clear" w:color="auto" w:fill="E9E7E4"/>
                            <w:vAlign w:val="center"/>
                          </w:tcPr>
                          <w:p w14:paraId="5FCCA2A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Butane </w:t>
                            </w:r>
                          </w:p>
                        </w:tc>
                      </w:tr>
                      <w:tr w:rsidR="00000000" w14:paraId="4B74EA81" w14:textId="77777777">
                        <w:tblPrEx>
                          <w:tblCellMar>
                            <w:top w:w="0" w:type="dxa"/>
                            <w:bottom w:w="0" w:type="dxa"/>
                          </w:tblCellMar>
                        </w:tblPrEx>
                        <w:trPr>
                          <w:gridAfter w:val="7"/>
                          <w:wAfter w:w="1255" w:type="dxa"/>
                          <w:trHeight w:val="185"/>
                        </w:trPr>
                        <w:tc>
                          <w:tcPr>
                            <w:tcW w:w="3892" w:type="dxa"/>
                            <w:gridSpan w:val="24"/>
                            <w:tcBorders>
                              <w:left w:val="single" w:sz="4" w:space="0" w:color="101010"/>
                              <w:right w:val="single" w:sz="4" w:space="0" w:color="1F1F1E"/>
                            </w:tcBorders>
                            <w:shd w:val="clear" w:color="auto" w:fill="CAC8C3"/>
                            <w:vAlign w:val="center"/>
                          </w:tcPr>
                          <w:p w14:paraId="68D9CD1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Primary cells </w:t>
                            </w:r>
                          </w:p>
                        </w:tc>
                        <w:tc>
                          <w:tcPr>
                            <w:tcW w:w="2682" w:type="dxa"/>
                            <w:gridSpan w:val="15"/>
                            <w:tcBorders>
                              <w:left w:val="single" w:sz="4" w:space="0" w:color="1F1F1E"/>
                              <w:right w:val="single" w:sz="4" w:space="0" w:color="101010"/>
                            </w:tcBorders>
                            <w:shd w:val="clear" w:color="auto" w:fill="CAC8C3"/>
                            <w:vAlign w:val="center"/>
                          </w:tcPr>
                          <w:p w14:paraId="069CE11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Kerosene </w:t>
                            </w:r>
                          </w:p>
                        </w:tc>
                      </w:tr>
                      <w:tr w:rsidR="00000000" w14:paraId="20388B4C" w14:textId="77777777">
                        <w:tblPrEx>
                          <w:tblCellMar>
                            <w:top w:w="0" w:type="dxa"/>
                            <w:bottom w:w="0" w:type="dxa"/>
                          </w:tblCellMar>
                        </w:tblPrEx>
                        <w:trPr>
                          <w:gridAfter w:val="7"/>
                          <w:wAfter w:w="1255" w:type="dxa"/>
                          <w:trHeight w:val="183"/>
                        </w:trPr>
                        <w:tc>
                          <w:tcPr>
                            <w:tcW w:w="3892" w:type="dxa"/>
                            <w:gridSpan w:val="24"/>
                            <w:tcBorders>
                              <w:top w:val="single" w:sz="2" w:space="0" w:color="CAC8C3"/>
                              <w:left w:val="single" w:sz="4" w:space="0" w:color="101010"/>
                              <w:bottom w:val="single" w:sz="2" w:space="0" w:color="CAC8C3"/>
                              <w:right w:val="single" w:sz="4" w:space="0" w:color="1F1F1E"/>
                            </w:tcBorders>
                            <w:shd w:val="clear" w:color="auto" w:fill="E9E7E4"/>
                            <w:vAlign w:val="center"/>
                          </w:tcPr>
                          <w:p w14:paraId="5F552FF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Wind generators </w:t>
                            </w:r>
                          </w:p>
                        </w:tc>
                        <w:tc>
                          <w:tcPr>
                            <w:tcW w:w="2682" w:type="dxa"/>
                            <w:gridSpan w:val="15"/>
                            <w:tcBorders>
                              <w:top w:val="single" w:sz="2" w:space="0" w:color="CAC8C3"/>
                              <w:left w:val="single" w:sz="4" w:space="0" w:color="1F1F1E"/>
                              <w:bottom w:val="single" w:sz="2" w:space="0" w:color="CAC8C3"/>
                              <w:right w:val="single" w:sz="4" w:space="0" w:color="101010"/>
                            </w:tcBorders>
                            <w:shd w:val="clear" w:color="auto" w:fill="E9E7E4"/>
                          </w:tcPr>
                          <w:p w14:paraId="621D7C5B" w14:textId="77777777" w:rsidR="00000000" w:rsidRDefault="00A450E1">
                            <w:pPr>
                              <w:pStyle w:val="Default"/>
                              <w:rPr>
                                <w:rFonts w:cs="Times New Roman"/>
                                <w:color w:val="auto"/>
                              </w:rPr>
                            </w:pPr>
                          </w:p>
                        </w:tc>
                      </w:tr>
                      <w:tr w:rsidR="00000000" w14:paraId="29579E95" w14:textId="77777777">
                        <w:tblPrEx>
                          <w:tblCellMar>
                            <w:top w:w="0" w:type="dxa"/>
                            <w:bottom w:w="0" w:type="dxa"/>
                          </w:tblCellMar>
                        </w:tblPrEx>
                        <w:trPr>
                          <w:gridAfter w:val="7"/>
                          <w:wAfter w:w="1255" w:type="dxa"/>
                          <w:trHeight w:val="186"/>
                        </w:trPr>
                        <w:tc>
                          <w:tcPr>
                            <w:tcW w:w="3892" w:type="dxa"/>
                            <w:gridSpan w:val="24"/>
                            <w:tcBorders>
                              <w:left w:val="single" w:sz="4" w:space="0" w:color="101010"/>
                              <w:right w:val="single" w:sz="4" w:space="0" w:color="1F1F1E"/>
                            </w:tcBorders>
                            <w:shd w:val="clear" w:color="auto" w:fill="CAC8C3"/>
                            <w:vAlign w:val="center"/>
                          </w:tcPr>
                          <w:p w14:paraId="3444AD1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Wave activated generators </w:t>
                            </w:r>
                          </w:p>
                        </w:tc>
                        <w:tc>
                          <w:tcPr>
                            <w:tcW w:w="2682" w:type="dxa"/>
                            <w:gridSpan w:val="15"/>
                            <w:tcBorders>
                              <w:left w:val="single" w:sz="4" w:space="0" w:color="1F1F1E"/>
                              <w:right w:val="single" w:sz="4" w:space="0" w:color="101010"/>
                            </w:tcBorders>
                            <w:shd w:val="clear" w:color="auto" w:fill="CAC8C3"/>
                          </w:tcPr>
                          <w:p w14:paraId="49B113F6" w14:textId="77777777" w:rsidR="00000000" w:rsidRDefault="00A450E1">
                            <w:pPr>
                              <w:pStyle w:val="Default"/>
                              <w:rPr>
                                <w:rFonts w:cs="Times New Roman"/>
                                <w:color w:val="auto"/>
                              </w:rPr>
                            </w:pPr>
                          </w:p>
                        </w:tc>
                      </w:tr>
                      <w:tr w:rsidR="00000000" w14:paraId="0AA94BA7" w14:textId="77777777">
                        <w:tblPrEx>
                          <w:tblCellMar>
                            <w:top w:w="0" w:type="dxa"/>
                            <w:bottom w:w="0" w:type="dxa"/>
                          </w:tblCellMar>
                        </w:tblPrEx>
                        <w:trPr>
                          <w:gridAfter w:val="7"/>
                          <w:wAfter w:w="1255" w:type="dxa"/>
                          <w:trHeight w:val="186"/>
                        </w:trPr>
                        <w:tc>
                          <w:tcPr>
                            <w:tcW w:w="3892" w:type="dxa"/>
                            <w:gridSpan w:val="24"/>
                            <w:tcBorders>
                              <w:top w:val="single" w:sz="2" w:space="0" w:color="CAC8C3"/>
                              <w:left w:val="single" w:sz="4" w:space="0" w:color="101010"/>
                              <w:bottom w:val="single" w:sz="4" w:space="0" w:color="000000"/>
                              <w:right w:val="single" w:sz="4" w:space="0" w:color="1F1F1E"/>
                            </w:tcBorders>
                            <w:shd w:val="clear" w:color="auto" w:fill="E9E7E4"/>
                            <w:vAlign w:val="center"/>
                          </w:tcPr>
                          <w:p w14:paraId="216B884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Fuel cells using alcohol or hydrogen </w:t>
                            </w:r>
                          </w:p>
                        </w:tc>
                        <w:tc>
                          <w:tcPr>
                            <w:tcW w:w="2682" w:type="dxa"/>
                            <w:gridSpan w:val="15"/>
                            <w:tcBorders>
                              <w:top w:val="single" w:sz="2" w:space="0" w:color="CAC8C3"/>
                              <w:left w:val="single" w:sz="4" w:space="0" w:color="1F1F1E"/>
                              <w:bottom w:val="single" w:sz="4" w:space="0" w:color="000000"/>
                              <w:right w:val="single" w:sz="4" w:space="0" w:color="101010"/>
                            </w:tcBorders>
                            <w:shd w:val="clear" w:color="auto" w:fill="E9E7E4"/>
                          </w:tcPr>
                          <w:p w14:paraId="3557F6F1" w14:textId="77777777" w:rsidR="00000000" w:rsidRDefault="00A450E1">
                            <w:pPr>
                              <w:pStyle w:val="Default"/>
                              <w:rPr>
                                <w:rFonts w:cs="Times New Roman"/>
                                <w:color w:val="auto"/>
                              </w:rPr>
                            </w:pPr>
                          </w:p>
                        </w:tc>
                      </w:tr>
                    </w:tbl>
                  </w:txbxContent>
                </v:textbox>
                <w10:wrap type="through" anchorx="page" anchory="page"/>
              </v:shape>
            </w:pict>
          </mc:Fallback>
        </mc:AlternateContent>
      </w:r>
    </w:p>
    <w:p w14:paraId="21D257CC" w14:textId="77777777" w:rsidR="00541A14" w:rsidRDefault="00A450E1">
      <w:pPr>
        <w:pStyle w:val="CM176"/>
        <w:pageBreakBefore/>
        <w:spacing w:after="1320"/>
        <w:rPr>
          <w:rFonts w:ascii="Futura Book" w:hAnsi="Futura Book" w:cs="Futura Book"/>
          <w:color w:val="FFFFFF"/>
          <w:sz w:val="32"/>
          <w:szCs w:val="32"/>
        </w:rPr>
      </w:pPr>
      <w:r>
        <w:rPr>
          <w:rFonts w:ascii="Futura Book" w:hAnsi="Futura Book" w:cs="Futura Book"/>
          <w:b/>
          <w:bCs/>
          <w:color w:val="FFFFFF"/>
          <w:sz w:val="64"/>
          <w:szCs w:val="64"/>
        </w:rPr>
        <w:t xml:space="preserve">7 </w:t>
      </w:r>
      <w:r>
        <w:rPr>
          <w:rFonts w:ascii="Futura Book" w:hAnsi="Futura Book" w:cs="Futura Book"/>
          <w:b/>
          <w:bCs/>
          <w:color w:val="FFFFFF"/>
          <w:sz w:val="32"/>
          <w:szCs w:val="32"/>
        </w:rPr>
        <w:t xml:space="preserve">Power Supplies </w:t>
      </w:r>
    </w:p>
    <w:p w14:paraId="1D7F01C8" w14:textId="77777777" w:rsidR="00541A14" w:rsidRDefault="00A450E1">
      <w:pPr>
        <w:pStyle w:val="CM173"/>
        <w:spacing w:after="340"/>
        <w:jc w:val="both"/>
        <w:rPr>
          <w:rFonts w:ascii="Futura Book" w:hAnsi="Futura Book" w:cs="Futura Book"/>
          <w:color w:val="2C5062"/>
          <w:sz w:val="28"/>
          <w:szCs w:val="28"/>
        </w:rPr>
      </w:pPr>
      <w:r>
        <w:rPr>
          <w:rFonts w:ascii="Futura Book" w:hAnsi="Futura Book" w:cs="Futura Book"/>
          <w:b/>
          <w:bCs/>
          <w:color w:val="2C5062"/>
          <w:sz w:val="28"/>
          <w:szCs w:val="28"/>
        </w:rPr>
        <w:t xml:space="preserve">7.2 Electric - Renewable Energy Sources </w:t>
      </w:r>
    </w:p>
    <w:p w14:paraId="2C7412E0"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7.2.1 Solar Power (Photovoltaic cell) </w:t>
      </w:r>
    </w:p>
    <w:p w14:paraId="7C04DE35"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sz w:val="20"/>
          <w:szCs w:val="20"/>
        </w:rPr>
        <w:t xml:space="preserve">Solar power is an ideal power source for many aids to navigation applications. It offers: </w:t>
      </w:r>
    </w:p>
    <w:p w14:paraId="61CD985B" w14:textId="77777777" w:rsidR="00541A14" w:rsidRDefault="00A450E1">
      <w:pPr>
        <w:pStyle w:val="Default"/>
        <w:numPr>
          <w:ilvl w:val="0"/>
          <w:numId w:val="139"/>
        </w:numPr>
        <w:rPr>
          <w:rFonts w:ascii="Palatino" w:hAnsi="Palatino" w:cs="Palatino"/>
          <w:sz w:val="20"/>
          <w:szCs w:val="20"/>
        </w:rPr>
      </w:pPr>
      <w:r>
        <w:rPr>
          <w:rFonts w:ascii="Palatino" w:hAnsi="Palatino" w:cs="Palatino"/>
          <w:sz w:val="20"/>
          <w:szCs w:val="20"/>
        </w:rPr>
        <w:t xml:space="preserve">a power source with no moving parts; </w:t>
      </w:r>
    </w:p>
    <w:p w14:paraId="275AB3B3" w14:textId="77777777" w:rsidR="00541A14" w:rsidRDefault="00A450E1">
      <w:pPr>
        <w:pStyle w:val="Default"/>
        <w:numPr>
          <w:ilvl w:val="0"/>
          <w:numId w:val="139"/>
        </w:numPr>
        <w:rPr>
          <w:rFonts w:ascii="Palatino" w:hAnsi="Palatino" w:cs="Palatino"/>
          <w:sz w:val="20"/>
          <w:szCs w:val="20"/>
        </w:rPr>
      </w:pPr>
      <w:r>
        <w:rPr>
          <w:rFonts w:ascii="Palatino" w:hAnsi="Palatino" w:cs="Palatino"/>
          <w:sz w:val="20"/>
          <w:szCs w:val="20"/>
        </w:rPr>
        <w:t xml:space="preserve">no maintenance requirements other than being cleaned; </w:t>
      </w:r>
    </w:p>
    <w:p w14:paraId="5DACAF4B" w14:textId="77777777" w:rsidR="00541A14" w:rsidRDefault="00A450E1">
      <w:pPr>
        <w:pStyle w:val="Default"/>
        <w:numPr>
          <w:ilvl w:val="0"/>
          <w:numId w:val="139"/>
        </w:numPr>
        <w:rPr>
          <w:rFonts w:ascii="Palatino" w:hAnsi="Palatino" w:cs="Palatino"/>
          <w:sz w:val="20"/>
          <w:szCs w:val="20"/>
        </w:rPr>
      </w:pPr>
      <w:r>
        <w:rPr>
          <w:rFonts w:ascii="Palatino" w:hAnsi="Palatino" w:cs="Palatino"/>
          <w:sz w:val="20"/>
          <w:szCs w:val="20"/>
        </w:rPr>
        <w:t xml:space="preserve">negligible deterioration in power output over its life; and </w:t>
      </w:r>
    </w:p>
    <w:p w14:paraId="44CDC536" w14:textId="77777777" w:rsidR="00541A14" w:rsidRDefault="00A450E1">
      <w:pPr>
        <w:pStyle w:val="Default"/>
        <w:numPr>
          <w:ilvl w:val="0"/>
          <w:numId w:val="139"/>
        </w:numPr>
        <w:rPr>
          <w:rFonts w:ascii="Palatino" w:hAnsi="Palatino" w:cs="Palatino"/>
          <w:sz w:val="20"/>
          <w:szCs w:val="20"/>
        </w:rPr>
      </w:pPr>
      <w:r>
        <w:rPr>
          <w:rFonts w:ascii="Palatino" w:hAnsi="Palatino" w:cs="Palatino"/>
          <w:sz w:val="20"/>
          <w:szCs w:val="20"/>
        </w:rPr>
        <w:t xml:space="preserve">low life-cycle costs. </w:t>
      </w:r>
    </w:p>
    <w:p w14:paraId="251370DA" w14:textId="77777777" w:rsidR="00541A14" w:rsidRDefault="00541A14">
      <w:pPr>
        <w:pStyle w:val="Default"/>
        <w:rPr>
          <w:rFonts w:ascii="Palatino" w:hAnsi="Palatino" w:cs="Palatino"/>
          <w:sz w:val="20"/>
          <w:szCs w:val="20"/>
        </w:rPr>
      </w:pPr>
    </w:p>
    <w:p w14:paraId="75DD1290" w14:textId="77777777" w:rsidR="00541A14" w:rsidRDefault="00A450E1">
      <w:pPr>
        <w:pStyle w:val="CM197"/>
        <w:spacing w:after="390" w:line="296" w:lineRule="atLeast"/>
        <w:jc w:val="both"/>
        <w:rPr>
          <w:rFonts w:ascii="Palatino" w:hAnsi="Palatino" w:cs="Palatino"/>
          <w:color w:val="000000"/>
          <w:sz w:val="20"/>
          <w:szCs w:val="20"/>
        </w:rPr>
      </w:pPr>
      <w:r>
        <w:rPr>
          <w:rFonts w:ascii="Palatino" w:hAnsi="Palatino" w:cs="Palatino"/>
          <w:color w:val="000000"/>
          <w:sz w:val="20"/>
          <w:szCs w:val="20"/>
        </w:rPr>
        <w:t xml:space="preserve">When used to power a light, the battery recharging process is separated from the operation of the light so that the recharge voltage can be optimized without detriment to lamp life. </w:t>
      </w:r>
    </w:p>
    <w:p w14:paraId="3D1E276F" w14:textId="77777777" w:rsidR="00541A14" w:rsidRDefault="00A450E1">
      <w:pPr>
        <w:pStyle w:val="CM165"/>
        <w:spacing w:after="85"/>
        <w:jc w:val="both"/>
        <w:rPr>
          <w:rFonts w:ascii="Palatino" w:hAnsi="Palatino" w:cs="Palatino"/>
          <w:color w:val="000000"/>
          <w:sz w:val="20"/>
          <w:szCs w:val="20"/>
        </w:rPr>
      </w:pPr>
      <w:r>
        <w:rPr>
          <w:rFonts w:ascii="Palatino" w:hAnsi="Palatino" w:cs="Palatino"/>
          <w:i/>
          <w:iCs/>
          <w:color w:val="000000"/>
          <w:sz w:val="20"/>
          <w:szCs w:val="20"/>
        </w:rPr>
        <w:t xml:space="preserve">The potential difficulties associated with </w:t>
      </w:r>
      <w:r>
        <w:rPr>
          <w:rFonts w:ascii="Palatino" w:hAnsi="Palatino" w:cs="Palatino"/>
          <w:b/>
          <w:bCs/>
          <w:i/>
          <w:iCs/>
          <w:color w:val="000000"/>
          <w:sz w:val="20"/>
          <w:szCs w:val="20"/>
        </w:rPr>
        <w:t>solar power</w:t>
      </w:r>
      <w:r>
        <w:rPr>
          <w:rFonts w:ascii="Palatino" w:hAnsi="Palatino" w:cs="Palatino"/>
          <w:i/>
          <w:iCs/>
          <w:color w:val="000000"/>
          <w:sz w:val="20"/>
          <w:szCs w:val="20"/>
        </w:rPr>
        <w:t xml:space="preserve"> are: </w:t>
      </w:r>
    </w:p>
    <w:p w14:paraId="48DB9063" w14:textId="77777777" w:rsidR="00541A14" w:rsidRDefault="00A450E1">
      <w:pPr>
        <w:pStyle w:val="Default"/>
        <w:numPr>
          <w:ilvl w:val="0"/>
          <w:numId w:val="140"/>
        </w:numPr>
        <w:rPr>
          <w:rFonts w:ascii="Palatino" w:hAnsi="Palatino" w:cs="Palatino"/>
          <w:sz w:val="20"/>
          <w:szCs w:val="20"/>
        </w:rPr>
      </w:pPr>
      <w:r>
        <w:rPr>
          <w:rFonts w:ascii="Palatino" w:hAnsi="Palatino" w:cs="Palatino"/>
          <w:i/>
          <w:iCs/>
          <w:sz w:val="20"/>
          <w:szCs w:val="20"/>
        </w:rPr>
        <w:t xml:space="preserve">finding ways to minimise bird fouling; </w:t>
      </w:r>
    </w:p>
    <w:p w14:paraId="2A3EEF3F" w14:textId="77777777" w:rsidR="00541A14" w:rsidRDefault="00A450E1">
      <w:pPr>
        <w:pStyle w:val="Default"/>
        <w:numPr>
          <w:ilvl w:val="0"/>
          <w:numId w:val="140"/>
        </w:numPr>
        <w:rPr>
          <w:rFonts w:ascii="Palatino" w:hAnsi="Palatino" w:cs="Palatino"/>
          <w:sz w:val="20"/>
          <w:szCs w:val="20"/>
        </w:rPr>
      </w:pPr>
      <w:r>
        <w:rPr>
          <w:rFonts w:ascii="Palatino" w:hAnsi="Palatino" w:cs="Palatino"/>
          <w:i/>
          <w:iCs/>
          <w:sz w:val="20"/>
          <w:szCs w:val="20"/>
        </w:rPr>
        <w:t>mounting solar modules vertically is probably the best long-</w:t>
      </w:r>
    </w:p>
    <w:p w14:paraId="4B6D1017" w14:textId="77777777" w:rsidR="00541A14" w:rsidRDefault="00541A14">
      <w:pPr>
        <w:pStyle w:val="Default"/>
        <w:rPr>
          <w:rFonts w:ascii="Palatino" w:hAnsi="Palatino" w:cs="Palatino"/>
          <w:sz w:val="20"/>
          <w:szCs w:val="20"/>
        </w:rPr>
      </w:pPr>
    </w:p>
    <w:p w14:paraId="320F11C8" w14:textId="77777777" w:rsidR="00541A14" w:rsidRDefault="00A450E1">
      <w:pPr>
        <w:pStyle w:val="CM165"/>
        <w:spacing w:after="85"/>
        <w:ind w:left="310"/>
        <w:jc w:val="both"/>
        <w:rPr>
          <w:rFonts w:ascii="Palatino" w:hAnsi="Palatino" w:cs="Palatino"/>
          <w:color w:val="000000"/>
          <w:sz w:val="20"/>
          <w:szCs w:val="20"/>
        </w:rPr>
      </w:pPr>
      <w:r>
        <w:rPr>
          <w:rFonts w:ascii="Palatino" w:hAnsi="Palatino" w:cs="Palatino"/>
          <w:i/>
          <w:iCs/>
          <w:color w:val="000000"/>
          <w:sz w:val="20"/>
          <w:szCs w:val="20"/>
        </w:rPr>
        <w:t xml:space="preserve">term solution for buoys; </w:t>
      </w:r>
    </w:p>
    <w:p w14:paraId="0729EDD1" w14:textId="77777777" w:rsidR="00541A14" w:rsidRDefault="00A450E1">
      <w:pPr>
        <w:pStyle w:val="Default"/>
        <w:numPr>
          <w:ilvl w:val="0"/>
          <w:numId w:val="141"/>
        </w:numPr>
        <w:rPr>
          <w:rFonts w:ascii="Palatino" w:hAnsi="Palatino" w:cs="Palatino"/>
          <w:sz w:val="20"/>
          <w:szCs w:val="20"/>
        </w:rPr>
      </w:pPr>
      <w:r>
        <w:rPr>
          <w:rFonts w:ascii="Palatino" w:hAnsi="Palatino" w:cs="Palatino"/>
          <w:i/>
          <w:iCs/>
          <w:sz w:val="20"/>
          <w:szCs w:val="20"/>
        </w:rPr>
        <w:t xml:space="preserve">sizing arrays to operate at high latitudes; </w:t>
      </w:r>
    </w:p>
    <w:p w14:paraId="6E951B54" w14:textId="77777777" w:rsidR="00541A14" w:rsidRDefault="00A450E1">
      <w:pPr>
        <w:pStyle w:val="Default"/>
        <w:numPr>
          <w:ilvl w:val="0"/>
          <w:numId w:val="141"/>
        </w:numPr>
        <w:rPr>
          <w:rFonts w:ascii="Palatino" w:hAnsi="Palatino" w:cs="Palatino"/>
          <w:sz w:val="20"/>
          <w:szCs w:val="20"/>
        </w:rPr>
      </w:pPr>
      <w:r>
        <w:rPr>
          <w:rFonts w:ascii="Palatino" w:hAnsi="Palatino" w:cs="Palatino"/>
          <w:i/>
          <w:iCs/>
          <w:sz w:val="20"/>
          <w:szCs w:val="20"/>
        </w:rPr>
        <w:t xml:space="preserve">• protecting solar modules from: </w:t>
      </w:r>
    </w:p>
    <w:p w14:paraId="69464C64" w14:textId="77777777" w:rsidR="00541A14" w:rsidRDefault="00A450E1">
      <w:pPr>
        <w:pStyle w:val="Default"/>
        <w:numPr>
          <w:ilvl w:val="2"/>
          <w:numId w:val="141"/>
        </w:numPr>
        <w:ind w:left="360"/>
        <w:rPr>
          <w:rFonts w:ascii="Palatino" w:hAnsi="Palatino" w:cs="Palatino"/>
          <w:sz w:val="20"/>
          <w:szCs w:val="20"/>
        </w:rPr>
      </w:pPr>
      <w:r>
        <w:rPr>
          <w:rFonts w:ascii="Palatino" w:hAnsi="Palatino" w:cs="Palatino"/>
          <w:i/>
          <w:iCs/>
          <w:sz w:val="20"/>
          <w:szCs w:val="20"/>
        </w:rPr>
        <w:t xml:space="preserve">wave damage on buoys; </w:t>
      </w:r>
    </w:p>
    <w:p w14:paraId="48ED814D" w14:textId="77777777" w:rsidR="00541A14" w:rsidRDefault="00A450E1">
      <w:pPr>
        <w:pStyle w:val="Default"/>
        <w:numPr>
          <w:ilvl w:val="2"/>
          <w:numId w:val="141"/>
        </w:numPr>
        <w:ind w:left="360"/>
        <w:rPr>
          <w:rFonts w:ascii="Palatino" w:hAnsi="Palatino" w:cs="Palatino"/>
          <w:sz w:val="20"/>
          <w:szCs w:val="20"/>
        </w:rPr>
      </w:pPr>
      <w:r>
        <w:rPr>
          <w:rFonts w:ascii="Palatino" w:hAnsi="Palatino" w:cs="Palatino"/>
          <w:i/>
          <w:iCs/>
          <w:sz w:val="20"/>
          <w:szCs w:val="20"/>
        </w:rPr>
        <w:t xml:space="preserve">vandalism and theft; and </w:t>
      </w:r>
    </w:p>
    <w:p w14:paraId="5A86532B" w14:textId="77777777" w:rsidR="00541A14" w:rsidRDefault="00A450E1">
      <w:pPr>
        <w:pStyle w:val="Default"/>
        <w:numPr>
          <w:ilvl w:val="2"/>
          <w:numId w:val="141"/>
        </w:numPr>
        <w:ind w:left="360"/>
        <w:rPr>
          <w:rFonts w:ascii="Palatino" w:hAnsi="Palatino" w:cs="Palatino"/>
          <w:sz w:val="20"/>
          <w:szCs w:val="20"/>
        </w:rPr>
      </w:pPr>
      <w:r>
        <w:rPr>
          <w:rFonts w:ascii="Palatino" w:hAnsi="Palatino" w:cs="Palatino"/>
          <w:i/>
          <w:iCs/>
          <w:sz w:val="20"/>
          <w:szCs w:val="20"/>
        </w:rPr>
        <w:t xml:space="preserve">lightning. </w:t>
      </w:r>
    </w:p>
    <w:p w14:paraId="6E317D8C" w14:textId="77777777" w:rsidR="00541A14" w:rsidRDefault="00541A14">
      <w:pPr>
        <w:pStyle w:val="Default"/>
        <w:rPr>
          <w:rFonts w:ascii="Palatino" w:hAnsi="Palatino" w:cs="Palatino"/>
          <w:sz w:val="20"/>
          <w:szCs w:val="20"/>
        </w:rPr>
      </w:pPr>
    </w:p>
    <w:p w14:paraId="7BAA5765" w14:textId="77777777" w:rsidR="00541A14" w:rsidRDefault="00A450E1">
      <w:pPr>
        <w:pStyle w:val="CM172"/>
        <w:spacing w:after="202" w:line="286" w:lineRule="atLeast"/>
        <w:ind w:right="197"/>
        <w:jc w:val="both"/>
        <w:rPr>
          <w:rFonts w:ascii="Palatino" w:hAnsi="Palatino" w:cs="Palatino"/>
          <w:color w:val="000000"/>
          <w:sz w:val="20"/>
          <w:szCs w:val="20"/>
        </w:rPr>
      </w:pPr>
      <w:r>
        <w:rPr>
          <w:rFonts w:ascii="Palatino" w:hAnsi="Palatino" w:cs="Palatino"/>
          <w:i/>
          <w:iCs/>
          <w:color w:val="000000"/>
          <w:sz w:val="20"/>
          <w:szCs w:val="20"/>
        </w:rPr>
        <w:t xml:space="preserve">Aids to navigation exposed to icing conditions are perhaps the only applications unsuited to the use of solar modules. </w:t>
      </w:r>
    </w:p>
    <w:p w14:paraId="50E7C17D" w14:textId="77777777" w:rsidR="00541A14" w:rsidRDefault="00A450E1">
      <w:pPr>
        <w:pStyle w:val="CM174"/>
        <w:spacing w:after="437" w:line="216" w:lineRule="atLeast"/>
        <w:ind w:left="2367"/>
        <w:jc w:val="both"/>
        <w:rPr>
          <w:rFonts w:ascii="Palatino" w:hAnsi="Palatino" w:cs="Palatino"/>
          <w:color w:val="000000"/>
          <w:sz w:val="18"/>
          <w:szCs w:val="18"/>
        </w:rPr>
      </w:pPr>
      <w:r>
        <w:rPr>
          <w:rFonts w:ascii="Palatino" w:hAnsi="Palatino" w:cs="Palatino"/>
          <w:i/>
          <w:iCs/>
          <w:color w:val="000000"/>
          <w:sz w:val="18"/>
          <w:szCs w:val="18"/>
        </w:rPr>
        <w:t xml:space="preserve">Photo courtesy ofAustralian Maritime Safety Authority </w:t>
      </w:r>
    </w:p>
    <w:p w14:paraId="65F6C5BB" w14:textId="77777777" w:rsidR="00541A14" w:rsidRDefault="00DD420F">
      <w:pPr>
        <w:pStyle w:val="Default"/>
        <w:framePr w:w="4104" w:wrap="auto" w:vAnchor="page" w:hAnchor="page" w:x="7169" w:y="5841"/>
        <w:spacing w:after="440"/>
        <w:rPr>
          <w:rFonts w:ascii="Palatino" w:hAnsi="Palatino" w:cs="Palatino"/>
          <w:sz w:val="18"/>
          <w:szCs w:val="18"/>
        </w:rPr>
      </w:pPr>
      <w:r>
        <w:rPr>
          <w:rFonts w:ascii="Palatino" w:hAnsi="Palatino" w:cs="Palatino"/>
          <w:noProof/>
          <w:sz w:val="18"/>
          <w:szCs w:val="18"/>
        </w:rPr>
        <w:drawing>
          <wp:inline distT="0" distB="0" distL="0" distR="0" wp14:anchorId="0B463707" wp14:editId="1FB9AF8F">
            <wp:extent cx="2106930" cy="2731770"/>
            <wp:effectExtent l="0" t="0" r="1270" b="1143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106930" cy="2731770"/>
                    </a:xfrm>
                    <a:prstGeom prst="rect">
                      <a:avLst/>
                    </a:prstGeom>
                    <a:noFill/>
                    <a:ln>
                      <a:noFill/>
                    </a:ln>
                  </pic:spPr>
                </pic:pic>
              </a:graphicData>
            </a:graphic>
          </wp:inline>
        </w:drawing>
      </w:r>
    </w:p>
    <w:p w14:paraId="470C714C" w14:textId="77777777" w:rsidR="00541A14" w:rsidRDefault="00A450E1">
      <w:pPr>
        <w:pStyle w:val="CM165"/>
        <w:spacing w:after="85" w:line="296"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Types </w:t>
      </w:r>
    </w:p>
    <w:p w14:paraId="43634CB2"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The three common technologies employed in the manufacture of silicon based, solar modules are listed in Table 24. </w:t>
      </w:r>
    </w:p>
    <w:p w14:paraId="53822B92" w14:textId="77777777" w:rsidR="00541A14" w:rsidRDefault="00A450E1">
      <w:pPr>
        <w:pStyle w:val="CM172"/>
        <w:spacing w:after="202" w:line="296" w:lineRule="atLeast"/>
        <w:jc w:val="both"/>
        <w:rPr>
          <w:rFonts w:ascii="Palatino" w:hAnsi="Palatino" w:cs="Palatino"/>
          <w:color w:val="000000"/>
          <w:sz w:val="20"/>
          <w:szCs w:val="20"/>
        </w:rPr>
      </w:pPr>
      <w:r>
        <w:rPr>
          <w:rFonts w:ascii="Palatino" w:hAnsi="Palatino" w:cs="Palatino"/>
          <w:b/>
          <w:bCs/>
          <w:color w:val="000000"/>
          <w:sz w:val="20"/>
          <w:szCs w:val="20"/>
        </w:rPr>
        <w:t xml:space="preserve">table 24 – silicon solar cell technology </w:t>
      </w:r>
    </w:p>
    <w:p w14:paraId="43CE50E3"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85888" behindDoc="0" locked="0" layoutInCell="0" allowOverlap="1" wp14:anchorId="3190B447" wp14:editId="1760CB88">
                <wp:simplePos x="0" y="0"/>
                <wp:positionH relativeFrom="page">
                  <wp:posOffset>826770</wp:posOffset>
                </wp:positionH>
                <wp:positionV relativeFrom="page">
                  <wp:posOffset>7498715</wp:posOffset>
                </wp:positionV>
                <wp:extent cx="6266815" cy="2701925"/>
                <wp:effectExtent l="0" t="0" r="0" b="0"/>
                <wp:wrapThrough wrapText="bothSides">
                  <wp:wrapPolygon edited="0">
                    <wp:start x="0" y="0"/>
                    <wp:lineTo x="21600" y="0"/>
                    <wp:lineTo x="21600" y="21600"/>
                    <wp:lineTo x="0" y="21600"/>
                    <wp:lineTo x="0" y="0"/>
                  </wp:wrapPolygon>
                </wp:wrapThrough>
                <wp:docPr id="5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6815" cy="270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892"/>
                              <w:gridCol w:w="7177"/>
                            </w:tblGrid>
                            <w:tr w:rsidR="00541A14" w14:paraId="56C0E35E" w14:textId="77777777">
                              <w:trPr>
                                <w:trHeight w:val="190"/>
                              </w:trPr>
                              <w:tc>
                                <w:tcPr>
                                  <w:tcW w:w="1892" w:type="dxa"/>
                                  <w:tcBorders>
                                    <w:top w:val="single" w:sz="4" w:space="0" w:color="121310"/>
                                    <w:left w:val="single" w:sz="4" w:space="0" w:color="181817"/>
                                    <w:bottom w:val="single" w:sz="2" w:space="0" w:color="A7A89D"/>
                                    <w:right w:val="single" w:sz="4" w:space="0" w:color="2C2C2B"/>
                                  </w:tcBorders>
                                  <w:shd w:val="clear" w:color="auto" w:fill="757868"/>
                                  <w:vAlign w:val="center"/>
                                </w:tcPr>
                                <w:p w14:paraId="62ADA69A"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Type (Technology) </w:t>
                                  </w:r>
                                </w:p>
                              </w:tc>
                              <w:tc>
                                <w:tcPr>
                                  <w:tcW w:w="7177" w:type="dxa"/>
                                  <w:tcBorders>
                                    <w:top w:val="single" w:sz="4" w:space="0" w:color="121310"/>
                                    <w:left w:val="single" w:sz="4" w:space="0" w:color="2C2C2B"/>
                                    <w:bottom w:val="single" w:sz="2" w:space="0" w:color="A7A89D"/>
                                    <w:right w:val="single" w:sz="4" w:space="0" w:color="181817"/>
                                  </w:tcBorders>
                                  <w:shd w:val="clear" w:color="auto" w:fill="757868"/>
                                  <w:vAlign w:val="center"/>
                                </w:tcPr>
                                <w:p w14:paraId="3ADD4C32"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Comments </w:t>
                                  </w:r>
                                </w:p>
                              </w:tc>
                            </w:tr>
                            <w:tr w:rsidR="00541A14" w14:paraId="13383A9C" w14:textId="77777777">
                              <w:trPr>
                                <w:trHeight w:val="642"/>
                              </w:trPr>
                              <w:tc>
                                <w:tcPr>
                                  <w:tcW w:w="1892" w:type="dxa"/>
                                  <w:tcBorders>
                                    <w:top w:val="single" w:sz="2" w:space="0" w:color="A7A89D"/>
                                    <w:left w:val="single" w:sz="4" w:space="0" w:color="181817"/>
                                    <w:right w:val="single" w:sz="4" w:space="0" w:color="2C2C2B"/>
                                  </w:tcBorders>
                                  <w:shd w:val="clear" w:color="auto" w:fill="D9D7D2"/>
                                </w:tcPr>
                                <w:p w14:paraId="40DF78B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Monocrystaline cells </w:t>
                                  </w:r>
                                </w:p>
                              </w:tc>
                              <w:tc>
                                <w:tcPr>
                                  <w:tcW w:w="7177" w:type="dxa"/>
                                  <w:tcBorders>
                                    <w:top w:val="single" w:sz="2" w:space="0" w:color="A7A89D"/>
                                    <w:left w:val="single" w:sz="4" w:space="0" w:color="2C2C2B"/>
                                    <w:right w:val="single" w:sz="4" w:space="0" w:color="181817"/>
                                  </w:tcBorders>
                                  <w:shd w:val="clear" w:color="auto" w:fill="D9D7D2"/>
                                </w:tcPr>
                                <w:p w14:paraId="58280AE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Are made from a thin slice cut from a single large crystal of silicon, usually produced as a circular section rod. Generally have the highest efficiency of the three technologies. If circular wafers of silicon are used the module fill factor is significantly less than with polycrystalline cells. It is now usual for the cells to be trimmed to approximate a square. </w:t>
                                  </w:r>
                                </w:p>
                              </w:tc>
                            </w:tr>
                            <w:tr w:rsidR="00541A14" w14:paraId="3F720A0E" w14:textId="77777777">
                              <w:trPr>
                                <w:trHeight w:val="511"/>
                              </w:trPr>
                              <w:tc>
                                <w:tcPr>
                                  <w:tcW w:w="1892" w:type="dxa"/>
                                  <w:tcBorders>
                                    <w:top w:val="single" w:sz="2" w:space="0" w:color="D9D7D2"/>
                                    <w:left w:val="single" w:sz="4" w:space="0" w:color="181817"/>
                                    <w:bottom w:val="single" w:sz="2" w:space="0" w:color="D9D7D2"/>
                                    <w:right w:val="single" w:sz="4" w:space="0" w:color="2C2C2B"/>
                                  </w:tcBorders>
                                </w:tcPr>
                                <w:p w14:paraId="6F2D269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Polycrystaline cells </w:t>
                                  </w:r>
                                </w:p>
                              </w:tc>
                              <w:tc>
                                <w:tcPr>
                                  <w:tcW w:w="7177" w:type="dxa"/>
                                  <w:tcBorders>
                                    <w:top w:val="single" w:sz="2" w:space="0" w:color="D9D7D2"/>
                                    <w:left w:val="single" w:sz="4" w:space="0" w:color="2C2C2B"/>
                                    <w:bottom w:val="single" w:sz="2" w:space="0" w:color="D9D7D2"/>
                                    <w:right w:val="single" w:sz="4" w:space="0" w:color="181817"/>
                                  </w:tcBorders>
                                </w:tcPr>
                                <w:p w14:paraId="322E90B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Are made from a thin slice cut from a large cast billet of silicon comprising many crystals. Are slightly less efficient than the mono crystalline cell but they can be shaped to completely fill the module. </w:t>
                                  </w:r>
                                </w:p>
                              </w:tc>
                            </w:tr>
                            <w:tr w:rsidR="00541A14" w14:paraId="3865BFA0" w14:textId="77777777">
                              <w:trPr>
                                <w:trHeight w:val="515"/>
                              </w:trPr>
                              <w:tc>
                                <w:tcPr>
                                  <w:tcW w:w="1892" w:type="dxa"/>
                                  <w:tcBorders>
                                    <w:left w:val="single" w:sz="4" w:space="0" w:color="181817"/>
                                    <w:bottom w:val="single" w:sz="4" w:space="0" w:color="232221"/>
                                    <w:right w:val="single" w:sz="4" w:space="0" w:color="2C2C2B"/>
                                  </w:tcBorders>
                                  <w:shd w:val="clear" w:color="auto" w:fill="D9D7D2"/>
                                </w:tcPr>
                                <w:p w14:paraId="14F88B9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Amorphous module </w:t>
                                  </w:r>
                                </w:p>
                              </w:tc>
                              <w:tc>
                                <w:tcPr>
                                  <w:tcW w:w="7177" w:type="dxa"/>
                                  <w:tcBorders>
                                    <w:left w:val="single" w:sz="4" w:space="0" w:color="2C2C2B"/>
                                    <w:bottom w:val="single" w:sz="4" w:space="0" w:color="232221"/>
                                    <w:right w:val="single" w:sz="4" w:space="0" w:color="181817"/>
                                  </w:tcBorders>
                                  <w:shd w:val="clear" w:color="auto" w:fill="D9D7D2"/>
                                </w:tcPr>
                                <w:p w14:paraId="1E0EC9F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Are made by depositing thin films of silicon directly onto a glass or stainless steel substrate a thin slice cut from a single large crystal of silicon. The cell has a lower efficiency than either of other technologies but can be multi-layered for enhanced performance. Problems have been found with lifetime of these cells. </w:t>
                                  </w:r>
                                </w:p>
                              </w:tc>
                            </w:tr>
                          </w:tbl>
                          <w:p w14:paraId="4A24E44C"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53" type="#_x0000_t202" style="position:absolute;margin-left:65.1pt;margin-top:590.45pt;width:493.45pt;height:212.75pt;z-index:251685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57"/>
                        <w:gridCol w:w="33"/>
                        <w:gridCol w:w="302"/>
                        <w:gridCol w:w="33"/>
                        <w:gridCol w:w="135"/>
                        <w:gridCol w:w="177"/>
                        <w:gridCol w:w="125"/>
                        <w:gridCol w:w="55"/>
                        <w:gridCol w:w="20"/>
                        <w:gridCol w:w="50"/>
                        <w:gridCol w:w="168"/>
                        <w:gridCol w:w="97"/>
                        <w:gridCol w:w="33"/>
                        <w:gridCol w:w="372"/>
                        <w:gridCol w:w="112"/>
                        <w:gridCol w:w="5"/>
                        <w:gridCol w:w="425"/>
                        <w:gridCol w:w="240"/>
                        <w:gridCol w:w="60"/>
                        <w:gridCol w:w="237"/>
                        <w:gridCol w:w="38"/>
                        <w:gridCol w:w="90"/>
                        <w:gridCol w:w="370"/>
                        <w:gridCol w:w="5"/>
                        <w:gridCol w:w="5"/>
                        <w:gridCol w:w="12"/>
                        <w:gridCol w:w="47"/>
                        <w:gridCol w:w="168"/>
                        <w:gridCol w:w="52"/>
                        <w:gridCol w:w="122"/>
                        <w:gridCol w:w="108"/>
                        <w:gridCol w:w="503"/>
                        <w:gridCol w:w="47"/>
                        <w:gridCol w:w="355"/>
                        <w:gridCol w:w="10"/>
                        <w:gridCol w:w="371"/>
                        <w:gridCol w:w="692"/>
                        <w:gridCol w:w="57"/>
                        <w:gridCol w:w="283"/>
                        <w:gridCol w:w="1892"/>
                        <w:gridCol w:w="77"/>
                        <w:gridCol w:w="15"/>
                        <w:gridCol w:w="8"/>
                      </w:tblGrid>
                      <w:tr w:rsidR="00000000" w14:paraId="56C0E35E" w14:textId="77777777">
                        <w:tblPrEx>
                          <w:tblCellMar>
                            <w:top w:w="0" w:type="dxa"/>
                            <w:bottom w:w="0" w:type="dxa"/>
                          </w:tblCellMar>
                        </w:tblPrEx>
                        <w:trPr>
                          <w:gridAfter w:val="1"/>
                          <w:wAfter w:w="8" w:type="dxa"/>
                          <w:trHeight w:val="190"/>
                        </w:trPr>
                        <w:tc>
                          <w:tcPr>
                            <w:tcW w:w="1892" w:type="dxa"/>
                            <w:gridSpan w:val="9"/>
                            <w:tcBorders>
                              <w:top w:val="single" w:sz="4" w:space="0" w:color="121310"/>
                              <w:left w:val="single" w:sz="4" w:space="0" w:color="181817"/>
                              <w:bottom w:val="single" w:sz="2" w:space="0" w:color="A7A89D"/>
                              <w:right w:val="single" w:sz="4" w:space="0" w:color="2C2C2B"/>
                            </w:tcBorders>
                            <w:shd w:val="clear" w:color="auto" w:fill="757868"/>
                            <w:vAlign w:val="center"/>
                          </w:tcPr>
                          <w:p w14:paraId="62ADA69A"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Type (Technology) </w:t>
                            </w:r>
                          </w:p>
                        </w:tc>
                        <w:tc>
                          <w:tcPr>
                            <w:tcW w:w="7177" w:type="dxa"/>
                            <w:gridSpan w:val="35"/>
                            <w:tcBorders>
                              <w:top w:val="single" w:sz="4" w:space="0" w:color="121310"/>
                              <w:left w:val="single" w:sz="4" w:space="0" w:color="2C2C2B"/>
                              <w:bottom w:val="single" w:sz="2" w:space="0" w:color="A7A89D"/>
                              <w:right w:val="single" w:sz="4" w:space="0" w:color="181817"/>
                            </w:tcBorders>
                            <w:shd w:val="clear" w:color="auto" w:fill="757868"/>
                            <w:vAlign w:val="center"/>
                          </w:tcPr>
                          <w:p w14:paraId="3ADD4C32"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Comments </w:t>
                            </w:r>
                          </w:p>
                        </w:tc>
                      </w:tr>
                      <w:tr w:rsidR="00000000" w14:paraId="13383A9C" w14:textId="77777777">
                        <w:tblPrEx>
                          <w:tblCellMar>
                            <w:top w:w="0" w:type="dxa"/>
                            <w:bottom w:w="0" w:type="dxa"/>
                          </w:tblCellMar>
                        </w:tblPrEx>
                        <w:trPr>
                          <w:gridAfter w:val="1"/>
                          <w:wAfter w:w="8" w:type="dxa"/>
                          <w:trHeight w:val="642"/>
                        </w:trPr>
                        <w:tc>
                          <w:tcPr>
                            <w:tcW w:w="1892" w:type="dxa"/>
                            <w:gridSpan w:val="9"/>
                            <w:tcBorders>
                              <w:top w:val="single" w:sz="2" w:space="0" w:color="A7A89D"/>
                              <w:left w:val="single" w:sz="4" w:space="0" w:color="181817"/>
                              <w:right w:val="single" w:sz="4" w:space="0" w:color="2C2C2B"/>
                            </w:tcBorders>
                            <w:shd w:val="clear" w:color="auto" w:fill="D9D7D2"/>
                          </w:tcPr>
                          <w:p w14:paraId="40DF78B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Monocrystaline cells </w:t>
                            </w:r>
                          </w:p>
                        </w:tc>
                        <w:tc>
                          <w:tcPr>
                            <w:tcW w:w="7177" w:type="dxa"/>
                            <w:gridSpan w:val="35"/>
                            <w:tcBorders>
                              <w:top w:val="single" w:sz="2" w:space="0" w:color="A7A89D"/>
                              <w:left w:val="single" w:sz="4" w:space="0" w:color="2C2C2B"/>
                              <w:right w:val="single" w:sz="4" w:space="0" w:color="181817"/>
                            </w:tcBorders>
                            <w:shd w:val="clear" w:color="auto" w:fill="D9D7D2"/>
                          </w:tcPr>
                          <w:p w14:paraId="58280AE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Are made from a thin</w:t>
                            </w:r>
                            <w:r>
                              <w:rPr>
                                <w:rFonts w:ascii="Helvetica 55 Roman" w:hAnsi="Helvetica 55 Roman" w:cs="Helvetica 55 Roman"/>
                                <w:sz w:val="18"/>
                                <w:szCs w:val="18"/>
                              </w:rPr>
                              <w:t xml:space="preserve"> slice cut from a single large crystal of silicon, usually produced as a circular section rod. Generally have the highest efficiency of the three technologies. If circular wafers of silicon are used the module fill factor is significantly less than with po</w:t>
                            </w:r>
                            <w:r>
                              <w:rPr>
                                <w:rFonts w:ascii="Helvetica 55 Roman" w:hAnsi="Helvetica 55 Roman" w:cs="Helvetica 55 Roman"/>
                                <w:sz w:val="18"/>
                                <w:szCs w:val="18"/>
                              </w:rPr>
                              <w:t xml:space="preserve">lycrystalline cells. It is now usual for the cells to be trimmed to approximate a square. </w:t>
                            </w:r>
                          </w:p>
                        </w:tc>
                      </w:tr>
                      <w:tr w:rsidR="00000000" w14:paraId="3F720A0E" w14:textId="77777777">
                        <w:tblPrEx>
                          <w:tblCellMar>
                            <w:top w:w="0" w:type="dxa"/>
                            <w:bottom w:w="0" w:type="dxa"/>
                          </w:tblCellMar>
                        </w:tblPrEx>
                        <w:trPr>
                          <w:gridAfter w:val="1"/>
                          <w:wAfter w:w="8" w:type="dxa"/>
                          <w:trHeight w:val="511"/>
                        </w:trPr>
                        <w:tc>
                          <w:tcPr>
                            <w:tcW w:w="1892" w:type="dxa"/>
                            <w:gridSpan w:val="9"/>
                            <w:tcBorders>
                              <w:top w:val="single" w:sz="2" w:space="0" w:color="D9D7D2"/>
                              <w:left w:val="single" w:sz="4" w:space="0" w:color="181817"/>
                              <w:bottom w:val="single" w:sz="2" w:space="0" w:color="D9D7D2"/>
                              <w:right w:val="single" w:sz="4" w:space="0" w:color="2C2C2B"/>
                            </w:tcBorders>
                          </w:tcPr>
                          <w:p w14:paraId="6F2D269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Polycrystaline cells </w:t>
                            </w:r>
                          </w:p>
                        </w:tc>
                        <w:tc>
                          <w:tcPr>
                            <w:tcW w:w="7177" w:type="dxa"/>
                            <w:gridSpan w:val="35"/>
                            <w:tcBorders>
                              <w:top w:val="single" w:sz="2" w:space="0" w:color="D9D7D2"/>
                              <w:left w:val="single" w:sz="4" w:space="0" w:color="2C2C2B"/>
                              <w:bottom w:val="single" w:sz="2" w:space="0" w:color="D9D7D2"/>
                              <w:right w:val="single" w:sz="4" w:space="0" w:color="181817"/>
                            </w:tcBorders>
                          </w:tcPr>
                          <w:p w14:paraId="322E90B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Are made from a thin slice cut from a large cast billet of silicon comprising man</w:t>
                            </w:r>
                            <w:r>
                              <w:rPr>
                                <w:rFonts w:ascii="Helvetica 55 Roman" w:hAnsi="Helvetica 55 Roman" w:cs="Helvetica 55 Roman"/>
                                <w:sz w:val="18"/>
                                <w:szCs w:val="18"/>
                              </w:rPr>
                              <w:t xml:space="preserve">y crystals. Are slightly less efficient than the mono crystalline cell but they can be shaped to completely fill the module. </w:t>
                            </w:r>
                          </w:p>
                        </w:tc>
                      </w:tr>
                      <w:tr w:rsidR="00000000" w14:paraId="3865BFA0" w14:textId="77777777">
                        <w:tblPrEx>
                          <w:tblCellMar>
                            <w:top w:w="0" w:type="dxa"/>
                            <w:bottom w:w="0" w:type="dxa"/>
                          </w:tblCellMar>
                        </w:tblPrEx>
                        <w:trPr>
                          <w:gridAfter w:val="1"/>
                          <w:wAfter w:w="8" w:type="dxa"/>
                          <w:trHeight w:val="515"/>
                        </w:trPr>
                        <w:tc>
                          <w:tcPr>
                            <w:tcW w:w="1892" w:type="dxa"/>
                            <w:gridSpan w:val="9"/>
                            <w:tcBorders>
                              <w:left w:val="single" w:sz="4" w:space="0" w:color="181817"/>
                              <w:bottom w:val="single" w:sz="4" w:space="0" w:color="232221"/>
                              <w:right w:val="single" w:sz="4" w:space="0" w:color="2C2C2B"/>
                            </w:tcBorders>
                            <w:shd w:val="clear" w:color="auto" w:fill="D9D7D2"/>
                          </w:tcPr>
                          <w:p w14:paraId="14F88B9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Amorphous module </w:t>
                            </w:r>
                          </w:p>
                        </w:tc>
                        <w:tc>
                          <w:tcPr>
                            <w:tcW w:w="7177" w:type="dxa"/>
                            <w:gridSpan w:val="35"/>
                            <w:tcBorders>
                              <w:left w:val="single" w:sz="4" w:space="0" w:color="2C2C2B"/>
                              <w:bottom w:val="single" w:sz="4" w:space="0" w:color="232221"/>
                              <w:right w:val="single" w:sz="4" w:space="0" w:color="181817"/>
                            </w:tcBorders>
                            <w:shd w:val="clear" w:color="auto" w:fill="D9D7D2"/>
                          </w:tcPr>
                          <w:p w14:paraId="1E0EC9F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Are made by depositing thin films of silicon directly onto a glass or stainless steel substrate a thin slice cut from a single large crystal of silicon. The cell has a lower efficiency than either of other technologies but can be multi-layered for enhanced</w:t>
                            </w:r>
                            <w:r>
                              <w:rPr>
                                <w:rFonts w:ascii="Helvetica 55 Roman" w:hAnsi="Helvetica 55 Roman" w:cs="Helvetica 55 Roman"/>
                                <w:sz w:val="18"/>
                                <w:szCs w:val="18"/>
                              </w:rPr>
                              <w:t xml:space="preserve"> performance. Problems have been found with lifetime of these cells. </w:t>
                            </w:r>
                          </w:p>
                        </w:tc>
                      </w:tr>
                    </w:tbl>
                  </w:txbxContent>
                </v:textbox>
                <w10:wrap type="through" anchorx="page" anchory="page"/>
              </v:shape>
            </w:pict>
          </mc:Fallback>
        </mc:AlternateContent>
      </w:r>
    </w:p>
    <w:p w14:paraId="5D01EDEE" w14:textId="77777777" w:rsidR="00541A14" w:rsidRDefault="00DD420F">
      <w:pPr>
        <w:pStyle w:val="Default"/>
        <w:framePr w:w="10730" w:wrap="auto" w:vAnchor="page" w:hAnchor="page" w:x="608" w:y="16278"/>
        <w:rPr>
          <w:rFonts w:cs="Times New Roman"/>
          <w:color w:val="auto"/>
        </w:rPr>
      </w:pPr>
      <w:r>
        <w:rPr>
          <w:rFonts w:cs="Times New Roman"/>
          <w:noProof/>
          <w:color w:val="auto"/>
        </w:rPr>
        <w:drawing>
          <wp:inline distT="0" distB="0" distL="0" distR="0" wp14:anchorId="776CDBAC" wp14:editId="26344953">
            <wp:extent cx="7553960" cy="420370"/>
            <wp:effectExtent l="0" t="0" r="0" b="1143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2E1198A8" w14:textId="77777777" w:rsidR="00541A14" w:rsidRDefault="00DD420F">
      <w:pPr>
        <w:pStyle w:val="Default"/>
        <w:pageBreakBefore/>
        <w:framePr w:w="12857" w:wrap="auto" w:vAnchor="page" w:hAnchor="page" w:x="101" w:y="1"/>
        <w:spacing w:after="780"/>
        <w:rPr>
          <w:rFonts w:cs="Times New Roman"/>
          <w:color w:val="auto"/>
        </w:rPr>
      </w:pPr>
      <w:r>
        <w:rPr>
          <w:rFonts w:cs="Times New Roman"/>
          <w:noProof/>
          <w:color w:val="auto"/>
        </w:rPr>
        <w:drawing>
          <wp:inline distT="0" distB="0" distL="0" distR="0" wp14:anchorId="3EEDC819" wp14:editId="432243D8">
            <wp:extent cx="7553960" cy="106743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741A2CA9" w14:textId="77777777" w:rsidR="00541A14" w:rsidRDefault="00A450E1">
      <w:pPr>
        <w:pStyle w:val="CM4"/>
        <w:rPr>
          <w:rFonts w:ascii="Palatino" w:hAnsi="Palatino" w:cs="Palatino"/>
          <w:sz w:val="20"/>
          <w:szCs w:val="20"/>
        </w:rPr>
      </w:pPr>
      <w:r>
        <w:rPr>
          <w:rFonts w:ascii="Palatino" w:hAnsi="Palatino" w:cs="Palatino"/>
          <w:sz w:val="20"/>
          <w:szCs w:val="20"/>
        </w:rPr>
        <w:t xml:space="preserve">In addition to the silicon cell technologies, there are two optional module configurations based on </w:t>
      </w:r>
    </w:p>
    <w:p w14:paraId="2B30421D" w14:textId="77777777" w:rsidR="00541A14" w:rsidRDefault="00A450E1">
      <w:pPr>
        <w:pStyle w:val="CM165"/>
        <w:spacing w:after="85" w:line="293" w:lineRule="atLeast"/>
        <w:ind w:right="177"/>
        <w:rPr>
          <w:rFonts w:ascii="Palatino" w:hAnsi="Palatino" w:cs="Palatino"/>
          <w:sz w:val="20"/>
          <w:szCs w:val="20"/>
        </w:rPr>
      </w:pPr>
      <w:r>
        <w:rPr>
          <w:rFonts w:ascii="Palatino" w:hAnsi="Palatino" w:cs="Palatino"/>
          <w:sz w:val="20"/>
          <w:szCs w:val="20"/>
        </w:rPr>
        <w:t xml:space="preserve">the numbers of series connected cells. The standard module normally has 36 cells in series to give an open circuit voltage of around 20 volts.  For 12 volt battery charging applications, a voltage (charge) regulator is considered essential.  </w:t>
      </w:r>
    </w:p>
    <w:p w14:paraId="7565099B"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A </w:t>
      </w:r>
      <w:r>
        <w:rPr>
          <w:rFonts w:ascii="Palatino" w:hAnsi="Palatino" w:cs="Palatino"/>
          <w:b/>
          <w:bCs/>
          <w:sz w:val="20"/>
          <w:szCs w:val="20"/>
        </w:rPr>
        <w:t>self-regulating solar module</w:t>
      </w:r>
      <w:r>
        <w:rPr>
          <w:rFonts w:ascii="Palatino" w:hAnsi="Palatino" w:cs="Palatino"/>
          <w:sz w:val="20"/>
          <w:szCs w:val="20"/>
        </w:rPr>
        <w:t xml:space="preserve"> was promoted as a means of eliminating the voltage regulator that had frequently been found to be the least reliable component in a solar power supply.  The self-regulating module typically has 32 cells in series to give an open circuit voltage of around 18 volts (and a maximum on load voltage of around 15 volts). In a self-regulating solar module, the charging rate is determined by the interaction between the electrical characteristics of the battery and solar module. </w:t>
      </w:r>
    </w:p>
    <w:p w14:paraId="402E6C8E" w14:textId="77777777" w:rsidR="00541A14" w:rsidRDefault="00A450E1">
      <w:pPr>
        <w:pStyle w:val="CM175"/>
        <w:spacing w:after="267" w:line="291" w:lineRule="atLeast"/>
        <w:rPr>
          <w:rFonts w:ascii="Palatino" w:hAnsi="Palatino" w:cs="Palatino"/>
          <w:sz w:val="20"/>
          <w:szCs w:val="20"/>
        </w:rPr>
      </w:pPr>
      <w:r>
        <w:rPr>
          <w:rFonts w:ascii="Palatino" w:hAnsi="Palatino" w:cs="Palatino"/>
          <w:sz w:val="20"/>
          <w:szCs w:val="20"/>
        </w:rPr>
        <w:t xml:space="preserve">Both concepts have worked well. </w:t>
      </w:r>
    </w:p>
    <w:p w14:paraId="50075721"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Module or Array Orientation </w:t>
      </w:r>
    </w:p>
    <w:p w14:paraId="44A67B2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 the northern hemisphere, solar modules are normally installed facing south and inclined at an angle to the horizontal that is related to the latitude of the site, and vice versa for the southern hemisphere. </w:t>
      </w:r>
    </w:p>
    <w:p w14:paraId="41CEA1A4"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The inclination angle for solar modules is often optimised for the particular site as part of the sizing calculations. </w:t>
      </w:r>
    </w:p>
    <w:p w14:paraId="2F1BE5B3"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 xml:space="preserve">One of the main problems experienced with solar powered aids to navigation has been bird fouling.  Numerous, innovative solutions have been trialed, generally with mixed results.  Generally solar </w:t>
      </w:r>
    </w:p>
    <w:p w14:paraId="5C47C4B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modules mounted at an angle or vertically benefit from self washing from rain. </w:t>
      </w:r>
    </w:p>
    <w:p w14:paraId="48518AC6" w14:textId="77777777" w:rsidR="00541A14" w:rsidRDefault="00A450E1">
      <w:pPr>
        <w:pStyle w:val="CM173"/>
        <w:spacing w:after="340" w:line="296" w:lineRule="atLeast"/>
        <w:ind w:right="402"/>
        <w:rPr>
          <w:rFonts w:ascii="Palatino" w:hAnsi="Palatino" w:cs="Palatino"/>
          <w:color w:val="000000"/>
          <w:sz w:val="20"/>
          <w:szCs w:val="20"/>
        </w:rPr>
      </w:pPr>
      <w:r>
        <w:rPr>
          <w:rFonts w:ascii="Palatino" w:hAnsi="Palatino" w:cs="Palatino"/>
          <w:color w:val="000000"/>
          <w:sz w:val="20"/>
          <w:szCs w:val="20"/>
        </w:rPr>
        <w:t xml:space="preserve">The cost of additional solar modules needed for a vertical installation may be largely off-set by the savings that result from simplifying the mounting arrangements or framework. </w:t>
      </w:r>
    </w:p>
    <w:p w14:paraId="7B45AAEA" w14:textId="77777777" w:rsidR="00541A14" w:rsidRDefault="00A450E1">
      <w:pPr>
        <w:pStyle w:val="CM172"/>
        <w:spacing w:after="202"/>
        <w:rPr>
          <w:rFonts w:ascii="Futura Book" w:hAnsi="Futura Book" w:cs="Futura Book"/>
          <w:color w:val="2C5062"/>
          <w:sz w:val="22"/>
          <w:szCs w:val="22"/>
        </w:rPr>
      </w:pPr>
      <w:r>
        <w:rPr>
          <w:rFonts w:ascii="Futura Book" w:hAnsi="Futura Book" w:cs="Futura Book"/>
          <w:b/>
          <w:bCs/>
          <w:color w:val="2C5062"/>
          <w:sz w:val="22"/>
          <w:szCs w:val="22"/>
        </w:rPr>
        <w:t xml:space="preserve">7.2.2 Wind Energy </w:t>
      </w:r>
    </w:p>
    <w:p w14:paraId="3ABABCCF"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Aids to Navigation Applications </w:t>
      </w:r>
    </w:p>
    <w:p w14:paraId="28EA16F6" w14:textId="77777777" w:rsidR="00541A14" w:rsidRDefault="00A450E1">
      <w:pPr>
        <w:pStyle w:val="CM173"/>
        <w:spacing w:after="340" w:line="291" w:lineRule="atLeast"/>
        <w:ind w:right="107"/>
        <w:rPr>
          <w:rFonts w:ascii="Palatino" w:hAnsi="Palatino" w:cs="Palatino"/>
          <w:color w:val="000000"/>
          <w:sz w:val="20"/>
          <w:szCs w:val="20"/>
        </w:rPr>
      </w:pPr>
      <w:r>
        <w:rPr>
          <w:rFonts w:ascii="Palatino" w:hAnsi="Palatino" w:cs="Palatino"/>
          <w:color w:val="000000"/>
          <w:sz w:val="20"/>
          <w:szCs w:val="20"/>
        </w:rPr>
        <w:t xml:space="preserve">Wind generators (or wind turbines) have been used by a number of IALA Members to power aids to navigation. The most popular type were horizontal axis machines with a two bladed (propeller type) turbine. The maintenance requirements arising from the moving parts design of wind generators and susceptibility to storm damage has limited the use of wind generators. </w:t>
      </w:r>
    </w:p>
    <w:p w14:paraId="377F92F7"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Installations </w:t>
      </w:r>
    </w:p>
    <w:p w14:paraId="3435DF0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Wind generator installations at aids to navigation sites pose a number of problems: </w:t>
      </w:r>
    </w:p>
    <w:p w14:paraId="11B9EC75" w14:textId="77777777" w:rsidR="00541A14" w:rsidRDefault="00A450E1">
      <w:pPr>
        <w:pStyle w:val="Default"/>
        <w:numPr>
          <w:ilvl w:val="0"/>
          <w:numId w:val="142"/>
        </w:numPr>
        <w:rPr>
          <w:rFonts w:ascii="Palatino" w:hAnsi="Palatino" w:cs="Palatino"/>
          <w:sz w:val="20"/>
          <w:szCs w:val="20"/>
        </w:rPr>
      </w:pPr>
      <w:r>
        <w:rPr>
          <w:rFonts w:ascii="Palatino" w:hAnsi="Palatino" w:cs="Palatino"/>
          <w:sz w:val="20"/>
          <w:szCs w:val="20"/>
        </w:rPr>
        <w:t xml:space="preserve">wind generators tend to require a lot of maintenance if operated in turbulent air flows;  </w:t>
      </w:r>
    </w:p>
    <w:p w14:paraId="24B100F9" w14:textId="77777777" w:rsidR="00541A14" w:rsidRDefault="00A450E1">
      <w:pPr>
        <w:pStyle w:val="Default"/>
        <w:numPr>
          <w:ilvl w:val="0"/>
          <w:numId w:val="142"/>
        </w:numPr>
        <w:rPr>
          <w:rFonts w:ascii="Palatino" w:hAnsi="Palatino" w:cs="Palatino"/>
          <w:sz w:val="20"/>
          <w:szCs w:val="20"/>
        </w:rPr>
      </w:pPr>
      <w:r>
        <w:rPr>
          <w:rFonts w:ascii="Palatino" w:hAnsi="Palatino" w:cs="Palatino"/>
          <w:sz w:val="20"/>
          <w:szCs w:val="20"/>
        </w:rPr>
        <w:t xml:space="preserve">if the wind generator is installed on a separate mast some distance from the aid to navigation, </w:t>
      </w:r>
    </w:p>
    <w:p w14:paraId="357F1A56" w14:textId="77777777" w:rsidR="00541A14" w:rsidRDefault="00541A14">
      <w:pPr>
        <w:pStyle w:val="Default"/>
        <w:rPr>
          <w:rFonts w:ascii="Palatino" w:hAnsi="Palatino" w:cs="Palatino"/>
          <w:sz w:val="20"/>
          <w:szCs w:val="20"/>
        </w:rPr>
      </w:pPr>
    </w:p>
    <w:p w14:paraId="682232D3"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consideration has to be given to cable voltage drop; </w:t>
      </w:r>
    </w:p>
    <w:p w14:paraId="0304C3D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the size of wind generator likely to be considered for operating aids to navigation is at </w:t>
      </w:r>
    </w:p>
    <w:p w14:paraId="68D9B3E5" w14:textId="77777777" w:rsidR="00541A14" w:rsidRDefault="00A450E1">
      <w:pPr>
        <w:pStyle w:val="CM202"/>
        <w:spacing w:after="1827" w:line="293" w:lineRule="atLeast"/>
        <w:ind w:left="300"/>
        <w:rPr>
          <w:rFonts w:ascii="Palatino" w:hAnsi="Palatino" w:cs="Palatino"/>
          <w:color w:val="000000"/>
          <w:sz w:val="20"/>
          <w:szCs w:val="20"/>
        </w:rPr>
      </w:pPr>
      <w:r>
        <w:rPr>
          <w:rFonts w:ascii="Palatino" w:hAnsi="Palatino" w:cs="Palatino"/>
          <w:color w:val="000000"/>
          <w:sz w:val="20"/>
          <w:szCs w:val="20"/>
        </w:rPr>
        <w:t xml:space="preserve">considerable risk of damage if there are populations of birds at the site. </w:t>
      </w:r>
    </w:p>
    <w:p w14:paraId="02D73928"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14918A5E" wp14:editId="2E75E3E8">
            <wp:extent cx="7542530" cy="420370"/>
            <wp:effectExtent l="0" t="0" r="1270" b="1143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15B8594C" w14:textId="77777777" w:rsidR="00541A14" w:rsidRDefault="00DD420F">
      <w:pPr>
        <w:pStyle w:val="Default"/>
        <w:pageBreakBefore/>
        <w:framePr w:w="4694" w:wrap="auto" w:vAnchor="page" w:hAnchor="page" w:x="599" w:y="428"/>
        <w:spacing w:after="860"/>
        <w:rPr>
          <w:rFonts w:ascii="Palatino" w:hAnsi="Palatino" w:cs="Palatino"/>
          <w:sz w:val="20"/>
          <w:szCs w:val="20"/>
        </w:rPr>
      </w:pPr>
      <w:r>
        <w:rPr>
          <w:rFonts w:ascii="Palatino" w:hAnsi="Palatino" w:cs="Palatino"/>
          <w:noProof/>
          <w:sz w:val="20"/>
          <w:szCs w:val="20"/>
        </w:rPr>
        <w:drawing>
          <wp:inline distT="0" distB="0" distL="0" distR="0" wp14:anchorId="7BB5181D" wp14:editId="6D6B12C2">
            <wp:extent cx="7553960" cy="106743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5C468111" w14:textId="77777777" w:rsidR="00541A14" w:rsidRDefault="00A450E1">
      <w:pPr>
        <w:pStyle w:val="CM165"/>
        <w:spacing w:after="85"/>
        <w:jc w:val="both"/>
        <w:rPr>
          <w:rFonts w:ascii="Futura Book" w:hAnsi="Futura Book" w:cs="Futura Book"/>
          <w:color w:val="2C5062"/>
          <w:sz w:val="20"/>
          <w:szCs w:val="20"/>
        </w:rPr>
      </w:pPr>
      <w:r>
        <w:rPr>
          <w:rFonts w:ascii="Futura Book" w:hAnsi="Futura Book" w:cs="Futura Book"/>
          <w:b/>
          <w:bCs/>
          <w:color w:val="2C5062"/>
          <w:sz w:val="20"/>
          <w:szCs w:val="20"/>
        </w:rPr>
        <w:t xml:space="preserve">Wind Generator Types </w:t>
      </w:r>
    </w:p>
    <w:p w14:paraId="17D24C75" w14:textId="77777777" w:rsidR="00541A14" w:rsidRDefault="00A450E1">
      <w:pPr>
        <w:pStyle w:val="CM173"/>
        <w:spacing w:after="340"/>
        <w:rPr>
          <w:rFonts w:ascii="Palatino" w:hAnsi="Palatino" w:cs="Palatino"/>
          <w:color w:val="000000"/>
          <w:sz w:val="20"/>
          <w:szCs w:val="20"/>
        </w:rPr>
      </w:pPr>
      <w:r>
        <w:rPr>
          <w:rFonts w:ascii="Palatino" w:hAnsi="Palatino" w:cs="Palatino"/>
          <w:color w:val="000000"/>
          <w:sz w:val="20"/>
          <w:szCs w:val="20"/>
        </w:rPr>
        <w:t xml:space="preserve">A comparison of the typical performance of different types of wind generators is shown in Figure 28. </w:t>
      </w:r>
    </w:p>
    <w:p w14:paraId="79CBF1D4" w14:textId="77777777" w:rsidR="00541A14" w:rsidRDefault="00A450E1">
      <w:pPr>
        <w:pStyle w:val="CM172"/>
        <w:spacing w:after="202"/>
        <w:jc w:val="center"/>
        <w:rPr>
          <w:rFonts w:ascii="Futura Book" w:hAnsi="Futura Book" w:cs="Futura Book"/>
          <w:color w:val="000000"/>
          <w:sz w:val="22"/>
          <w:szCs w:val="22"/>
        </w:rPr>
      </w:pPr>
      <w:r>
        <w:rPr>
          <w:rFonts w:ascii="Futura Book" w:hAnsi="Futura Book" w:cs="Futura Book"/>
          <w:b/>
          <w:bCs/>
          <w:color w:val="000000"/>
          <w:sz w:val="22"/>
          <w:szCs w:val="22"/>
        </w:rPr>
        <w:t xml:space="preserve">Typical Performance of Wind Machines </w:t>
      </w:r>
    </w:p>
    <w:p w14:paraId="20093D3E" w14:textId="77777777" w:rsidR="00541A14" w:rsidRDefault="00DD420F">
      <w:pPr>
        <w:pStyle w:val="Default"/>
        <w:framePr w:w="7697" w:wrap="auto" w:vAnchor="page" w:hAnchor="page" w:x="2382" w:y="3835"/>
        <w:spacing w:after="140"/>
        <w:rPr>
          <w:rFonts w:ascii="Futura Book" w:hAnsi="Futura Book" w:cs="Futura Book"/>
          <w:sz w:val="22"/>
          <w:szCs w:val="22"/>
        </w:rPr>
      </w:pPr>
      <w:r>
        <w:rPr>
          <w:rFonts w:ascii="Futura Book" w:hAnsi="Futura Book" w:cs="Futura Book"/>
          <w:noProof/>
          <w:sz w:val="22"/>
          <w:szCs w:val="22"/>
        </w:rPr>
        <w:drawing>
          <wp:inline distT="0" distB="0" distL="0" distR="0" wp14:anchorId="3FBB90FE" wp14:editId="19B62523">
            <wp:extent cx="4367530" cy="2600960"/>
            <wp:effectExtent l="0" t="0" r="127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367530" cy="2600960"/>
                    </a:xfrm>
                    <a:prstGeom prst="rect">
                      <a:avLst/>
                    </a:prstGeom>
                    <a:noFill/>
                    <a:ln>
                      <a:noFill/>
                    </a:ln>
                  </pic:spPr>
                </pic:pic>
              </a:graphicData>
            </a:graphic>
          </wp:inline>
        </w:drawing>
      </w:r>
    </w:p>
    <w:p w14:paraId="1D7F244E" w14:textId="77777777" w:rsidR="00541A14" w:rsidRDefault="00A450E1">
      <w:pPr>
        <w:pStyle w:val="CM173"/>
        <w:spacing w:after="340" w:line="271" w:lineRule="atLeast"/>
        <w:jc w:val="center"/>
        <w:rPr>
          <w:rFonts w:ascii="Palatino" w:hAnsi="Palatino" w:cs="Palatino"/>
          <w:color w:val="000000"/>
          <w:sz w:val="20"/>
          <w:szCs w:val="20"/>
        </w:rPr>
      </w:pPr>
      <w:r>
        <w:rPr>
          <w:rFonts w:ascii="Palatino" w:hAnsi="Palatino" w:cs="Palatino"/>
          <w:i/>
          <w:iCs/>
          <w:color w:val="000000"/>
          <w:sz w:val="20"/>
          <w:szCs w:val="20"/>
        </w:rPr>
        <w:t xml:space="preserve">Figure 28 – Comparison of Performance of Wind Generator Types </w:t>
      </w:r>
    </w:p>
    <w:p w14:paraId="31A08154"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7.2.3 Wave Energy </w:t>
      </w:r>
    </w:p>
    <w:p w14:paraId="758E47C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wave activated generator (WAG) was developed in Japan and has been successfully used topower lighted buoys. The interaction between the buoy and wave motions acts as a simple air pumpthat is used to drive an air turbine and generator. The WAG is mounted on an extension of a hollow tail tube that passes through the buoy hull. With wave heights of 0.5 metres, the power output isalmost 100 watts. WAG’s have limited life and current systems suffer from excessive wear. </w:t>
      </w:r>
    </w:p>
    <w:p w14:paraId="6E65B74C" w14:textId="77777777" w:rsidR="00541A14" w:rsidRDefault="00A450E1">
      <w:pPr>
        <w:pStyle w:val="CM173"/>
        <w:spacing w:after="340" w:line="293" w:lineRule="atLeast"/>
        <w:ind w:right="327"/>
        <w:rPr>
          <w:rFonts w:ascii="Palatino" w:hAnsi="Palatino" w:cs="Palatino"/>
          <w:color w:val="000000"/>
          <w:sz w:val="20"/>
          <w:szCs w:val="20"/>
        </w:rPr>
      </w:pPr>
      <w:r>
        <w:rPr>
          <w:rFonts w:ascii="Palatino" w:hAnsi="Palatino" w:cs="Palatino"/>
          <w:color w:val="000000"/>
          <w:sz w:val="20"/>
          <w:szCs w:val="20"/>
        </w:rPr>
        <w:t xml:space="preserve">Site conditions will determine the rate at which the tail tube of the buoy accumulates weed andother forms of fouling, and these aspects need to be taken into consideration when developing the maintenance regime for the WAG. WAG’s can also be very susceptible to storm damage. </w:t>
      </w:r>
    </w:p>
    <w:p w14:paraId="4F35DC6A" w14:textId="77777777" w:rsidR="00541A14" w:rsidRDefault="00A450E1">
      <w:pPr>
        <w:pStyle w:val="CM172"/>
        <w:spacing w:after="202"/>
        <w:rPr>
          <w:rFonts w:ascii="Futura Book" w:hAnsi="Futura Book" w:cs="Futura Book"/>
          <w:color w:val="2C5062"/>
          <w:sz w:val="28"/>
          <w:szCs w:val="28"/>
        </w:rPr>
      </w:pPr>
      <w:r>
        <w:rPr>
          <w:rFonts w:ascii="Futura Book" w:hAnsi="Futura Book" w:cs="Futura Book"/>
          <w:b/>
          <w:bCs/>
          <w:color w:val="2C5062"/>
          <w:sz w:val="28"/>
          <w:szCs w:val="28"/>
        </w:rPr>
        <w:t xml:space="preserve">7.3 Rechargeable Batteries </w:t>
      </w:r>
    </w:p>
    <w:p w14:paraId="6055A772"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7.3.1 Principal types </w:t>
      </w:r>
    </w:p>
    <w:p w14:paraId="5105B18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There are two main types of storage battery technologies applied to aids to navigation – lead acid andnickel cadmium. </w:t>
      </w:r>
    </w:p>
    <w:p w14:paraId="6279791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The lead acid type is generally preferred because of its lower cost and higher energy exchange</w:t>
      </w:r>
    </w:p>
    <w:p w14:paraId="69264AE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efficiency (95% vs. 80%) than the nickel cadmium battery. However, the nickel cadmium battery can</w:t>
      </w:r>
    </w:p>
    <w:p w14:paraId="7D1475E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operate in lower temperatures and for a greater number of deep discharge cycles. </w:t>
      </w:r>
    </w:p>
    <w:p w14:paraId="14FD0886" w14:textId="77777777" w:rsidR="00541A14" w:rsidRDefault="00A450E1">
      <w:pPr>
        <w:pStyle w:val="CM176"/>
        <w:spacing w:after="1320" w:line="271" w:lineRule="atLeast"/>
        <w:ind w:right="412"/>
        <w:rPr>
          <w:rFonts w:ascii="Palatino" w:hAnsi="Palatino" w:cs="Palatino"/>
          <w:color w:val="000000"/>
          <w:sz w:val="20"/>
          <w:szCs w:val="20"/>
        </w:rPr>
      </w:pPr>
      <w:r>
        <w:rPr>
          <w:rFonts w:ascii="Palatino" w:hAnsi="Palatino" w:cs="Palatino"/>
          <w:color w:val="000000"/>
          <w:sz w:val="20"/>
          <w:szCs w:val="20"/>
        </w:rPr>
        <w:t>Recently, new secondary battery technologies have appeared, including lithium batteries, nickel</w:t>
      </w:r>
      <w:r>
        <w:rPr>
          <w:rFonts w:ascii="Palatino" w:hAnsi="Palatino" w:cs="Palatino"/>
          <w:color w:val="000000"/>
          <w:sz w:val="20"/>
          <w:szCs w:val="20"/>
        </w:rPr>
        <w:softHyphen/>
        <w:t xml:space="preserve">metal-hydride (Ni-MH) batteries and lithium-iron phosphate (LiFePO4) batteries. The last offers lower weight and longer life span from more charge-discharge cycles. </w:t>
      </w:r>
    </w:p>
    <w:p w14:paraId="4A3CC73C"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7BBB606A" wp14:editId="5E6EC542">
            <wp:extent cx="7553960" cy="420370"/>
            <wp:effectExtent l="0" t="0" r="0" b="1143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18B41860" w14:textId="77777777" w:rsidR="00541A14" w:rsidRDefault="00DD420F">
      <w:pPr>
        <w:pStyle w:val="Default"/>
        <w:pageBreakBefore/>
        <w:framePr w:w="12857" w:wrap="auto" w:vAnchor="page" w:hAnchor="page" w:x="101" w:y="1"/>
        <w:spacing w:after="860"/>
        <w:rPr>
          <w:rFonts w:ascii="Palatino" w:hAnsi="Palatino" w:cs="Palatino"/>
          <w:sz w:val="20"/>
          <w:szCs w:val="20"/>
        </w:rPr>
      </w:pPr>
      <w:r>
        <w:rPr>
          <w:rFonts w:ascii="Palatino" w:hAnsi="Palatino" w:cs="Palatino"/>
          <w:noProof/>
          <w:sz w:val="20"/>
          <w:szCs w:val="20"/>
        </w:rPr>
        <w:drawing>
          <wp:inline distT="0" distB="0" distL="0" distR="0" wp14:anchorId="5A924D77" wp14:editId="39B2BBED">
            <wp:extent cx="7553960" cy="106743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5017CA9B"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Lead Acid </w:t>
      </w:r>
    </w:p>
    <w:p w14:paraId="3BC46AD6" w14:textId="77777777" w:rsidR="00541A14" w:rsidRDefault="00A450E1">
      <w:pPr>
        <w:pStyle w:val="Default"/>
        <w:rPr>
          <w:rFonts w:ascii="Palatino" w:hAnsi="Palatino" w:cs="Palatino"/>
          <w:sz w:val="20"/>
          <w:szCs w:val="20"/>
        </w:rPr>
      </w:pPr>
      <w:r>
        <w:rPr>
          <w:rFonts w:ascii="Palatino" w:hAnsi="Palatino" w:cs="Palatino"/>
          <w:sz w:val="20"/>
          <w:szCs w:val="20"/>
        </w:rPr>
        <w:t xml:space="preserve">The basic form of this battery uses a lead dioxide positive plate and a lead immersed in an electrolyte </w:t>
      </w:r>
    </w:p>
    <w:p w14:paraId="79435500" w14:textId="77777777" w:rsidR="00541A14" w:rsidRDefault="00A450E1">
      <w:pPr>
        <w:pStyle w:val="Default"/>
        <w:rPr>
          <w:rFonts w:ascii="Palatino" w:hAnsi="Palatino" w:cs="Palatino"/>
          <w:sz w:val="20"/>
          <w:szCs w:val="20"/>
        </w:rPr>
      </w:pPr>
      <w:r>
        <w:rPr>
          <w:rFonts w:ascii="Palatino" w:hAnsi="Palatino" w:cs="Palatino"/>
          <w:sz w:val="20"/>
          <w:szCs w:val="20"/>
        </w:rPr>
        <w:t xml:space="preserve">of dilute sulphuric acid. These were originally wet or flooded cells.  However in recent years various </w:t>
      </w:r>
    </w:p>
    <w:p w14:paraId="2720E939" w14:textId="77777777" w:rsidR="00541A14" w:rsidRDefault="00A450E1">
      <w:pPr>
        <w:pStyle w:val="CM165"/>
        <w:spacing w:after="85" w:line="271" w:lineRule="atLeast"/>
        <w:ind w:right="412"/>
        <w:rPr>
          <w:rFonts w:ascii="Palatino" w:hAnsi="Palatino" w:cs="Palatino"/>
          <w:color w:val="000000"/>
          <w:sz w:val="20"/>
          <w:szCs w:val="20"/>
        </w:rPr>
      </w:pPr>
      <w:r>
        <w:rPr>
          <w:rFonts w:ascii="Palatino" w:hAnsi="Palatino" w:cs="Palatino"/>
          <w:color w:val="000000"/>
          <w:sz w:val="20"/>
          <w:szCs w:val="20"/>
        </w:rPr>
        <w:t xml:space="preserve">forms of “sealed” cell batteries have become available and are quite common in aids to navigation applications. </w:t>
      </w:r>
    </w:p>
    <w:p w14:paraId="349FEBE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Lead acid batteries are available in two main designs, flooded lead acid and valve regulated (VRLA).  </w:t>
      </w:r>
    </w:p>
    <w:p w14:paraId="7628C4B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VRLA comes in two types, absorbed glass-mat (that use a micro glass separator system to absorb </w:t>
      </w:r>
    </w:p>
    <w:p w14:paraId="15109B1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electrolyte), and gel batteries, that use a gelified electrolyte and polymeric separators to prevent </w:t>
      </w:r>
    </w:p>
    <w:p w14:paraId="391ABB1D"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short circuits between the positive and negative plates. </w:t>
      </w:r>
    </w:p>
    <w:p w14:paraId="518927BE"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Nickel Alkaline Battery </w:t>
      </w:r>
    </w:p>
    <w:p w14:paraId="15C6868F" w14:textId="77777777" w:rsidR="00541A14" w:rsidRDefault="00A450E1">
      <w:pPr>
        <w:pStyle w:val="CM165"/>
        <w:spacing w:after="85" w:line="286" w:lineRule="atLeast"/>
        <w:ind w:right="702"/>
        <w:rPr>
          <w:rFonts w:ascii="Palatino" w:hAnsi="Palatino" w:cs="Palatino"/>
          <w:color w:val="000000"/>
          <w:sz w:val="20"/>
          <w:szCs w:val="20"/>
        </w:rPr>
      </w:pPr>
      <w:r>
        <w:rPr>
          <w:rFonts w:ascii="Palatino" w:hAnsi="Palatino" w:cs="Palatino"/>
          <w:color w:val="000000"/>
          <w:sz w:val="20"/>
          <w:szCs w:val="20"/>
        </w:rPr>
        <w:t xml:space="preserve">These batteries use compounds of nickel and, generally, cadmium with a solution of potassium hydroxide as the electrolyte. </w:t>
      </w:r>
    </w:p>
    <w:p w14:paraId="7C24C9F4" w14:textId="77777777" w:rsidR="00541A14" w:rsidRDefault="00A450E1">
      <w:pPr>
        <w:pStyle w:val="CM165"/>
        <w:spacing w:after="85" w:line="268" w:lineRule="atLeast"/>
        <w:ind w:right="250"/>
        <w:rPr>
          <w:rFonts w:ascii="Palatino" w:hAnsi="Palatino" w:cs="Palatino"/>
          <w:color w:val="000000"/>
          <w:sz w:val="20"/>
          <w:szCs w:val="20"/>
        </w:rPr>
      </w:pPr>
      <w:r>
        <w:rPr>
          <w:rFonts w:ascii="Palatino" w:hAnsi="Palatino" w:cs="Palatino"/>
          <w:color w:val="000000"/>
          <w:sz w:val="20"/>
          <w:szCs w:val="20"/>
        </w:rPr>
        <w:t xml:space="preserve">Nickel-cadmium cells use perforated steel plates that hold the active material, mainly a nickelhydroxide in the positive plate and a cadmium compound in the negative plate.  The construction is generally referred to as a “pocket plate” cell. </w:t>
      </w:r>
    </w:p>
    <w:p w14:paraId="2A6483B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 range of valve regulated nickel-cadmium batteries that use a recombination process now </w:t>
      </w:r>
    </w:p>
    <w:p w14:paraId="6D1DB08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complements the traditional flooded cell design. Under normal float charging conditions any gas </w:t>
      </w:r>
    </w:p>
    <w:p w14:paraId="270971CD" w14:textId="77777777" w:rsidR="00541A14" w:rsidRDefault="00A450E1">
      <w:pPr>
        <w:pStyle w:val="CM172"/>
        <w:spacing w:after="202" w:line="273" w:lineRule="atLeast"/>
        <w:ind w:right="487"/>
        <w:rPr>
          <w:rFonts w:ascii="Palatino" w:hAnsi="Palatino" w:cs="Palatino"/>
          <w:color w:val="000000"/>
          <w:sz w:val="20"/>
          <w:szCs w:val="20"/>
        </w:rPr>
      </w:pPr>
      <w:r>
        <w:rPr>
          <w:rFonts w:ascii="Palatino" w:hAnsi="Palatino" w:cs="Palatino"/>
          <w:color w:val="000000"/>
          <w:sz w:val="20"/>
          <w:szCs w:val="20"/>
        </w:rPr>
        <w:t xml:space="preserve">produced is recombined within the battery and water loss is negligible.  However if the battery isovercharged it will vent but water can be added if necessary. </w:t>
      </w:r>
    </w:p>
    <w:p w14:paraId="305F81A4"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Battery Disposal </w:t>
      </w:r>
    </w:p>
    <w:p w14:paraId="5AFD44F2" w14:textId="77777777" w:rsidR="00541A14" w:rsidRDefault="00A450E1">
      <w:pPr>
        <w:pStyle w:val="CM173"/>
        <w:spacing w:after="340" w:line="268" w:lineRule="atLeast"/>
        <w:ind w:right="250"/>
        <w:rPr>
          <w:rFonts w:ascii="Palatino" w:hAnsi="Palatino" w:cs="Palatino"/>
          <w:color w:val="000000"/>
          <w:sz w:val="20"/>
          <w:szCs w:val="20"/>
        </w:rPr>
      </w:pPr>
      <w:r>
        <w:rPr>
          <w:rFonts w:ascii="Palatino" w:hAnsi="Palatino" w:cs="Palatino"/>
          <w:color w:val="000000"/>
          <w:sz w:val="20"/>
          <w:szCs w:val="20"/>
        </w:rPr>
        <w:t xml:space="preserve">A number of countries now have standards and regulations relating to the safe and environmentally acceptable methods of disposing or recycling of batteries.  </w:t>
      </w:r>
    </w:p>
    <w:p w14:paraId="414AE5FC"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7.3.2 Primary Cells </w:t>
      </w:r>
    </w:p>
    <w:p w14:paraId="7165C7DD"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Primary cells provide electrical energy by a non-reversible chemical process.  They were used in large numbers up until the 1980s to operate buoys and automatic beacon lights. The usage of primary cellshas declined sharply since commercial solar power (photovoltaic) modules have become available.  A related issue that hastened the decline of primary cells was the tightening environmental standards in a number of countries that required cells to be recovered from site for disposal in an approved manner. Disposal compliance costs, and occupational health and safety aspects of the frequent change-out of primary cells have worked in favour of converting to renewable energy sources (e.g. solar, wind and wave generators). </w:t>
      </w:r>
    </w:p>
    <w:p w14:paraId="68B168E3"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Zinc-Air Cell </w:t>
      </w:r>
    </w:p>
    <w:p w14:paraId="7911B330" w14:textId="77777777" w:rsidR="00541A14" w:rsidRDefault="00A450E1">
      <w:pPr>
        <w:pStyle w:val="CM172"/>
        <w:spacing w:after="202" w:line="291" w:lineRule="atLeast"/>
        <w:ind w:right="107"/>
        <w:rPr>
          <w:rFonts w:ascii="Palatino" w:hAnsi="Palatino" w:cs="Palatino"/>
          <w:color w:val="000000"/>
          <w:sz w:val="20"/>
          <w:szCs w:val="20"/>
        </w:rPr>
      </w:pPr>
      <w:r>
        <w:rPr>
          <w:rFonts w:ascii="Palatino" w:hAnsi="Palatino" w:cs="Palatino"/>
          <w:color w:val="000000"/>
          <w:sz w:val="20"/>
          <w:szCs w:val="20"/>
        </w:rPr>
        <w:t xml:space="preserve">The zinc-air primary cell was a common energy source for operating buoy and beacon applications.  The cell uses a porous carbon block to supply oxygen from the air through an alkaline electrolyte to oxidize a zinc anode. Individual primary cells have an open circuit voltage of about 1.2 volts and can supply 1000 to 2000 Ah at a maximum rate of about 1 ampere. </w:t>
      </w:r>
    </w:p>
    <w:p w14:paraId="371439C4"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Lithium-Thionyl Chloride Cell </w:t>
      </w:r>
    </w:p>
    <w:p w14:paraId="1DF8DB76" w14:textId="77777777" w:rsidR="00541A14" w:rsidRDefault="00A450E1">
      <w:pPr>
        <w:pStyle w:val="CM176"/>
        <w:spacing w:after="1320" w:line="291" w:lineRule="atLeast"/>
        <w:rPr>
          <w:rFonts w:ascii="Palatino" w:hAnsi="Palatino" w:cs="Palatino"/>
          <w:color w:val="000000"/>
          <w:sz w:val="20"/>
          <w:szCs w:val="20"/>
        </w:rPr>
      </w:pPr>
      <w:r>
        <w:rPr>
          <w:rFonts w:ascii="Palatino" w:hAnsi="Palatino" w:cs="Palatino"/>
          <w:color w:val="000000"/>
          <w:sz w:val="20"/>
          <w:szCs w:val="20"/>
        </w:rPr>
        <w:t xml:space="preserve">Another type of primary cell in use in buoy applications is the lithium-thionyl chloride cell. This has a higher energy density and a longer shelf life than the zinc-air cell.  </w:t>
      </w:r>
    </w:p>
    <w:p w14:paraId="6F080DBD"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18E049F1" wp14:editId="6F816A08">
            <wp:extent cx="7542530" cy="420370"/>
            <wp:effectExtent l="0" t="0" r="1270" b="1143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2303FDA1" w14:textId="77777777" w:rsidR="00541A14" w:rsidRDefault="00A450E1">
      <w:pPr>
        <w:pStyle w:val="CM178"/>
        <w:pageBreakBefore/>
        <w:spacing w:after="1397"/>
        <w:rPr>
          <w:rFonts w:ascii="Futura Book" w:hAnsi="Futura Book" w:cs="Futura Book"/>
          <w:color w:val="FFFFFF"/>
          <w:sz w:val="32"/>
          <w:szCs w:val="32"/>
        </w:rPr>
      </w:pPr>
      <w:r>
        <w:rPr>
          <w:rFonts w:ascii="Futura Book" w:hAnsi="Futura Book" w:cs="Futura Book"/>
          <w:b/>
          <w:bCs/>
          <w:color w:val="FFFFFF"/>
          <w:sz w:val="64"/>
          <w:szCs w:val="64"/>
        </w:rPr>
        <w:t xml:space="preserve">7 </w:t>
      </w:r>
      <w:r>
        <w:rPr>
          <w:rFonts w:ascii="Futura Book" w:hAnsi="Futura Book" w:cs="Futura Book"/>
          <w:b/>
          <w:bCs/>
          <w:color w:val="FFFFFF"/>
          <w:sz w:val="32"/>
          <w:szCs w:val="32"/>
        </w:rPr>
        <w:t xml:space="preserve">Power Supplies </w:t>
      </w:r>
    </w:p>
    <w:p w14:paraId="6B25C79A"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Sealed Alkaline Battery </w:t>
      </w:r>
    </w:p>
    <w:p w14:paraId="23674F0A" w14:textId="77777777" w:rsidR="00541A14" w:rsidRDefault="00A450E1">
      <w:pPr>
        <w:pStyle w:val="CM175"/>
        <w:spacing w:after="267"/>
        <w:rPr>
          <w:rFonts w:ascii="Palatino" w:hAnsi="Palatino" w:cs="Palatino"/>
          <w:color w:val="000000"/>
          <w:sz w:val="20"/>
          <w:szCs w:val="20"/>
        </w:rPr>
      </w:pPr>
      <w:r>
        <w:rPr>
          <w:rFonts w:ascii="Palatino" w:hAnsi="Palatino" w:cs="Palatino"/>
          <w:color w:val="000000"/>
          <w:sz w:val="20"/>
          <w:szCs w:val="20"/>
        </w:rPr>
        <w:t xml:space="preserve">Is commonly used in some countries, and has the benefits of good low temperature performance </w:t>
      </w:r>
    </w:p>
    <w:p w14:paraId="4D500248"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Sea-Water Cells </w:t>
      </w:r>
    </w:p>
    <w:p w14:paraId="11746138"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The sea-water cell</w:t>
      </w:r>
      <w:r>
        <w:rPr>
          <w:rFonts w:ascii="Palatino" w:hAnsi="Palatino" w:cs="Palatino"/>
          <w:color w:val="000000"/>
          <w:position w:val="7"/>
          <w:sz w:val="11"/>
          <w:szCs w:val="11"/>
          <w:vertAlign w:val="superscript"/>
        </w:rPr>
        <w:t>39</w:t>
      </w:r>
      <w:r>
        <w:rPr>
          <w:rFonts w:ascii="Palatino" w:hAnsi="Palatino" w:cs="Palatino"/>
          <w:color w:val="000000"/>
          <w:sz w:val="20"/>
          <w:szCs w:val="20"/>
        </w:rPr>
        <w:t xml:space="preserve"> developed for buoy applications in Norway is a primary cell that uses amagnesium anode and a largely inert copper cathode. The sea water acts both as an electrolyte andthe provider of dissolved oxygen for the cathode. </w:t>
      </w:r>
    </w:p>
    <w:p w14:paraId="38C26BC0" w14:textId="77777777" w:rsidR="00541A14" w:rsidRDefault="00A450E1">
      <w:pPr>
        <w:pStyle w:val="Default"/>
        <w:spacing w:line="271" w:lineRule="atLeast"/>
        <w:ind w:right="300"/>
        <w:rPr>
          <w:rFonts w:ascii="Palatino" w:hAnsi="Palatino" w:cs="Palatino"/>
          <w:sz w:val="20"/>
          <w:szCs w:val="20"/>
        </w:rPr>
      </w:pPr>
      <w:r>
        <w:rPr>
          <w:rFonts w:ascii="Palatino" w:hAnsi="Palatino" w:cs="Palatino"/>
          <w:sz w:val="20"/>
          <w:szCs w:val="20"/>
        </w:rPr>
        <w:t xml:space="preserve">A single cell is installed as part of the buoy tail tube. The motion of the buoy has a beneficial effect in agitating the water to provide an oxygen-rich flow through the cell and carry away the reaction </w:t>
      </w:r>
    </w:p>
    <w:p w14:paraId="15AC6664"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products. </w:t>
      </w:r>
    </w:p>
    <w:p w14:paraId="11E0C24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Copper was selected for the cathode material because of its inherent antifouling properties. A magnesium anode was considered environmentally acceptable because it is a naturally occurringelement of sea water. The cell produces a voltage of 0.8 to 1 volt under load. Components of the cellsunder evaluated have been sized to provide around 35,000 watt hours of energy. </w:t>
      </w:r>
    </w:p>
    <w:p w14:paraId="768AD1BF"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An AC-DC converter is used to raise the voltage to the level required by the load as it is impractical to use more than one cell due to the current leakage that would occur. </w:t>
      </w:r>
    </w:p>
    <w:p w14:paraId="469D7B0E" w14:textId="77777777" w:rsidR="00541A14" w:rsidRDefault="00A450E1">
      <w:pPr>
        <w:pStyle w:val="CM185"/>
        <w:spacing w:after="140"/>
        <w:rPr>
          <w:rFonts w:ascii="Futura Book" w:hAnsi="Futura Book" w:cs="Futura Book"/>
          <w:color w:val="2C5062"/>
          <w:sz w:val="22"/>
          <w:szCs w:val="22"/>
        </w:rPr>
      </w:pPr>
      <w:r>
        <w:rPr>
          <w:rFonts w:ascii="Futura Book" w:hAnsi="Futura Book" w:cs="Futura Book"/>
          <w:b/>
          <w:bCs/>
          <w:color w:val="2C5062"/>
          <w:sz w:val="22"/>
          <w:szCs w:val="22"/>
        </w:rPr>
        <w:t xml:space="preserve">7.3.3 Internal Combustion Engine/Generators </w:t>
      </w:r>
    </w:p>
    <w:p w14:paraId="2286ACDE"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Diesel Generators </w:t>
      </w:r>
    </w:p>
    <w:p w14:paraId="23A27FE4" w14:textId="77777777" w:rsidR="00541A14" w:rsidRDefault="00A450E1">
      <w:pPr>
        <w:pStyle w:val="CM165"/>
        <w:spacing w:after="85" w:line="268" w:lineRule="atLeast"/>
        <w:ind w:right="352"/>
        <w:rPr>
          <w:rFonts w:ascii="Palatino" w:hAnsi="Palatino" w:cs="Palatino"/>
          <w:color w:val="000000"/>
          <w:sz w:val="20"/>
          <w:szCs w:val="20"/>
        </w:rPr>
      </w:pPr>
      <w:r>
        <w:rPr>
          <w:rFonts w:ascii="Palatino" w:hAnsi="Palatino" w:cs="Palatino"/>
          <w:color w:val="000000"/>
          <w:sz w:val="20"/>
          <w:szCs w:val="20"/>
        </w:rPr>
        <w:t xml:space="preserve">Diesel engine driven generators are often used as the primary source of electrical power where the location of an aid to navigation is too remote to be supplied from a mains electricity grid. Diesel generators are also used to provide emergency or backup power. </w:t>
      </w:r>
    </w:p>
    <w:p w14:paraId="2C110CF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generator capacity to support the operational and domestic loads of a standard lighthouse is in therange of 10 to 30 kW. Diesel generators of this size are expected to consume around 0.4 litres/kWh. </w:t>
      </w:r>
    </w:p>
    <w:p w14:paraId="252C4AD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requirement for diesel generators in lighthouses is decreasing as a result of: </w:t>
      </w:r>
    </w:p>
    <w:p w14:paraId="2F3FB010" w14:textId="77777777" w:rsidR="00541A14" w:rsidRDefault="00A450E1">
      <w:pPr>
        <w:pStyle w:val="Default"/>
        <w:numPr>
          <w:ilvl w:val="0"/>
          <w:numId w:val="143"/>
        </w:numPr>
        <w:rPr>
          <w:rFonts w:ascii="Palatino" w:hAnsi="Palatino" w:cs="Palatino"/>
          <w:sz w:val="20"/>
          <w:szCs w:val="20"/>
        </w:rPr>
      </w:pPr>
      <w:r>
        <w:rPr>
          <w:rFonts w:ascii="Palatino" w:hAnsi="Palatino" w:cs="Palatino"/>
          <w:sz w:val="20"/>
          <w:szCs w:val="20"/>
        </w:rPr>
        <w:t xml:space="preserve">lighthouse automation (destaffing), and because; </w:t>
      </w:r>
    </w:p>
    <w:p w14:paraId="395211C2" w14:textId="77777777" w:rsidR="00541A14" w:rsidRDefault="00A450E1">
      <w:pPr>
        <w:pStyle w:val="Default"/>
        <w:numPr>
          <w:ilvl w:val="0"/>
          <w:numId w:val="143"/>
        </w:numPr>
        <w:rPr>
          <w:rFonts w:ascii="Palatino" w:hAnsi="Palatino" w:cs="Palatino"/>
          <w:sz w:val="20"/>
          <w:szCs w:val="20"/>
        </w:rPr>
      </w:pPr>
      <w:r>
        <w:rPr>
          <w:rFonts w:ascii="Palatino" w:hAnsi="Palatino" w:cs="Palatino"/>
          <w:sz w:val="20"/>
          <w:szCs w:val="20"/>
        </w:rPr>
        <w:t>new beacon and lamp technology that enables a light with a nominal range 18 to 20 nautical</w:t>
      </w:r>
    </w:p>
    <w:p w14:paraId="1C7FFEF1" w14:textId="77777777" w:rsidR="00541A14" w:rsidRDefault="00541A14">
      <w:pPr>
        <w:pStyle w:val="Default"/>
        <w:rPr>
          <w:rFonts w:ascii="Palatino" w:hAnsi="Palatino" w:cs="Palatino"/>
          <w:sz w:val="20"/>
          <w:szCs w:val="20"/>
        </w:rPr>
      </w:pPr>
    </w:p>
    <w:p w14:paraId="7564379E" w14:textId="77777777" w:rsidR="00541A14" w:rsidRDefault="00A450E1">
      <w:pPr>
        <w:pStyle w:val="CM172"/>
        <w:spacing w:after="202" w:line="260" w:lineRule="atLeast"/>
        <w:ind w:left="295"/>
        <w:rPr>
          <w:rFonts w:ascii="Palatino" w:hAnsi="Palatino" w:cs="Palatino"/>
          <w:color w:val="000000"/>
          <w:sz w:val="20"/>
          <w:szCs w:val="20"/>
        </w:rPr>
      </w:pPr>
      <w:r>
        <w:rPr>
          <w:rFonts w:ascii="Palatino" w:hAnsi="Palatino" w:cs="Palatino"/>
          <w:color w:val="000000"/>
          <w:sz w:val="20"/>
          <w:szCs w:val="20"/>
        </w:rPr>
        <w:t xml:space="preserve">miles to be operated from a renewable energy source. </w:t>
      </w:r>
    </w:p>
    <w:p w14:paraId="20B6A0F6"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Petrol engine generators </w:t>
      </w:r>
    </w:p>
    <w:p w14:paraId="1949BAE3"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Petrol engine generators are a useful source of power for maintenance work, but are less common in permanent installations due to: </w:t>
      </w:r>
    </w:p>
    <w:p w14:paraId="3C934ED0" w14:textId="77777777" w:rsidR="00541A14" w:rsidRDefault="00A450E1">
      <w:pPr>
        <w:pStyle w:val="Default"/>
        <w:numPr>
          <w:ilvl w:val="0"/>
          <w:numId w:val="144"/>
        </w:numPr>
        <w:rPr>
          <w:rFonts w:ascii="Palatino" w:hAnsi="Palatino" w:cs="Palatino"/>
          <w:sz w:val="20"/>
          <w:szCs w:val="20"/>
        </w:rPr>
      </w:pPr>
      <w:r>
        <w:rPr>
          <w:rFonts w:ascii="Palatino" w:hAnsi="Palatino" w:cs="Palatino"/>
          <w:sz w:val="20"/>
          <w:szCs w:val="20"/>
        </w:rPr>
        <w:t xml:space="preserve">fuel storage and transportation safety issues; </w:t>
      </w:r>
    </w:p>
    <w:p w14:paraId="7A434BD0" w14:textId="77777777" w:rsidR="00541A14" w:rsidRDefault="00A450E1">
      <w:pPr>
        <w:pStyle w:val="Default"/>
        <w:numPr>
          <w:ilvl w:val="0"/>
          <w:numId w:val="144"/>
        </w:numPr>
        <w:rPr>
          <w:rFonts w:ascii="Palatino" w:hAnsi="Palatino" w:cs="Palatino"/>
          <w:sz w:val="20"/>
          <w:szCs w:val="20"/>
        </w:rPr>
      </w:pPr>
      <w:r>
        <w:rPr>
          <w:rFonts w:ascii="Palatino" w:hAnsi="Palatino" w:cs="Palatino"/>
          <w:sz w:val="20"/>
          <w:szCs w:val="20"/>
        </w:rPr>
        <w:t xml:space="preserve">maintenance requirements on the spark-ignition system, and; </w:t>
      </w:r>
    </w:p>
    <w:p w14:paraId="02C06AFE" w14:textId="77777777" w:rsidR="00541A14" w:rsidRDefault="00A450E1">
      <w:pPr>
        <w:pStyle w:val="Default"/>
        <w:numPr>
          <w:ilvl w:val="0"/>
          <w:numId w:val="144"/>
        </w:numPr>
        <w:rPr>
          <w:rFonts w:ascii="Palatino" w:hAnsi="Palatino" w:cs="Palatino"/>
          <w:sz w:val="20"/>
          <w:szCs w:val="20"/>
        </w:rPr>
      </w:pPr>
      <w:r>
        <w:rPr>
          <w:rFonts w:ascii="Palatino" w:hAnsi="Palatino" w:cs="Palatino"/>
          <w:sz w:val="20"/>
          <w:szCs w:val="20"/>
        </w:rPr>
        <w:t xml:space="preserve">the petrol engine generally being regarded as less durable than a diesel. </w:t>
      </w:r>
    </w:p>
    <w:p w14:paraId="2AD552A3" w14:textId="77777777" w:rsidR="00541A14" w:rsidRDefault="00541A14">
      <w:pPr>
        <w:pStyle w:val="Default"/>
        <w:rPr>
          <w:rFonts w:ascii="Palatino" w:hAnsi="Palatino" w:cs="Palatino"/>
          <w:sz w:val="20"/>
          <w:szCs w:val="20"/>
        </w:rPr>
      </w:pPr>
    </w:p>
    <w:p w14:paraId="54D0122E"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Thermo-electric generator </w:t>
      </w:r>
    </w:p>
    <w:p w14:paraId="4D564CD2"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This is a solid-state generator in which a heat source, commonly from a propane burner, is directed onto a thermopile (i.e. an array of thermocouple type elements). Since each thermocouple only produces a voltage of around 0.5 volts, a number are connected in series. </w:t>
      </w:r>
    </w:p>
    <w:p w14:paraId="02CDF387" w14:textId="77777777" w:rsidR="00541A14" w:rsidRDefault="00A450E1">
      <w:pPr>
        <w:pStyle w:val="CM174"/>
        <w:spacing w:after="437" w:line="291" w:lineRule="atLeast"/>
        <w:rPr>
          <w:rFonts w:ascii="Palatino" w:hAnsi="Palatino" w:cs="Palatino"/>
          <w:color w:val="000000"/>
          <w:sz w:val="20"/>
          <w:szCs w:val="20"/>
        </w:rPr>
      </w:pPr>
      <w:r>
        <w:rPr>
          <w:rFonts w:ascii="Palatino" w:hAnsi="Palatino" w:cs="Palatino"/>
          <w:color w:val="000000"/>
          <w:sz w:val="20"/>
          <w:szCs w:val="20"/>
        </w:rPr>
        <w:t xml:space="preserve">This type of generator has a low thermal efficiency (around 5%) and is rarely used. </w:t>
      </w:r>
    </w:p>
    <w:p w14:paraId="3204305A" w14:textId="77777777" w:rsidR="00541A14" w:rsidRDefault="00A450E1">
      <w:pPr>
        <w:pStyle w:val="CM162"/>
        <w:spacing w:after="552" w:line="216" w:lineRule="atLeast"/>
        <w:ind w:right="120"/>
        <w:rPr>
          <w:rFonts w:ascii="Palatino" w:hAnsi="Palatino" w:cs="Palatino"/>
          <w:color w:val="000000"/>
          <w:sz w:val="20"/>
          <w:szCs w:val="20"/>
        </w:rPr>
      </w:pPr>
      <w:r>
        <w:rPr>
          <w:rFonts w:ascii="Palatino" w:hAnsi="Palatino" w:cs="Palatino"/>
          <w:color w:val="000000"/>
          <w:position w:val="6"/>
          <w:sz w:val="20"/>
          <w:szCs w:val="20"/>
          <w:vertAlign w:val="superscript"/>
        </w:rPr>
        <w:t>39</w:t>
      </w:r>
      <w:r>
        <w:rPr>
          <w:rFonts w:ascii="Palatino" w:hAnsi="Palatino" w:cs="Palatino"/>
          <w:color w:val="000000"/>
          <w:sz w:val="20"/>
          <w:szCs w:val="20"/>
        </w:rPr>
        <w:t xml:space="preserve">The chemistry of the sea-water cell and the prototype light buoys using this cell have been described in papersfor the 1990 IALA Conference and IALABATT 2 and 3. </w:t>
      </w:r>
    </w:p>
    <w:p w14:paraId="65BFA9E9"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52CD99AF" wp14:editId="348DB441">
            <wp:extent cx="7553960" cy="420370"/>
            <wp:effectExtent l="0" t="0" r="0" b="1143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04E64FDA" w14:textId="77777777" w:rsidR="00541A14" w:rsidRDefault="00DD420F">
      <w:pPr>
        <w:pStyle w:val="Default"/>
        <w:pageBreakBefore/>
        <w:framePr w:w="12857" w:wrap="auto" w:vAnchor="page" w:hAnchor="page" w:x="101" w:y="1"/>
        <w:spacing w:after="820"/>
        <w:rPr>
          <w:rFonts w:ascii="Palatino" w:hAnsi="Palatino" w:cs="Palatino"/>
          <w:sz w:val="20"/>
          <w:szCs w:val="20"/>
        </w:rPr>
      </w:pPr>
      <w:r>
        <w:rPr>
          <w:rFonts w:ascii="Palatino" w:hAnsi="Palatino" w:cs="Palatino"/>
          <w:noProof/>
          <w:sz w:val="20"/>
          <w:szCs w:val="20"/>
        </w:rPr>
        <w:drawing>
          <wp:inline distT="0" distB="0" distL="0" distR="0" wp14:anchorId="3B48E7BF" wp14:editId="76EF64D2">
            <wp:extent cx="7553960" cy="106743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12920982"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Stirling engine driven generator </w:t>
      </w:r>
    </w:p>
    <w:p w14:paraId="07837342" w14:textId="77777777" w:rsidR="00541A14" w:rsidRDefault="00A450E1">
      <w:pPr>
        <w:pStyle w:val="CM172"/>
        <w:spacing w:after="202" w:line="268" w:lineRule="atLeast"/>
        <w:ind w:right="250"/>
        <w:rPr>
          <w:rFonts w:ascii="Palatino" w:hAnsi="Palatino" w:cs="Palatino"/>
          <w:color w:val="000000"/>
          <w:sz w:val="20"/>
          <w:szCs w:val="20"/>
        </w:rPr>
      </w:pPr>
      <w:r>
        <w:rPr>
          <w:rFonts w:ascii="Palatino" w:hAnsi="Palatino" w:cs="Palatino"/>
          <w:color w:val="000000"/>
          <w:sz w:val="20"/>
          <w:szCs w:val="20"/>
        </w:rPr>
        <w:t xml:space="preserve">The Stirling engine is an external combustion engine that can be operated on gas or dieselfuel. Packaged generator sets are available that could operate a lighthouse.  Typical generators produce 1kW electrical output and 5kW of heat.  The heat output could be a useful by-product for maintaining a constant temperature in a lighthouse. </w:t>
      </w:r>
    </w:p>
    <w:p w14:paraId="58E952D6"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Fuel cell </w:t>
      </w:r>
    </w:p>
    <w:p w14:paraId="0A1BCDDD" w14:textId="77777777" w:rsidR="00541A14" w:rsidRDefault="00A450E1">
      <w:pPr>
        <w:pStyle w:val="CM165"/>
        <w:spacing w:after="85" w:line="268" w:lineRule="atLeast"/>
        <w:ind w:right="352"/>
        <w:rPr>
          <w:rFonts w:ascii="Palatino" w:hAnsi="Palatino" w:cs="Palatino"/>
          <w:color w:val="000000"/>
          <w:sz w:val="20"/>
          <w:szCs w:val="20"/>
        </w:rPr>
      </w:pPr>
      <w:r>
        <w:rPr>
          <w:rFonts w:ascii="Palatino" w:hAnsi="Palatino" w:cs="Palatino"/>
          <w:color w:val="000000"/>
          <w:sz w:val="20"/>
          <w:szCs w:val="20"/>
        </w:rPr>
        <w:t xml:space="preserve">This is a solid-state device that uses a catalytic process to oxidise fuel to generate an electrical current. A common fuel is hydrogen, or hydrogen rich fuels.  It can be thought of as acontinuously fed battery. </w:t>
      </w:r>
    </w:p>
    <w:p w14:paraId="67B53CE6"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The commercial fuel cell is still an emerging technology and at this stage is an expensive power source</w:t>
      </w:r>
      <w:r>
        <w:rPr>
          <w:rFonts w:ascii="Palatino" w:hAnsi="Palatino" w:cs="Palatino"/>
          <w:color w:val="000000"/>
          <w:position w:val="7"/>
          <w:sz w:val="11"/>
          <w:szCs w:val="11"/>
          <w:vertAlign w:val="superscript"/>
        </w:rPr>
        <w:t>40</w:t>
      </w:r>
      <w:r>
        <w:rPr>
          <w:rFonts w:ascii="Palatino" w:hAnsi="Palatino" w:cs="Palatino"/>
          <w:color w:val="000000"/>
          <w:sz w:val="20"/>
          <w:szCs w:val="20"/>
        </w:rPr>
        <w:t xml:space="preserve">. Aids to navigation applications are likely to be limited to situations where solar energy (photovoltaic) is impractical due to limited insulation or icing conditions. </w:t>
      </w:r>
    </w:p>
    <w:p w14:paraId="2EEE2470" w14:textId="77777777" w:rsidR="00541A14" w:rsidRDefault="00A450E1">
      <w:pPr>
        <w:pStyle w:val="CM173"/>
        <w:spacing w:after="340" w:line="291" w:lineRule="atLeast"/>
        <w:ind w:right="107"/>
        <w:rPr>
          <w:rFonts w:ascii="Palatino" w:hAnsi="Palatino" w:cs="Palatino"/>
          <w:color w:val="000000"/>
          <w:sz w:val="20"/>
          <w:szCs w:val="20"/>
        </w:rPr>
      </w:pPr>
      <w:r>
        <w:rPr>
          <w:rFonts w:ascii="Palatino" w:hAnsi="Palatino" w:cs="Palatino"/>
          <w:color w:val="000000"/>
          <w:sz w:val="20"/>
          <w:szCs w:val="20"/>
        </w:rPr>
        <w:t xml:space="preserve">There is some interest in the use of fuel cells in hybrid power systems with wind energy or solar energy.  These systems are still in development. </w:t>
      </w:r>
    </w:p>
    <w:p w14:paraId="00F8B136" w14:textId="77777777" w:rsidR="00541A14" w:rsidRDefault="00A450E1">
      <w:pPr>
        <w:pStyle w:val="CM173"/>
        <w:spacing w:after="340"/>
        <w:rPr>
          <w:rFonts w:ascii="Futura Book" w:hAnsi="Futura Book" w:cs="Futura Book"/>
          <w:color w:val="2C5062"/>
          <w:sz w:val="28"/>
          <w:szCs w:val="28"/>
        </w:rPr>
      </w:pPr>
      <w:r>
        <w:rPr>
          <w:rFonts w:ascii="Futura Book" w:hAnsi="Futura Book" w:cs="Futura Book"/>
          <w:b/>
          <w:bCs/>
          <w:color w:val="2C5062"/>
          <w:sz w:val="28"/>
          <w:szCs w:val="28"/>
        </w:rPr>
        <w:t xml:space="preserve">7.4 Electrical Loads and Lightning Protection </w:t>
      </w:r>
    </w:p>
    <w:p w14:paraId="5FB313E5"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7.4.1 Electrical Loads </w:t>
      </w:r>
    </w:p>
    <w:p w14:paraId="740F29A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IALA has prepared a standard methodology for calculating and defining the load profile of </w:t>
      </w:r>
    </w:p>
    <w:p w14:paraId="04BD114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electric aids. This covers the loads for: </w:t>
      </w:r>
    </w:p>
    <w:p w14:paraId="644DB513" w14:textId="77777777" w:rsidR="00541A14" w:rsidRDefault="00A450E1">
      <w:pPr>
        <w:pStyle w:val="Default"/>
        <w:numPr>
          <w:ilvl w:val="0"/>
          <w:numId w:val="145"/>
        </w:numPr>
        <w:rPr>
          <w:rFonts w:ascii="Palatino" w:hAnsi="Palatino" w:cs="Palatino"/>
          <w:sz w:val="20"/>
          <w:szCs w:val="20"/>
        </w:rPr>
      </w:pPr>
      <w:r>
        <w:rPr>
          <w:rFonts w:ascii="Palatino" w:hAnsi="Palatino" w:cs="Palatino"/>
          <w:sz w:val="20"/>
          <w:szCs w:val="20"/>
        </w:rPr>
        <w:t xml:space="preserve">lights; </w:t>
      </w:r>
    </w:p>
    <w:p w14:paraId="14288EA5" w14:textId="77777777" w:rsidR="00541A14" w:rsidRDefault="00A450E1">
      <w:pPr>
        <w:pStyle w:val="Default"/>
        <w:numPr>
          <w:ilvl w:val="0"/>
          <w:numId w:val="145"/>
        </w:numPr>
        <w:rPr>
          <w:rFonts w:ascii="Palatino" w:hAnsi="Palatino" w:cs="Palatino"/>
          <w:sz w:val="20"/>
          <w:szCs w:val="20"/>
        </w:rPr>
      </w:pPr>
      <w:r>
        <w:rPr>
          <w:rFonts w:ascii="Palatino" w:hAnsi="Palatino" w:cs="Palatino"/>
          <w:sz w:val="20"/>
          <w:szCs w:val="20"/>
        </w:rPr>
        <w:t xml:space="preserve">racons; </w:t>
      </w:r>
    </w:p>
    <w:p w14:paraId="72F50344" w14:textId="77777777" w:rsidR="00541A14" w:rsidRDefault="00A450E1">
      <w:pPr>
        <w:pStyle w:val="Default"/>
        <w:numPr>
          <w:ilvl w:val="0"/>
          <w:numId w:val="145"/>
        </w:numPr>
        <w:rPr>
          <w:rFonts w:ascii="Palatino" w:hAnsi="Palatino" w:cs="Palatino"/>
          <w:sz w:val="20"/>
          <w:szCs w:val="20"/>
        </w:rPr>
      </w:pPr>
      <w:r>
        <w:rPr>
          <w:rFonts w:ascii="Palatino" w:hAnsi="Palatino" w:cs="Palatino"/>
          <w:sz w:val="20"/>
          <w:szCs w:val="20"/>
        </w:rPr>
        <w:t xml:space="preserve">AIS AtoN; </w:t>
      </w:r>
    </w:p>
    <w:p w14:paraId="3C8B31CD" w14:textId="77777777" w:rsidR="00541A14" w:rsidRDefault="00A450E1">
      <w:pPr>
        <w:pStyle w:val="Default"/>
        <w:numPr>
          <w:ilvl w:val="0"/>
          <w:numId w:val="145"/>
        </w:numPr>
        <w:rPr>
          <w:rFonts w:ascii="Palatino" w:hAnsi="Palatino" w:cs="Palatino"/>
          <w:sz w:val="20"/>
          <w:szCs w:val="20"/>
        </w:rPr>
      </w:pPr>
      <w:r>
        <w:rPr>
          <w:rFonts w:ascii="Palatino" w:hAnsi="Palatino" w:cs="Palatino"/>
          <w:sz w:val="20"/>
          <w:szCs w:val="20"/>
        </w:rPr>
        <w:t xml:space="preserve">electric sound signals; </w:t>
      </w:r>
    </w:p>
    <w:p w14:paraId="4302671B" w14:textId="77777777" w:rsidR="00541A14" w:rsidRDefault="00A450E1">
      <w:pPr>
        <w:pStyle w:val="Default"/>
        <w:numPr>
          <w:ilvl w:val="0"/>
          <w:numId w:val="145"/>
        </w:numPr>
        <w:rPr>
          <w:rFonts w:ascii="Palatino" w:hAnsi="Palatino" w:cs="Palatino"/>
          <w:sz w:val="20"/>
          <w:szCs w:val="20"/>
        </w:rPr>
      </w:pPr>
      <w:r>
        <w:rPr>
          <w:rFonts w:ascii="Palatino" w:hAnsi="Palatino" w:cs="Palatino"/>
          <w:sz w:val="20"/>
          <w:szCs w:val="20"/>
        </w:rPr>
        <w:t xml:space="preserve">fog detectors; </w:t>
      </w:r>
    </w:p>
    <w:p w14:paraId="4E3A4449" w14:textId="77777777" w:rsidR="00541A14" w:rsidRDefault="00A450E1">
      <w:pPr>
        <w:pStyle w:val="Default"/>
        <w:numPr>
          <w:ilvl w:val="0"/>
          <w:numId w:val="145"/>
        </w:numPr>
        <w:rPr>
          <w:rFonts w:ascii="Palatino" w:hAnsi="Palatino" w:cs="Palatino"/>
          <w:sz w:val="20"/>
          <w:szCs w:val="20"/>
        </w:rPr>
      </w:pPr>
      <w:r>
        <w:rPr>
          <w:rFonts w:ascii="Palatino" w:hAnsi="Palatino" w:cs="Palatino"/>
          <w:sz w:val="20"/>
          <w:szCs w:val="20"/>
        </w:rPr>
        <w:t xml:space="preserve">monitoring and telemetry systems; </w:t>
      </w:r>
    </w:p>
    <w:p w14:paraId="2C5A7751" w14:textId="77777777" w:rsidR="00541A14" w:rsidRDefault="00A450E1">
      <w:pPr>
        <w:pStyle w:val="Default"/>
        <w:numPr>
          <w:ilvl w:val="0"/>
          <w:numId w:val="145"/>
        </w:numPr>
        <w:rPr>
          <w:rFonts w:ascii="Palatino" w:hAnsi="Palatino" w:cs="Palatino"/>
          <w:sz w:val="20"/>
          <w:szCs w:val="20"/>
        </w:rPr>
      </w:pPr>
      <w:r>
        <w:rPr>
          <w:rFonts w:ascii="Palatino" w:hAnsi="Palatino" w:cs="Palatino"/>
          <w:sz w:val="20"/>
          <w:szCs w:val="20"/>
        </w:rPr>
        <w:t xml:space="preserve">charge controllers; and </w:t>
      </w:r>
    </w:p>
    <w:p w14:paraId="25A02D41" w14:textId="77777777" w:rsidR="00541A14" w:rsidRDefault="00A450E1">
      <w:pPr>
        <w:pStyle w:val="Default"/>
        <w:numPr>
          <w:ilvl w:val="0"/>
          <w:numId w:val="145"/>
        </w:numPr>
        <w:rPr>
          <w:rFonts w:ascii="Palatino" w:hAnsi="Palatino" w:cs="Palatino"/>
          <w:sz w:val="20"/>
          <w:szCs w:val="20"/>
        </w:rPr>
      </w:pPr>
      <w:r>
        <w:rPr>
          <w:rFonts w:ascii="Palatino" w:hAnsi="Palatino" w:cs="Palatino"/>
          <w:sz w:val="20"/>
          <w:szCs w:val="20"/>
        </w:rPr>
        <w:t xml:space="preserve">signal control equipment </w:t>
      </w:r>
    </w:p>
    <w:p w14:paraId="0CF4CD64" w14:textId="77777777" w:rsidR="00541A14" w:rsidRDefault="00541A14">
      <w:pPr>
        <w:pStyle w:val="Default"/>
        <w:rPr>
          <w:rFonts w:ascii="Palatino" w:hAnsi="Palatino" w:cs="Palatino"/>
          <w:sz w:val="20"/>
          <w:szCs w:val="20"/>
        </w:rPr>
      </w:pPr>
    </w:p>
    <w:p w14:paraId="26782057"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7.4.2 Lightning Protection </w:t>
      </w:r>
    </w:p>
    <w:p w14:paraId="697D671F" w14:textId="77777777" w:rsidR="00541A14" w:rsidRDefault="00A450E1">
      <w:pPr>
        <w:pStyle w:val="CM175"/>
        <w:spacing w:after="267" w:line="291" w:lineRule="atLeast"/>
        <w:rPr>
          <w:rFonts w:ascii="Palatino" w:hAnsi="Palatino" w:cs="Palatino"/>
          <w:color w:val="000000"/>
          <w:sz w:val="20"/>
          <w:szCs w:val="20"/>
        </w:rPr>
      </w:pPr>
      <w:r>
        <w:rPr>
          <w:rFonts w:ascii="Palatino" w:hAnsi="Palatino" w:cs="Palatino"/>
          <w:color w:val="000000"/>
          <w:sz w:val="20"/>
          <w:szCs w:val="20"/>
        </w:rPr>
        <w:t xml:space="preserve">To assist those engaged in the design of aids to navigation, IALA has produced guidelines to describe practical methods for the design, installation, inspection and testing of lightning protection systems.  The information covers lightning protection for aids to navigation structures, equipment and systems. </w:t>
      </w:r>
    </w:p>
    <w:p w14:paraId="0AE9EEFA" w14:textId="77777777" w:rsidR="00541A14" w:rsidRDefault="00A450E1">
      <w:pPr>
        <w:pStyle w:val="CM57"/>
        <w:jc w:val="both"/>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4B8190B6" w14:textId="77777777" w:rsidR="00541A14" w:rsidRDefault="009E3F25">
      <w:pPr>
        <w:pStyle w:val="CM171"/>
        <w:spacing w:after="1167" w:line="251" w:lineRule="atLeast"/>
        <w:jc w:val="both"/>
        <w:rPr>
          <w:rFonts w:ascii="Palatino" w:hAnsi="Palatino" w:cs="Palatino"/>
          <w:color w:val="000000"/>
          <w:sz w:val="20"/>
          <w:szCs w:val="20"/>
        </w:rPr>
      </w:pPr>
      <w:hyperlink r:id="rId327" w:history="1">
        <w:r w:rsidR="00A450E1">
          <w:rPr>
            <w:rFonts w:ascii="Palatino" w:hAnsi="Palatino" w:cs="Palatino"/>
            <w:i/>
            <w:iCs/>
            <w:color w:val="000000"/>
            <w:sz w:val="20"/>
            <w:szCs w:val="20"/>
          </w:rPr>
          <w:t xml:space="preserve">IALA Guideline 1012 for the Protection of Lighthouses and Aids to Navigation Against Damage from </w:t>
        </w:r>
      </w:hyperlink>
      <w:hyperlink r:id="rId328" w:history="1">
        <w:r w:rsidR="00A450E1">
          <w:rPr>
            <w:rFonts w:ascii="Palatino" w:hAnsi="Palatino" w:cs="Palatino"/>
            <w:i/>
            <w:iCs/>
            <w:color w:val="000000"/>
            <w:sz w:val="20"/>
            <w:szCs w:val="20"/>
          </w:rPr>
          <w:t xml:space="preserve">Lightning. </w:t>
        </w:r>
      </w:hyperlink>
    </w:p>
    <w:p w14:paraId="4499702E" w14:textId="77777777" w:rsidR="00541A14" w:rsidRDefault="00A450E1">
      <w:pPr>
        <w:pStyle w:val="CM162"/>
        <w:spacing w:after="552"/>
        <w:jc w:val="center"/>
        <w:rPr>
          <w:rFonts w:ascii="Palatino" w:hAnsi="Palatino" w:cs="Palatino"/>
          <w:color w:val="000000"/>
          <w:sz w:val="20"/>
          <w:szCs w:val="20"/>
        </w:rPr>
      </w:pPr>
      <w:r>
        <w:rPr>
          <w:rFonts w:ascii="Palatino" w:hAnsi="Palatino" w:cs="Palatino"/>
          <w:color w:val="000000"/>
          <w:position w:val="6"/>
          <w:sz w:val="20"/>
          <w:szCs w:val="20"/>
          <w:vertAlign w:val="superscript"/>
        </w:rPr>
        <w:t>40</w:t>
      </w:r>
      <w:r>
        <w:rPr>
          <w:rFonts w:ascii="Palatino" w:hAnsi="Palatino" w:cs="Palatino"/>
          <w:color w:val="000000"/>
          <w:sz w:val="20"/>
          <w:szCs w:val="20"/>
        </w:rPr>
        <w:t xml:space="preserve">Refer to IALABatt 3 “Fuel cells for aids to navigation”. </w:t>
      </w:r>
    </w:p>
    <w:p w14:paraId="4D717B4A"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58FBD5B5" wp14:editId="50425FB0">
            <wp:extent cx="7542530" cy="420370"/>
            <wp:effectExtent l="0" t="0" r="1270" b="1143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159392E9" w14:textId="77777777" w:rsidR="00541A14" w:rsidRDefault="00DD420F">
      <w:pPr>
        <w:pStyle w:val="Default"/>
        <w:pageBreakBefore/>
        <w:framePr w:w="24782" w:wrap="auto" w:vAnchor="page" w:hAnchor="page" w:x="101" w:y="1"/>
        <w:spacing w:after="440"/>
        <w:rPr>
          <w:rFonts w:ascii="Palatino" w:hAnsi="Palatino" w:cs="Palatino"/>
          <w:sz w:val="20"/>
          <w:szCs w:val="20"/>
        </w:rPr>
      </w:pPr>
      <w:r>
        <w:rPr>
          <w:rFonts w:ascii="Palatino" w:hAnsi="Palatino" w:cs="Palatino"/>
          <w:noProof/>
          <w:sz w:val="20"/>
          <w:szCs w:val="20"/>
        </w:rPr>
        <w:drawing>
          <wp:inline distT="0" distB="0" distL="0" distR="0" wp14:anchorId="1D5DC219" wp14:editId="30EC06C9">
            <wp:extent cx="7553960" cy="1153160"/>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7553960" cy="1153160"/>
                    </a:xfrm>
                    <a:prstGeom prst="rect">
                      <a:avLst/>
                    </a:prstGeom>
                    <a:noFill/>
                    <a:ln>
                      <a:noFill/>
                    </a:ln>
                  </pic:spPr>
                </pic:pic>
              </a:graphicData>
            </a:graphic>
          </wp:inline>
        </w:drawing>
      </w:r>
    </w:p>
    <w:p w14:paraId="5977C3FE" w14:textId="77777777" w:rsidR="00541A14" w:rsidRDefault="00A450E1">
      <w:pPr>
        <w:pStyle w:val="CM165"/>
        <w:spacing w:after="85"/>
        <w:jc w:val="both"/>
        <w:rPr>
          <w:rFonts w:ascii="Futura Book" w:hAnsi="Futura Book" w:cs="Futura Book"/>
          <w:color w:val="2C5062"/>
          <w:sz w:val="28"/>
          <w:szCs w:val="28"/>
        </w:rPr>
      </w:pPr>
      <w:r>
        <w:rPr>
          <w:rFonts w:ascii="Futura Book" w:hAnsi="Futura Book" w:cs="Futura Book"/>
          <w:b/>
          <w:bCs/>
          <w:color w:val="2C5062"/>
          <w:sz w:val="28"/>
          <w:szCs w:val="28"/>
        </w:rPr>
        <w:t xml:space="preserve">7.5 Non-Electric Energy Sources </w:t>
      </w:r>
    </w:p>
    <w:p w14:paraId="62A6CED3" w14:textId="77777777" w:rsidR="00541A14" w:rsidRDefault="00A450E1">
      <w:pPr>
        <w:pStyle w:val="CM173"/>
        <w:spacing w:after="340" w:line="296" w:lineRule="atLeast"/>
        <w:jc w:val="both"/>
        <w:rPr>
          <w:rFonts w:ascii="Palatino" w:hAnsi="Palatino" w:cs="Palatino"/>
          <w:color w:val="000000"/>
          <w:sz w:val="20"/>
          <w:szCs w:val="20"/>
        </w:rPr>
      </w:pPr>
      <w:r>
        <w:rPr>
          <w:rFonts w:ascii="Palatino" w:hAnsi="Palatino" w:cs="Palatino"/>
          <w:color w:val="000000"/>
          <w:sz w:val="20"/>
          <w:szCs w:val="20"/>
        </w:rPr>
        <w:t xml:space="preserve">There are various non-electric power supplies, the main types used in aids to navigation are acetylene and propane.  </w:t>
      </w:r>
    </w:p>
    <w:p w14:paraId="34594F8B" w14:textId="77777777" w:rsidR="00541A14" w:rsidRDefault="00A450E1">
      <w:pPr>
        <w:pStyle w:val="CM165"/>
        <w:spacing w:after="85" w:line="296"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Acetylene </w:t>
      </w:r>
    </w:p>
    <w:p w14:paraId="614D47A2" w14:textId="77777777" w:rsidR="00541A14" w:rsidRDefault="00A450E1">
      <w:pPr>
        <w:pStyle w:val="CM165"/>
        <w:spacing w:after="85" w:line="300" w:lineRule="atLeast"/>
        <w:ind w:right="432"/>
        <w:jc w:val="both"/>
        <w:rPr>
          <w:rFonts w:ascii="Palatino" w:hAnsi="Palatino" w:cs="Palatino"/>
          <w:color w:val="000000"/>
          <w:sz w:val="20"/>
          <w:szCs w:val="20"/>
        </w:rPr>
      </w:pPr>
      <w:r>
        <w:rPr>
          <w:rFonts w:ascii="Palatino" w:hAnsi="Palatino" w:cs="Palatino"/>
          <w:color w:val="000000"/>
          <w:sz w:val="20"/>
          <w:szCs w:val="20"/>
        </w:rPr>
        <w:t xml:space="preserve">Acetylene (C2H2) has been used to operate lights on buoys and unattended aids to navigation for many years. Acetylene can explode if compressed directly, but can be safely contained under low pressure in special cylinders when dissolved in acetone.  </w:t>
      </w:r>
    </w:p>
    <w:p w14:paraId="6CC1FE45"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The manufacture of acetylene, standards for the cylinders and the filling process are usually controlled </w:t>
      </w:r>
    </w:p>
    <w:p w14:paraId="694496E6"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by government regulations.  </w:t>
      </w:r>
    </w:p>
    <w:p w14:paraId="075DDCE2" w14:textId="77777777" w:rsidR="00541A14" w:rsidRDefault="00A450E1">
      <w:pPr>
        <w:pStyle w:val="CM165"/>
        <w:spacing w:after="85" w:line="300" w:lineRule="atLeast"/>
        <w:ind w:right="930"/>
        <w:jc w:val="both"/>
        <w:rPr>
          <w:rFonts w:ascii="Palatino" w:hAnsi="Palatino" w:cs="Palatino"/>
          <w:color w:val="000000"/>
          <w:sz w:val="20"/>
          <w:szCs w:val="20"/>
        </w:rPr>
      </w:pPr>
      <w:r>
        <w:rPr>
          <w:rFonts w:ascii="Palatino" w:hAnsi="Palatino" w:cs="Palatino"/>
          <w:color w:val="000000"/>
          <w:sz w:val="20"/>
          <w:szCs w:val="20"/>
        </w:rPr>
        <w:t xml:space="preserve">Acetylene has been a convenient and reliable energy source for aids to navigation. However appropriate attention should be given to: </w:t>
      </w:r>
    </w:p>
    <w:p w14:paraId="36EF9016" w14:textId="77777777" w:rsidR="00541A14" w:rsidRDefault="00A450E1">
      <w:pPr>
        <w:pStyle w:val="Default"/>
        <w:numPr>
          <w:ilvl w:val="0"/>
          <w:numId w:val="146"/>
        </w:numPr>
        <w:rPr>
          <w:rFonts w:ascii="Palatino" w:hAnsi="Palatino" w:cs="Palatino"/>
          <w:sz w:val="20"/>
          <w:szCs w:val="20"/>
        </w:rPr>
      </w:pPr>
      <w:r>
        <w:rPr>
          <w:rFonts w:ascii="Palatino" w:hAnsi="Palatino" w:cs="Palatino"/>
          <w:sz w:val="20"/>
          <w:szCs w:val="20"/>
        </w:rPr>
        <w:t xml:space="preserve">safe handling of cylinders; </w:t>
      </w:r>
    </w:p>
    <w:p w14:paraId="1F77687F" w14:textId="77777777" w:rsidR="00541A14" w:rsidRDefault="00A450E1">
      <w:pPr>
        <w:pStyle w:val="Default"/>
        <w:numPr>
          <w:ilvl w:val="0"/>
          <w:numId w:val="146"/>
        </w:numPr>
        <w:rPr>
          <w:rFonts w:ascii="Palatino" w:hAnsi="Palatino" w:cs="Palatino"/>
          <w:sz w:val="20"/>
          <w:szCs w:val="20"/>
        </w:rPr>
      </w:pPr>
      <w:r>
        <w:rPr>
          <w:rFonts w:ascii="Palatino" w:hAnsi="Palatino" w:cs="Palatino"/>
          <w:sz w:val="20"/>
          <w:szCs w:val="20"/>
        </w:rPr>
        <w:t xml:space="preserve">the broad range of explosive mixtures with air (between 3% and 82% acetylene); </w:t>
      </w:r>
    </w:p>
    <w:p w14:paraId="42F09512" w14:textId="77777777" w:rsidR="00541A14" w:rsidRDefault="00A450E1">
      <w:pPr>
        <w:pStyle w:val="Default"/>
        <w:numPr>
          <w:ilvl w:val="0"/>
          <w:numId w:val="146"/>
        </w:numPr>
        <w:rPr>
          <w:rFonts w:ascii="Palatino" w:hAnsi="Palatino" w:cs="Palatino"/>
          <w:sz w:val="20"/>
          <w:szCs w:val="20"/>
        </w:rPr>
      </w:pPr>
      <w:r>
        <w:rPr>
          <w:rFonts w:ascii="Palatino" w:hAnsi="Palatino" w:cs="Palatino"/>
          <w:sz w:val="20"/>
          <w:szCs w:val="20"/>
        </w:rPr>
        <w:t xml:space="preserve">the purity of the gas; and </w:t>
      </w:r>
    </w:p>
    <w:p w14:paraId="2293B194" w14:textId="77777777" w:rsidR="00541A14" w:rsidRDefault="00A450E1">
      <w:pPr>
        <w:pStyle w:val="Default"/>
        <w:numPr>
          <w:ilvl w:val="0"/>
          <w:numId w:val="146"/>
        </w:numPr>
        <w:rPr>
          <w:rFonts w:ascii="Palatino" w:hAnsi="Palatino" w:cs="Palatino"/>
          <w:sz w:val="20"/>
          <w:szCs w:val="20"/>
        </w:rPr>
      </w:pPr>
      <w:r>
        <w:rPr>
          <w:rFonts w:ascii="Palatino" w:hAnsi="Palatino" w:cs="Palatino"/>
          <w:sz w:val="20"/>
          <w:szCs w:val="20"/>
        </w:rPr>
        <w:t xml:space="preserve">minimising leaks in pipe work and fittings. </w:t>
      </w:r>
    </w:p>
    <w:p w14:paraId="17102CAC" w14:textId="77777777" w:rsidR="00541A14" w:rsidRDefault="00541A14">
      <w:pPr>
        <w:pStyle w:val="Default"/>
        <w:rPr>
          <w:rFonts w:ascii="Palatino" w:hAnsi="Palatino" w:cs="Palatino"/>
          <w:sz w:val="20"/>
          <w:szCs w:val="20"/>
        </w:rPr>
      </w:pPr>
    </w:p>
    <w:p w14:paraId="628E74E9" w14:textId="77777777" w:rsidR="00541A14" w:rsidRDefault="00A450E1">
      <w:pPr>
        <w:pStyle w:val="CM165"/>
        <w:spacing w:after="85" w:line="296"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Propane </w:t>
      </w:r>
    </w:p>
    <w:p w14:paraId="0E27F1DA" w14:textId="77777777" w:rsidR="00541A14" w:rsidRDefault="00A450E1">
      <w:pPr>
        <w:pStyle w:val="CM165"/>
        <w:spacing w:after="85" w:line="300" w:lineRule="atLeast"/>
        <w:ind w:right="260"/>
        <w:jc w:val="both"/>
        <w:rPr>
          <w:rFonts w:ascii="Palatino" w:hAnsi="Palatino" w:cs="Palatino"/>
          <w:color w:val="000000"/>
          <w:sz w:val="20"/>
          <w:szCs w:val="20"/>
        </w:rPr>
      </w:pPr>
      <w:r>
        <w:rPr>
          <w:rFonts w:ascii="Palatino" w:hAnsi="Palatino" w:cs="Palatino"/>
          <w:color w:val="000000"/>
          <w:sz w:val="20"/>
          <w:szCs w:val="20"/>
        </w:rPr>
        <w:t>Propane gas (CH</w:t>
      </w:r>
      <w:r>
        <w:rPr>
          <w:rFonts w:ascii="Palatino" w:hAnsi="Palatino" w:cs="Palatino"/>
          <w:color w:val="000000"/>
          <w:position w:val="-6"/>
          <w:sz w:val="11"/>
          <w:szCs w:val="11"/>
          <w:vertAlign w:val="subscript"/>
        </w:rPr>
        <w:t>3</w:t>
      </w:r>
      <w:r>
        <w:rPr>
          <w:rFonts w:ascii="Palatino" w:hAnsi="Palatino" w:cs="Palatino"/>
          <w:color w:val="000000"/>
          <w:sz w:val="20"/>
          <w:szCs w:val="20"/>
        </w:rPr>
        <w:t xml:space="preserve"> CH</w:t>
      </w:r>
      <w:r>
        <w:rPr>
          <w:rFonts w:ascii="Palatino" w:hAnsi="Palatino" w:cs="Palatino"/>
          <w:color w:val="000000"/>
          <w:position w:val="-6"/>
          <w:sz w:val="11"/>
          <w:szCs w:val="11"/>
          <w:vertAlign w:val="subscript"/>
        </w:rPr>
        <w:t>2</w:t>
      </w:r>
      <w:r>
        <w:rPr>
          <w:rFonts w:ascii="Palatino" w:hAnsi="Palatino" w:cs="Palatino"/>
          <w:color w:val="000000"/>
          <w:sz w:val="20"/>
          <w:szCs w:val="20"/>
        </w:rPr>
        <w:t xml:space="preserve"> CH</w:t>
      </w:r>
      <w:r>
        <w:rPr>
          <w:rFonts w:ascii="Palatino" w:hAnsi="Palatino" w:cs="Palatino"/>
          <w:color w:val="000000"/>
          <w:position w:val="-6"/>
          <w:sz w:val="11"/>
          <w:szCs w:val="11"/>
          <w:vertAlign w:val="subscript"/>
        </w:rPr>
        <w:t>3</w:t>
      </w:r>
      <w:r>
        <w:rPr>
          <w:rFonts w:ascii="Palatino" w:hAnsi="Palatino" w:cs="Palatino"/>
          <w:color w:val="000000"/>
          <w:sz w:val="20"/>
          <w:szCs w:val="20"/>
        </w:rPr>
        <w:t xml:space="preserve">) has been used as an alternative fuel to acetylene, particularly in buoys. Although propane has to be consumed in an incandescent mantle burner to provide a white light, it has several advantages over acetylene: </w:t>
      </w:r>
    </w:p>
    <w:p w14:paraId="2D75FE8E" w14:textId="77777777" w:rsidR="00541A14" w:rsidRDefault="00A450E1">
      <w:pPr>
        <w:pStyle w:val="Default"/>
        <w:numPr>
          <w:ilvl w:val="0"/>
          <w:numId w:val="147"/>
        </w:numPr>
        <w:rPr>
          <w:rFonts w:ascii="Palatino" w:hAnsi="Palatino" w:cs="Palatino"/>
          <w:sz w:val="20"/>
          <w:szCs w:val="20"/>
        </w:rPr>
      </w:pPr>
      <w:r>
        <w:rPr>
          <w:rFonts w:ascii="Palatino" w:hAnsi="Palatino" w:cs="Palatino"/>
          <w:sz w:val="20"/>
          <w:szCs w:val="20"/>
        </w:rPr>
        <w:t xml:space="preserve">it is a by-product in oil refining processes; </w:t>
      </w:r>
    </w:p>
    <w:p w14:paraId="22B35691" w14:textId="77777777" w:rsidR="00541A14" w:rsidRDefault="00A450E1">
      <w:pPr>
        <w:pStyle w:val="Default"/>
        <w:numPr>
          <w:ilvl w:val="0"/>
          <w:numId w:val="147"/>
        </w:numPr>
        <w:rPr>
          <w:rFonts w:ascii="Palatino" w:hAnsi="Palatino" w:cs="Palatino"/>
          <w:sz w:val="20"/>
          <w:szCs w:val="20"/>
        </w:rPr>
      </w:pPr>
      <w:r>
        <w:rPr>
          <w:rFonts w:ascii="Palatino" w:hAnsi="Palatino" w:cs="Palatino"/>
          <w:sz w:val="20"/>
          <w:szCs w:val="20"/>
        </w:rPr>
        <w:t xml:space="preserve">its abundance and low cost; </w:t>
      </w:r>
    </w:p>
    <w:p w14:paraId="550CCF5E" w14:textId="77777777" w:rsidR="00541A14" w:rsidRDefault="00A450E1">
      <w:pPr>
        <w:pStyle w:val="Default"/>
        <w:numPr>
          <w:ilvl w:val="0"/>
          <w:numId w:val="147"/>
        </w:numPr>
        <w:rPr>
          <w:rFonts w:ascii="Palatino" w:hAnsi="Palatino" w:cs="Palatino"/>
          <w:sz w:val="20"/>
          <w:szCs w:val="20"/>
        </w:rPr>
      </w:pPr>
      <w:r>
        <w:rPr>
          <w:rFonts w:ascii="Palatino" w:hAnsi="Palatino" w:cs="Palatino"/>
          <w:sz w:val="20"/>
          <w:szCs w:val="20"/>
        </w:rPr>
        <w:t xml:space="preserve">propane liquefies at a pressure of 6 atmospheres at 17ºC, and can be transported in quite light and </w:t>
      </w:r>
    </w:p>
    <w:p w14:paraId="677C290E" w14:textId="77777777" w:rsidR="00541A14" w:rsidRDefault="00541A14">
      <w:pPr>
        <w:pStyle w:val="Default"/>
        <w:rPr>
          <w:rFonts w:ascii="Palatino" w:hAnsi="Palatino" w:cs="Palatino"/>
          <w:sz w:val="20"/>
          <w:szCs w:val="20"/>
        </w:rPr>
      </w:pPr>
    </w:p>
    <w:p w14:paraId="213FEB1C"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low cost gas bottles; </w:t>
      </w:r>
    </w:p>
    <w:p w14:paraId="2C2B4FAA"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propane will maintain a positive pressure down to -40ºC and will not freeze in conditions likely to </w:t>
      </w:r>
    </w:p>
    <w:p w14:paraId="149BF2F8"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be encountered at sea; </w:t>
      </w:r>
    </w:p>
    <w:p w14:paraId="3DC4CF23"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placing the bottles in pockets in the buoy or by filling it directly into the body of an buoy, or </w:t>
      </w:r>
    </w:p>
    <w:p w14:paraId="424B50A6"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pressure vessel; </w:t>
      </w:r>
    </w:p>
    <w:p w14:paraId="5E61CF76" w14:textId="77777777" w:rsidR="00541A14" w:rsidRDefault="00A450E1">
      <w:pPr>
        <w:pStyle w:val="CM32"/>
        <w:ind w:left="300" w:hanging="300"/>
        <w:jc w:val="both"/>
        <w:rPr>
          <w:rFonts w:ascii="Palatino" w:hAnsi="Palatino" w:cs="Palatino"/>
          <w:color w:val="000000"/>
          <w:sz w:val="20"/>
          <w:szCs w:val="20"/>
        </w:rPr>
      </w:pPr>
      <w:r>
        <w:rPr>
          <w:rFonts w:ascii="Palatino" w:hAnsi="Palatino" w:cs="Palatino"/>
          <w:color w:val="000000"/>
          <w:sz w:val="20"/>
          <w:szCs w:val="20"/>
        </w:rPr>
        <w:t xml:space="preserve">• the comparable containers are the 20 kg propane bottle with gross weight of 48 kg and the 7,000 </w:t>
      </w:r>
    </w:p>
    <w:p w14:paraId="6960D5EE"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litre acetylene cylinder, weighing 105 kg; </w:t>
      </w:r>
    </w:p>
    <w:p w14:paraId="42FBF329" w14:textId="77777777" w:rsidR="00541A14" w:rsidRDefault="00A450E1">
      <w:pPr>
        <w:pStyle w:val="Default"/>
        <w:numPr>
          <w:ilvl w:val="0"/>
          <w:numId w:val="148"/>
        </w:numPr>
        <w:rPr>
          <w:rFonts w:ascii="Palatino" w:hAnsi="Palatino" w:cs="Palatino"/>
          <w:sz w:val="20"/>
          <w:szCs w:val="20"/>
        </w:rPr>
      </w:pPr>
      <w:r>
        <w:rPr>
          <w:rFonts w:ascii="Palatino" w:hAnsi="Palatino" w:cs="Palatino"/>
          <w:sz w:val="20"/>
          <w:szCs w:val="20"/>
        </w:rPr>
        <w:t xml:space="preserve">furthermore the cost of the propane bottle is only about one third of that of a acetylene cylinder; </w:t>
      </w:r>
    </w:p>
    <w:p w14:paraId="56AC54B8" w14:textId="77777777" w:rsidR="00541A14" w:rsidRDefault="00A450E1">
      <w:pPr>
        <w:pStyle w:val="Default"/>
        <w:numPr>
          <w:ilvl w:val="0"/>
          <w:numId w:val="148"/>
        </w:numPr>
        <w:rPr>
          <w:rFonts w:ascii="Palatino" w:hAnsi="Palatino" w:cs="Palatino"/>
          <w:sz w:val="20"/>
          <w:szCs w:val="20"/>
        </w:rPr>
      </w:pPr>
      <w:r>
        <w:rPr>
          <w:rFonts w:ascii="Palatino" w:hAnsi="Palatino" w:cs="Palatino"/>
          <w:sz w:val="20"/>
          <w:szCs w:val="20"/>
        </w:rPr>
        <w:t xml:space="preserve">propane is a particularly safe gas, as only some 6% of all its possible mixtures with air are explosive against a figure of 80% for acetylene; </w:t>
      </w:r>
    </w:p>
    <w:p w14:paraId="2C3AF51B" w14:textId="77777777" w:rsidR="00541A14" w:rsidRDefault="00A450E1">
      <w:pPr>
        <w:pStyle w:val="Default"/>
        <w:numPr>
          <w:ilvl w:val="0"/>
          <w:numId w:val="148"/>
        </w:numPr>
        <w:rPr>
          <w:rFonts w:ascii="Palatino" w:hAnsi="Palatino" w:cs="Palatino"/>
          <w:sz w:val="20"/>
          <w:szCs w:val="20"/>
        </w:rPr>
      </w:pPr>
      <w:r>
        <w:rPr>
          <w:rFonts w:ascii="Palatino" w:hAnsi="Palatino" w:cs="Palatino"/>
          <w:sz w:val="20"/>
          <w:szCs w:val="20"/>
        </w:rPr>
        <w:t xml:space="preserve">burns cleanly without the risk of sooting that can occur with a poorly adjusted acetylene burner. </w:t>
      </w:r>
    </w:p>
    <w:p w14:paraId="6CD9D39D" w14:textId="77777777" w:rsidR="00541A14" w:rsidRDefault="00541A14">
      <w:pPr>
        <w:pStyle w:val="Default"/>
        <w:rPr>
          <w:rFonts w:ascii="Palatino" w:hAnsi="Palatino" w:cs="Palatino"/>
          <w:sz w:val="20"/>
          <w:szCs w:val="20"/>
        </w:rPr>
      </w:pPr>
    </w:p>
    <w:p w14:paraId="7B9820D2" w14:textId="77777777" w:rsidR="00541A14" w:rsidRDefault="00A450E1">
      <w:pPr>
        <w:pStyle w:val="CM33"/>
        <w:ind w:left="305"/>
        <w:jc w:val="both"/>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163022FC"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i/>
          <w:iCs/>
          <w:color w:val="000000"/>
          <w:sz w:val="20"/>
          <w:szCs w:val="20"/>
        </w:rPr>
        <w:t xml:space="preserve">‘Practical Notes’ for the safe handling of gases, October 1993. </w:t>
      </w:r>
    </w:p>
    <w:p w14:paraId="4FBAD96A" w14:textId="77777777" w:rsidR="00541A14" w:rsidRDefault="00A450E1">
      <w:pPr>
        <w:pStyle w:val="CM198"/>
        <w:spacing w:after="1092" w:line="296" w:lineRule="atLeast"/>
        <w:ind w:left="305"/>
        <w:jc w:val="both"/>
        <w:rPr>
          <w:rFonts w:ascii="Palatino" w:hAnsi="Palatino" w:cs="Palatino"/>
          <w:color w:val="000000"/>
          <w:sz w:val="20"/>
          <w:szCs w:val="20"/>
        </w:rPr>
      </w:pPr>
      <w:r>
        <w:rPr>
          <w:rFonts w:ascii="Palatino" w:hAnsi="Palatino" w:cs="Palatino"/>
          <w:b/>
          <w:bCs/>
          <w:color w:val="000000"/>
          <w:sz w:val="20"/>
          <w:szCs w:val="20"/>
        </w:rPr>
        <w:t xml:space="preserve">Refer also to national standards for the safe handling of gases. </w:t>
      </w:r>
    </w:p>
    <w:p w14:paraId="4E33965E"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69CD0E5B" wp14:editId="7AACA1E1">
            <wp:extent cx="7553960" cy="420370"/>
            <wp:effectExtent l="0" t="0" r="0" b="1143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2C1C6C57" w14:textId="77777777" w:rsidR="00541A14" w:rsidRDefault="00DD420F">
      <w:pPr>
        <w:pStyle w:val="Default"/>
        <w:pageBreakBefore/>
        <w:framePr w:w="12876" w:wrap="auto" w:vAnchor="page" w:hAnchor="page" w:x="101" w:y="15039"/>
        <w:rPr>
          <w:rFonts w:ascii="Palatino" w:hAnsi="Palatino" w:cs="Palatino"/>
          <w:sz w:val="20"/>
          <w:szCs w:val="20"/>
        </w:rPr>
      </w:pPr>
      <w:r>
        <w:rPr>
          <w:rFonts w:ascii="Palatino" w:hAnsi="Palatino" w:cs="Palatino"/>
          <w:noProof/>
          <w:sz w:val="20"/>
          <w:szCs w:val="20"/>
        </w:rPr>
        <w:drawing>
          <wp:inline distT="0" distB="0" distL="0" distR="0" wp14:anchorId="4BCB395C" wp14:editId="4E646BBE">
            <wp:extent cx="7553960" cy="10694670"/>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7553960" cy="10694670"/>
                    </a:xfrm>
                    <a:prstGeom prst="rect">
                      <a:avLst/>
                    </a:prstGeom>
                    <a:noFill/>
                    <a:ln>
                      <a:noFill/>
                    </a:ln>
                  </pic:spPr>
                </pic:pic>
              </a:graphicData>
            </a:graphic>
          </wp:inline>
        </w:drawing>
      </w:r>
    </w:p>
    <w:p w14:paraId="5975176D" w14:textId="77777777" w:rsidR="00541A14" w:rsidRDefault="00DD420F">
      <w:pPr>
        <w:pStyle w:val="Default"/>
        <w:pageBreakBefore/>
        <w:framePr w:w="24782" w:wrap="auto" w:vAnchor="page" w:hAnchor="page" w:x="101" w:y="1"/>
        <w:spacing w:after="840"/>
        <w:rPr>
          <w:rFonts w:ascii="Palatino" w:hAnsi="Palatino" w:cs="Palatino"/>
          <w:sz w:val="20"/>
          <w:szCs w:val="20"/>
        </w:rPr>
      </w:pPr>
      <w:r>
        <w:rPr>
          <w:rFonts w:ascii="Palatino" w:hAnsi="Palatino" w:cs="Palatino"/>
          <w:noProof/>
          <w:sz w:val="20"/>
          <w:szCs w:val="20"/>
        </w:rPr>
        <w:drawing>
          <wp:inline distT="0" distB="0" distL="0" distR="0" wp14:anchorId="7D863262" wp14:editId="2047DC0E">
            <wp:extent cx="7553960" cy="106743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7C1097EC"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SOLAS Chapter V </w:t>
      </w:r>
    </w:p>
    <w:p w14:paraId="23A12515"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SOLAS Chapter V, and Regulations 12</w:t>
      </w:r>
      <w:r>
        <w:rPr>
          <w:rFonts w:ascii="Palatino" w:hAnsi="Palatino" w:cs="Palatino"/>
          <w:color w:val="000000"/>
          <w:position w:val="7"/>
          <w:sz w:val="11"/>
          <w:szCs w:val="11"/>
          <w:vertAlign w:val="superscript"/>
        </w:rPr>
        <w:t>42</w:t>
      </w:r>
      <w:r>
        <w:rPr>
          <w:rFonts w:ascii="Palatino" w:hAnsi="Palatino" w:cs="Palatino"/>
          <w:color w:val="000000"/>
          <w:sz w:val="20"/>
          <w:szCs w:val="20"/>
        </w:rPr>
        <w:t xml:space="preserve"> and 13 in particular, defines the obligations on ContractingGovernments to provide vessel traffic services and aids to navigation and related information. These Regulations define the primary roles of IALA National Members. </w:t>
      </w:r>
    </w:p>
    <w:p w14:paraId="78186347" w14:textId="77777777" w:rsidR="00541A14" w:rsidRDefault="00A450E1">
      <w:pPr>
        <w:pStyle w:val="CM165"/>
        <w:spacing w:after="85" w:line="271" w:lineRule="atLeast"/>
        <w:ind w:right="412"/>
        <w:rPr>
          <w:rFonts w:ascii="Palatino" w:hAnsi="Palatino" w:cs="Palatino"/>
          <w:color w:val="000000"/>
          <w:sz w:val="20"/>
          <w:szCs w:val="20"/>
        </w:rPr>
      </w:pPr>
      <w:r>
        <w:rPr>
          <w:rFonts w:ascii="Palatino" w:hAnsi="Palatino" w:cs="Palatino"/>
          <w:color w:val="000000"/>
          <w:sz w:val="20"/>
          <w:szCs w:val="20"/>
        </w:rPr>
        <w:t xml:space="preserve">In December 2000, the 73rd session of the IMO Maritime Safety Committee (MSC) adopted acompletely revised SOLAS Chapter V on Safety of Navigation that came into force on 1 July 2002. </w:t>
      </w:r>
    </w:p>
    <w:p w14:paraId="5AA59407"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In October 2005, IMO adopted IMO Resolution A.973(24) and A.974(24), outlining the IMO MemberState Voluntary Audit Scheme which includes all aspects of SOLAS, including Chapter V, Regulations 12 and 13. </w:t>
      </w:r>
    </w:p>
    <w:p w14:paraId="1D2CA67D"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SOLAS Chapter V, Regulation 13 - Establishment and operation of aids to navigation states: </w:t>
      </w:r>
    </w:p>
    <w:p w14:paraId="54FBC9FF" w14:textId="77777777" w:rsidR="00541A14" w:rsidRDefault="00A450E1">
      <w:pPr>
        <w:pStyle w:val="Default"/>
        <w:numPr>
          <w:ilvl w:val="0"/>
          <w:numId w:val="149"/>
        </w:numPr>
        <w:spacing w:after="22"/>
        <w:ind w:left="360" w:hanging="360"/>
        <w:rPr>
          <w:rFonts w:ascii="Palatino" w:hAnsi="Palatino" w:cs="Palatino"/>
          <w:sz w:val="20"/>
          <w:szCs w:val="20"/>
        </w:rPr>
      </w:pPr>
      <w:r>
        <w:rPr>
          <w:rFonts w:ascii="Palatino" w:hAnsi="Palatino" w:cs="Palatino"/>
          <w:i/>
          <w:iCs/>
          <w:sz w:val="20"/>
          <w:szCs w:val="20"/>
        </w:rPr>
        <w:t xml:space="preserve">Each Contracting Government undertakes to provide, as it deems practical and necessary eitherindividually or in co-operation with other Contracting Governments, such aids to navigation as thevolume of traffic justifies and the degree of risk requires. </w:t>
      </w:r>
    </w:p>
    <w:p w14:paraId="5A812B81" w14:textId="77777777" w:rsidR="00541A14" w:rsidRDefault="00A450E1">
      <w:pPr>
        <w:pStyle w:val="Default"/>
        <w:numPr>
          <w:ilvl w:val="0"/>
          <w:numId w:val="149"/>
        </w:numPr>
        <w:ind w:left="360" w:hanging="360"/>
        <w:rPr>
          <w:rFonts w:ascii="Palatino" w:hAnsi="Palatino" w:cs="Palatino"/>
          <w:sz w:val="20"/>
          <w:szCs w:val="20"/>
        </w:rPr>
      </w:pPr>
      <w:r>
        <w:rPr>
          <w:rFonts w:ascii="Palatino" w:hAnsi="Palatino" w:cs="Palatino"/>
          <w:i/>
          <w:iCs/>
          <w:sz w:val="20"/>
          <w:szCs w:val="20"/>
        </w:rPr>
        <w:t>In order to obtain the greatest possible uniformity in aids to navigation, Contracting Governments</w:t>
      </w:r>
    </w:p>
    <w:p w14:paraId="286ED4F9" w14:textId="77777777" w:rsidR="00541A14" w:rsidRDefault="00541A14">
      <w:pPr>
        <w:pStyle w:val="Default"/>
        <w:rPr>
          <w:rFonts w:ascii="Palatino" w:hAnsi="Palatino" w:cs="Palatino"/>
          <w:sz w:val="20"/>
          <w:szCs w:val="20"/>
        </w:rPr>
      </w:pPr>
    </w:p>
    <w:p w14:paraId="3EED1785" w14:textId="77777777" w:rsidR="00541A14" w:rsidRDefault="00A450E1">
      <w:pPr>
        <w:pStyle w:val="CM165"/>
        <w:spacing w:after="85" w:line="263" w:lineRule="atLeast"/>
        <w:ind w:left="600" w:right="360"/>
        <w:rPr>
          <w:rFonts w:ascii="Palatino" w:hAnsi="Palatino" w:cs="Palatino"/>
          <w:color w:val="000000"/>
          <w:sz w:val="20"/>
          <w:szCs w:val="20"/>
        </w:rPr>
      </w:pPr>
      <w:r>
        <w:rPr>
          <w:rFonts w:ascii="Palatino" w:hAnsi="Palatino" w:cs="Palatino"/>
          <w:i/>
          <w:iCs/>
          <w:color w:val="000000"/>
          <w:sz w:val="20"/>
          <w:szCs w:val="20"/>
        </w:rPr>
        <w:t xml:space="preserve">undertake to take into account the international recommendations and guidelines (Reference is made to IALA) when establishing such aids. </w:t>
      </w:r>
    </w:p>
    <w:p w14:paraId="28AC1299" w14:textId="77777777" w:rsidR="00541A14" w:rsidRDefault="00A450E1">
      <w:pPr>
        <w:pStyle w:val="Default"/>
        <w:spacing w:line="260" w:lineRule="atLeast"/>
        <w:ind w:left="600" w:right="310" w:hanging="280"/>
        <w:rPr>
          <w:rFonts w:ascii="Palatino" w:hAnsi="Palatino" w:cs="Palatino"/>
          <w:sz w:val="20"/>
          <w:szCs w:val="20"/>
        </w:rPr>
      </w:pPr>
      <w:r>
        <w:rPr>
          <w:rFonts w:ascii="Palatino" w:hAnsi="Palatino" w:cs="Palatino"/>
          <w:i/>
          <w:iCs/>
          <w:sz w:val="20"/>
          <w:szCs w:val="20"/>
        </w:rPr>
        <w:t>3. Contracting Governments undertake to arrange for information relating to aids to navigation to bemade available to all concerned. Changes in the transmissions of position-fixing systems which couldadversely affect the performance of receivers fitted in ships shall be avoided as far as possible and only</w:t>
      </w:r>
    </w:p>
    <w:p w14:paraId="6C5243C8" w14:textId="77777777" w:rsidR="00541A14" w:rsidRDefault="00A450E1">
      <w:pPr>
        <w:pStyle w:val="CM172"/>
        <w:spacing w:after="202" w:line="260" w:lineRule="atLeast"/>
        <w:ind w:left="592"/>
        <w:rPr>
          <w:rFonts w:ascii="Palatino" w:hAnsi="Palatino" w:cs="Palatino"/>
          <w:color w:val="000000"/>
          <w:sz w:val="20"/>
          <w:szCs w:val="20"/>
        </w:rPr>
      </w:pPr>
      <w:r>
        <w:rPr>
          <w:rFonts w:ascii="Palatino" w:hAnsi="Palatino" w:cs="Palatino"/>
          <w:i/>
          <w:iCs/>
          <w:color w:val="000000"/>
          <w:sz w:val="20"/>
          <w:szCs w:val="20"/>
        </w:rPr>
        <w:t xml:space="preserve">be effected after timely and adequate notice has been promulgated. </w:t>
      </w:r>
    </w:p>
    <w:p w14:paraId="2AFF4572" w14:textId="77777777" w:rsidR="00541A14" w:rsidRDefault="00A450E1">
      <w:pPr>
        <w:pStyle w:val="CM165"/>
        <w:spacing w:after="85" w:line="251" w:lineRule="atLeast"/>
        <w:rPr>
          <w:rFonts w:ascii="Palatino" w:hAnsi="Palatino" w:cs="Palatino"/>
          <w:color w:val="000000"/>
          <w:sz w:val="20"/>
          <w:szCs w:val="20"/>
        </w:rPr>
      </w:pPr>
      <w:r>
        <w:rPr>
          <w:rFonts w:ascii="Palatino" w:hAnsi="Palatino" w:cs="Palatino"/>
          <w:color w:val="000000"/>
          <w:sz w:val="20"/>
          <w:szCs w:val="20"/>
        </w:rPr>
        <w:t xml:space="preserve">To satisfy the obligations of Regulation 13, the Contracting Government has to make assessments on: </w:t>
      </w:r>
    </w:p>
    <w:p w14:paraId="1E17EE93" w14:textId="77777777" w:rsidR="00541A14" w:rsidRDefault="00A450E1">
      <w:pPr>
        <w:pStyle w:val="Default"/>
        <w:numPr>
          <w:ilvl w:val="0"/>
          <w:numId w:val="150"/>
        </w:numPr>
        <w:rPr>
          <w:rFonts w:ascii="Palatino" w:hAnsi="Palatino" w:cs="Palatino"/>
          <w:sz w:val="20"/>
          <w:szCs w:val="20"/>
        </w:rPr>
      </w:pPr>
      <w:r>
        <w:rPr>
          <w:rFonts w:ascii="Palatino" w:hAnsi="Palatino" w:cs="Palatino"/>
          <w:sz w:val="20"/>
          <w:szCs w:val="20"/>
        </w:rPr>
        <w:t xml:space="preserve">whether or not to provide particular types of aids to navigation; </w:t>
      </w:r>
    </w:p>
    <w:p w14:paraId="17282DCF" w14:textId="77777777" w:rsidR="00541A14" w:rsidRDefault="00A450E1">
      <w:pPr>
        <w:pStyle w:val="Default"/>
        <w:numPr>
          <w:ilvl w:val="0"/>
          <w:numId w:val="150"/>
        </w:numPr>
        <w:rPr>
          <w:rFonts w:ascii="Palatino" w:hAnsi="Palatino" w:cs="Palatino"/>
          <w:sz w:val="20"/>
          <w:szCs w:val="20"/>
        </w:rPr>
      </w:pPr>
      <w:r>
        <w:rPr>
          <w:rFonts w:ascii="Palatino" w:hAnsi="Palatino" w:cs="Palatino"/>
          <w:sz w:val="20"/>
          <w:szCs w:val="20"/>
        </w:rPr>
        <w:t xml:space="preserve">the type, number and location of aids to navigation; </w:t>
      </w:r>
    </w:p>
    <w:p w14:paraId="7B721EB6" w14:textId="77777777" w:rsidR="00541A14" w:rsidRDefault="00A450E1">
      <w:pPr>
        <w:pStyle w:val="Default"/>
        <w:numPr>
          <w:ilvl w:val="0"/>
          <w:numId w:val="150"/>
        </w:numPr>
        <w:rPr>
          <w:rFonts w:ascii="Palatino" w:hAnsi="Palatino" w:cs="Palatino"/>
          <w:sz w:val="20"/>
          <w:szCs w:val="20"/>
        </w:rPr>
      </w:pPr>
      <w:r>
        <w:rPr>
          <w:rFonts w:ascii="Palatino" w:hAnsi="Palatino" w:cs="Palatino"/>
          <w:sz w:val="20"/>
          <w:szCs w:val="20"/>
        </w:rPr>
        <w:t xml:space="preserve">what information services are necessary to adequately inform the mariner. </w:t>
      </w:r>
    </w:p>
    <w:p w14:paraId="64111504" w14:textId="77777777" w:rsidR="00541A14" w:rsidRDefault="00541A14">
      <w:pPr>
        <w:pStyle w:val="Default"/>
        <w:rPr>
          <w:rFonts w:ascii="Palatino" w:hAnsi="Palatino" w:cs="Palatino"/>
          <w:sz w:val="20"/>
          <w:szCs w:val="20"/>
        </w:rPr>
      </w:pPr>
    </w:p>
    <w:p w14:paraId="7E601FAE"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8.2 Level of Service (LOS) </w:t>
      </w:r>
    </w:p>
    <w:p w14:paraId="48AC3F43" w14:textId="77777777" w:rsidR="00541A14" w:rsidRDefault="00A450E1">
      <w:pPr>
        <w:pStyle w:val="CM165"/>
        <w:spacing w:after="85" w:line="251" w:lineRule="atLeast"/>
        <w:rPr>
          <w:rFonts w:ascii="Palatino" w:hAnsi="Palatino" w:cs="Palatino"/>
          <w:color w:val="000000"/>
          <w:sz w:val="20"/>
          <w:szCs w:val="20"/>
        </w:rPr>
      </w:pPr>
      <w:r>
        <w:rPr>
          <w:rFonts w:ascii="Palatino" w:hAnsi="Palatino" w:cs="Palatino"/>
          <w:color w:val="000000"/>
          <w:sz w:val="20"/>
          <w:szCs w:val="20"/>
        </w:rPr>
        <w:t xml:space="preserve">In general, there are three levels of service components for aids to navigation services: </w:t>
      </w:r>
    </w:p>
    <w:p w14:paraId="1303BA4B" w14:textId="77777777" w:rsidR="00541A14" w:rsidRDefault="00A450E1">
      <w:pPr>
        <w:pStyle w:val="Default"/>
        <w:numPr>
          <w:ilvl w:val="0"/>
          <w:numId w:val="151"/>
        </w:numPr>
        <w:rPr>
          <w:rFonts w:ascii="Palatino" w:hAnsi="Palatino" w:cs="Palatino"/>
          <w:sz w:val="20"/>
          <w:szCs w:val="20"/>
        </w:rPr>
      </w:pPr>
      <w:r>
        <w:rPr>
          <w:rFonts w:ascii="Palatino" w:hAnsi="Palatino" w:cs="Palatino"/>
          <w:b/>
          <w:bCs/>
          <w:sz w:val="20"/>
          <w:szCs w:val="20"/>
        </w:rPr>
        <w:t>extent</w:t>
      </w:r>
      <w:r>
        <w:rPr>
          <w:rFonts w:ascii="Palatino" w:hAnsi="Palatino" w:cs="Palatino"/>
          <w:sz w:val="20"/>
          <w:szCs w:val="20"/>
        </w:rPr>
        <w:t xml:space="preserve"> which addresses whether a service will be provided by the contracting government or otheragencies; </w:t>
      </w:r>
    </w:p>
    <w:p w14:paraId="110E97A1" w14:textId="77777777" w:rsidR="00541A14" w:rsidRDefault="00A450E1">
      <w:pPr>
        <w:pStyle w:val="Default"/>
        <w:numPr>
          <w:ilvl w:val="0"/>
          <w:numId w:val="151"/>
        </w:numPr>
        <w:rPr>
          <w:rFonts w:ascii="Palatino" w:hAnsi="Palatino" w:cs="Palatino"/>
          <w:sz w:val="20"/>
          <w:szCs w:val="20"/>
        </w:rPr>
      </w:pPr>
      <w:r>
        <w:rPr>
          <w:rFonts w:ascii="Palatino" w:hAnsi="Palatino" w:cs="Palatino"/>
          <w:b/>
          <w:bCs/>
          <w:sz w:val="20"/>
          <w:szCs w:val="20"/>
        </w:rPr>
        <w:t>quantity</w:t>
      </w:r>
      <w:r>
        <w:rPr>
          <w:rFonts w:ascii="Palatino" w:hAnsi="Palatino" w:cs="Palatino"/>
          <w:sz w:val="20"/>
          <w:szCs w:val="20"/>
        </w:rPr>
        <w:t xml:space="preserve"> which addresses the type, size, number and mix of aids to navigation required; and </w:t>
      </w:r>
    </w:p>
    <w:p w14:paraId="77DBC0CB" w14:textId="77777777" w:rsidR="00541A14" w:rsidRDefault="00A450E1">
      <w:pPr>
        <w:pStyle w:val="Default"/>
        <w:numPr>
          <w:ilvl w:val="0"/>
          <w:numId w:val="151"/>
        </w:numPr>
        <w:rPr>
          <w:rFonts w:ascii="Palatino" w:hAnsi="Palatino" w:cs="Palatino"/>
          <w:sz w:val="20"/>
          <w:szCs w:val="20"/>
        </w:rPr>
      </w:pPr>
      <w:r>
        <w:rPr>
          <w:rFonts w:ascii="Palatino" w:hAnsi="Palatino" w:cs="Palatino"/>
          <w:b/>
          <w:bCs/>
          <w:sz w:val="20"/>
          <w:szCs w:val="20"/>
        </w:rPr>
        <w:t>quality</w:t>
      </w:r>
      <w:r>
        <w:rPr>
          <w:rFonts w:ascii="Palatino" w:hAnsi="Palatino" w:cs="Palatino"/>
          <w:sz w:val="20"/>
          <w:szCs w:val="20"/>
        </w:rPr>
        <w:t xml:space="preserve"> which addresses the operational reliability of the service. </w:t>
      </w:r>
    </w:p>
    <w:p w14:paraId="44802C9F" w14:textId="77777777" w:rsidR="00541A14" w:rsidRDefault="00541A14">
      <w:pPr>
        <w:pStyle w:val="Default"/>
        <w:rPr>
          <w:rFonts w:ascii="Palatino" w:hAnsi="Palatino" w:cs="Palatino"/>
          <w:sz w:val="20"/>
          <w:szCs w:val="20"/>
        </w:rPr>
      </w:pPr>
    </w:p>
    <w:p w14:paraId="043CB9CA"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The SOLAS regulation is an excellent, general level of service statement in terms of the “extent”of service (where will Competent Authorities provide the service). The International MaritimeOrganization’s (IMO) Convention for Safety of Life At Sea (SOLAS), chapter 5, Regulation 13, states: </w:t>
      </w:r>
    </w:p>
    <w:p w14:paraId="28B02EAF" w14:textId="77777777" w:rsidR="00541A14" w:rsidRDefault="00A450E1">
      <w:pPr>
        <w:pStyle w:val="CM165"/>
        <w:spacing w:after="85" w:line="260" w:lineRule="atLeast"/>
        <w:ind w:left="295"/>
        <w:rPr>
          <w:rFonts w:ascii="Palatino" w:hAnsi="Palatino" w:cs="Palatino"/>
          <w:color w:val="000000"/>
          <w:sz w:val="20"/>
          <w:szCs w:val="20"/>
        </w:rPr>
      </w:pPr>
      <w:r>
        <w:rPr>
          <w:rFonts w:ascii="Palatino" w:hAnsi="Palatino" w:cs="Palatino"/>
          <w:i/>
          <w:iCs/>
          <w:color w:val="000000"/>
          <w:sz w:val="20"/>
          <w:szCs w:val="20"/>
        </w:rPr>
        <w:t xml:space="preserve">“Each Contracting Government undertakes to provide, as it deems practical and necessary either individually or in co-operation with other Contracting Governments, such aids to navigation as the volume of traffic justifies and the degree or risk requires.’’ </w:t>
      </w:r>
    </w:p>
    <w:p w14:paraId="09FBC12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Each contracting government is expected to establish its own service level standards to determine </w:t>
      </w:r>
    </w:p>
    <w:p w14:paraId="1A2E8768" w14:textId="77777777" w:rsidR="00541A14" w:rsidRDefault="00A450E1">
      <w:pPr>
        <w:pStyle w:val="CM174"/>
        <w:spacing w:after="437" w:line="291" w:lineRule="atLeast"/>
        <w:rPr>
          <w:rFonts w:ascii="Palatino" w:hAnsi="Palatino" w:cs="Palatino"/>
          <w:color w:val="000000"/>
          <w:sz w:val="20"/>
          <w:szCs w:val="20"/>
        </w:rPr>
      </w:pPr>
      <w:r>
        <w:rPr>
          <w:rFonts w:ascii="Palatino" w:hAnsi="Palatino" w:cs="Palatino"/>
          <w:color w:val="000000"/>
          <w:sz w:val="20"/>
          <w:szCs w:val="20"/>
        </w:rPr>
        <w:t xml:space="preserve">where a service will be provided, based on a measure of benefits, costs, and risks. </w:t>
      </w:r>
    </w:p>
    <w:p w14:paraId="060D7322" w14:textId="77777777" w:rsidR="00541A14" w:rsidRDefault="00A450E1">
      <w:pPr>
        <w:pStyle w:val="CM163"/>
        <w:spacing w:after="642"/>
        <w:jc w:val="center"/>
        <w:rPr>
          <w:rFonts w:ascii="Palatino" w:hAnsi="Palatino" w:cs="Palatino"/>
          <w:color w:val="000000"/>
          <w:sz w:val="20"/>
          <w:szCs w:val="20"/>
        </w:rPr>
      </w:pPr>
      <w:r>
        <w:rPr>
          <w:rFonts w:ascii="Palatino" w:hAnsi="Palatino" w:cs="Palatino"/>
          <w:color w:val="000000"/>
          <w:position w:val="6"/>
          <w:sz w:val="20"/>
          <w:szCs w:val="20"/>
          <w:vertAlign w:val="superscript"/>
        </w:rPr>
        <w:t>42</w:t>
      </w:r>
      <w:r>
        <w:rPr>
          <w:rFonts w:ascii="Palatino" w:hAnsi="Palatino" w:cs="Palatino"/>
          <w:color w:val="000000"/>
          <w:sz w:val="20"/>
          <w:szCs w:val="20"/>
        </w:rPr>
        <w:t xml:space="preserve"> For VTS issues, please refer to Chapter 5 of the NAVGUIDE and the IALA VTS Manual. </w:t>
      </w:r>
    </w:p>
    <w:p w14:paraId="4D06845E"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7FD1C1B3" wp14:editId="2D00EE35">
            <wp:extent cx="7553960" cy="420370"/>
            <wp:effectExtent l="0" t="0" r="0" b="1143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0E10D9A7" w14:textId="77777777" w:rsidR="00541A14" w:rsidRDefault="00DD420F">
      <w:pPr>
        <w:pStyle w:val="Default"/>
        <w:pageBreakBefore/>
        <w:framePr w:w="12876" w:wrap="auto" w:vAnchor="page" w:hAnchor="page" w:x="101" w:y="1"/>
        <w:spacing w:after="840"/>
        <w:rPr>
          <w:rFonts w:ascii="Palatino" w:hAnsi="Palatino" w:cs="Palatino"/>
          <w:sz w:val="20"/>
          <w:szCs w:val="20"/>
        </w:rPr>
      </w:pPr>
      <w:r>
        <w:rPr>
          <w:rFonts w:ascii="Palatino" w:hAnsi="Palatino" w:cs="Palatino"/>
          <w:noProof/>
          <w:sz w:val="20"/>
          <w:szCs w:val="20"/>
        </w:rPr>
        <w:drawing>
          <wp:inline distT="0" distB="0" distL="0" distR="0" wp14:anchorId="17BF3C9A" wp14:editId="1E848F27">
            <wp:extent cx="7553960" cy="1056640"/>
            <wp:effectExtent l="0" t="0" r="0" b="1016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377A846E" w14:textId="77777777" w:rsidR="00541A14" w:rsidRDefault="00A450E1">
      <w:pPr>
        <w:pStyle w:val="CM173"/>
        <w:spacing w:after="340" w:line="291" w:lineRule="atLeast"/>
        <w:ind w:right="107"/>
        <w:rPr>
          <w:rFonts w:ascii="Palatino" w:hAnsi="Palatino" w:cs="Palatino"/>
          <w:color w:val="000000"/>
          <w:sz w:val="20"/>
          <w:szCs w:val="20"/>
        </w:rPr>
      </w:pPr>
      <w:r>
        <w:rPr>
          <w:rFonts w:ascii="Palatino" w:hAnsi="Palatino" w:cs="Palatino"/>
          <w:color w:val="000000"/>
          <w:sz w:val="20"/>
          <w:szCs w:val="20"/>
        </w:rPr>
        <w:t xml:space="preserve">The following addresses the levels of service provided in terms of “quantity” and “quality” of service wherever a contracting government has decided to provide an AtoN service. </w:t>
      </w:r>
    </w:p>
    <w:p w14:paraId="7237429B"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8.2.1 Competent Authority Obligations </w:t>
      </w:r>
    </w:p>
    <w:p w14:paraId="4D031B8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To fulfil the obligations imposed by the requirements of the SOLAS Convention, it is recommended </w:t>
      </w:r>
    </w:p>
    <w:p w14:paraId="0B45227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that Competent Authorities prepare Level of Service (LOS) statements as outlined below: </w:t>
      </w:r>
    </w:p>
    <w:p w14:paraId="764880E0"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Review both the quantity and quality of the service and the related LOS standards and Operational Performance Statements (OPS) on a regular basis and update them as necessary to reflect changing </w:t>
      </w:r>
    </w:p>
    <w:p w14:paraId="56851A6B"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patterns of use and reassess risk factors, as well as changing technology and resource levels provided by contracting governments. </w:t>
      </w:r>
    </w:p>
    <w:p w14:paraId="4B535D40" w14:textId="77777777" w:rsidR="00541A14" w:rsidRDefault="00A450E1">
      <w:pPr>
        <w:pStyle w:val="Default"/>
        <w:numPr>
          <w:ilvl w:val="0"/>
          <w:numId w:val="152"/>
        </w:numPr>
        <w:rPr>
          <w:rFonts w:ascii="Palatino" w:hAnsi="Palatino" w:cs="Palatino"/>
          <w:sz w:val="20"/>
          <w:szCs w:val="20"/>
        </w:rPr>
      </w:pPr>
      <w:r>
        <w:rPr>
          <w:rFonts w:ascii="Palatino" w:hAnsi="Palatino" w:cs="Palatino"/>
          <w:sz w:val="20"/>
          <w:szCs w:val="20"/>
        </w:rPr>
        <w:t xml:space="preserve">Establish a formal mechanism for promulgating operational parameters and changes which can be accessed by all potential users. This should include a means of immediate notification, within practical limits, when the failure of an AtoN is identified. </w:t>
      </w:r>
    </w:p>
    <w:p w14:paraId="582D4D0B" w14:textId="77777777" w:rsidR="00541A14" w:rsidRDefault="00A450E1">
      <w:pPr>
        <w:pStyle w:val="Default"/>
        <w:numPr>
          <w:ilvl w:val="0"/>
          <w:numId w:val="152"/>
        </w:numPr>
        <w:rPr>
          <w:rFonts w:ascii="Palatino" w:hAnsi="Palatino" w:cs="Palatino"/>
          <w:sz w:val="20"/>
          <w:szCs w:val="20"/>
        </w:rPr>
      </w:pPr>
      <w:r>
        <w:rPr>
          <w:rFonts w:ascii="Palatino" w:hAnsi="Palatino" w:cs="Palatino"/>
          <w:sz w:val="20"/>
          <w:szCs w:val="20"/>
        </w:rPr>
        <w:t xml:space="preserve">Where responsibility for the provision of an AtoN service is delegated, for example, to state, </w:t>
      </w:r>
    </w:p>
    <w:p w14:paraId="5CF1954E" w14:textId="77777777" w:rsidR="00541A14" w:rsidRDefault="00541A14">
      <w:pPr>
        <w:pStyle w:val="Default"/>
        <w:rPr>
          <w:rFonts w:ascii="Palatino" w:hAnsi="Palatino" w:cs="Palatino"/>
          <w:sz w:val="20"/>
          <w:szCs w:val="20"/>
        </w:rPr>
      </w:pPr>
    </w:p>
    <w:p w14:paraId="3AF9CA45" w14:textId="77777777" w:rsidR="00541A14" w:rsidRDefault="00A450E1">
      <w:pPr>
        <w:pStyle w:val="CM54"/>
        <w:jc w:val="center"/>
        <w:rPr>
          <w:rFonts w:ascii="Palatino" w:hAnsi="Palatino" w:cs="Palatino"/>
          <w:color w:val="000000"/>
          <w:sz w:val="20"/>
          <w:szCs w:val="20"/>
        </w:rPr>
      </w:pPr>
      <w:r>
        <w:rPr>
          <w:rFonts w:ascii="Palatino" w:hAnsi="Palatino" w:cs="Palatino"/>
          <w:color w:val="000000"/>
          <w:sz w:val="20"/>
          <w:szCs w:val="20"/>
        </w:rPr>
        <w:t xml:space="preserve">territory, or local government organizations, or to port, harbour, or waterway authorities, or to local private groups, responsibility to ensure and/or enforce national obligations shall remain </w:t>
      </w:r>
    </w:p>
    <w:p w14:paraId="1BD1995A"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with the Competent Authority concerned (some Authorities may not have sufficient resources to </w:t>
      </w:r>
    </w:p>
    <w:p w14:paraId="52F4D4D5" w14:textId="77777777" w:rsidR="00541A14" w:rsidRDefault="00A450E1">
      <w:pPr>
        <w:pStyle w:val="CM175"/>
        <w:spacing w:after="267" w:line="293" w:lineRule="atLeast"/>
        <w:ind w:left="300"/>
        <w:rPr>
          <w:rFonts w:ascii="Palatino" w:hAnsi="Palatino" w:cs="Palatino"/>
          <w:color w:val="000000"/>
          <w:sz w:val="20"/>
          <w:szCs w:val="20"/>
        </w:rPr>
      </w:pPr>
      <w:r>
        <w:rPr>
          <w:rFonts w:ascii="Palatino" w:hAnsi="Palatino" w:cs="Palatino"/>
          <w:color w:val="000000"/>
          <w:sz w:val="20"/>
          <w:szCs w:val="20"/>
        </w:rPr>
        <w:t xml:space="preserve">approve and monitor all private and other authorities’ AtoN, but will enforce national standards if users report a problem). </w:t>
      </w:r>
    </w:p>
    <w:p w14:paraId="1595BFA1"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8.2.2 Level of Service Statement for Quantity </w:t>
      </w:r>
    </w:p>
    <w:p w14:paraId="2CE54B92"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The Level of Service (LOS) standards and Operational Performance Statements (OPS) for quantity will vary both from country to country and for individual areas depending on usage patterns, degree of risk and the mix of aids to navigation provided.  The LOS/OPS statements represent a commitment from the Competent Authority to mariners in general who are navigating or operating in the area, and to the government and/or other client groups responsible for funding the provision of the AtoN service.  It is important that the LOS/OPS statements are clearly understood and available to all concerned. The following outlines the stages that must be followed in the preparations of LOS/OPS statements: </w:t>
      </w:r>
    </w:p>
    <w:p w14:paraId="7390EFD6"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Level of Service / Operational Performance Statements </w:t>
      </w:r>
    </w:p>
    <w:p w14:paraId="1A4DCFB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It is recommended that LOS/OPS statements be prepared in three stages as follows: </w:t>
      </w:r>
    </w:p>
    <w:p w14:paraId="36276E30"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b/>
          <w:bCs/>
          <w:color w:val="000000"/>
          <w:sz w:val="20"/>
          <w:szCs w:val="20"/>
        </w:rPr>
        <w:t>step 1</w:t>
      </w:r>
      <w:r>
        <w:rPr>
          <w:rFonts w:ascii="Palatino" w:hAnsi="Palatino" w:cs="Palatino"/>
          <w:color w:val="000000"/>
          <w:sz w:val="20"/>
          <w:szCs w:val="20"/>
        </w:rPr>
        <w:t xml:space="preserve">: Determine the maritime usage patterns for the area concerned and identify risk factors for both vessels and the environment in general, taking into account at least the following: </w:t>
      </w:r>
    </w:p>
    <w:p w14:paraId="21BAE9D3"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Nature and character of the area: </w:t>
      </w:r>
    </w:p>
    <w:p w14:paraId="1AA91AF2" w14:textId="77777777" w:rsidR="00541A14" w:rsidRDefault="00A450E1">
      <w:pPr>
        <w:pStyle w:val="Default"/>
        <w:numPr>
          <w:ilvl w:val="0"/>
          <w:numId w:val="153"/>
        </w:numPr>
        <w:rPr>
          <w:rFonts w:ascii="Palatino" w:hAnsi="Palatino" w:cs="Palatino"/>
          <w:sz w:val="20"/>
          <w:szCs w:val="20"/>
        </w:rPr>
      </w:pPr>
      <w:r>
        <w:rPr>
          <w:rFonts w:ascii="Palatino" w:hAnsi="Palatino" w:cs="Palatino"/>
          <w:sz w:val="20"/>
          <w:szCs w:val="20"/>
        </w:rPr>
        <w:t xml:space="preserve">Depth; </w:t>
      </w:r>
    </w:p>
    <w:p w14:paraId="647B80D7" w14:textId="77777777" w:rsidR="00541A14" w:rsidRDefault="00A450E1">
      <w:pPr>
        <w:pStyle w:val="Default"/>
        <w:numPr>
          <w:ilvl w:val="0"/>
          <w:numId w:val="153"/>
        </w:numPr>
        <w:rPr>
          <w:rFonts w:ascii="Palatino" w:hAnsi="Palatino" w:cs="Palatino"/>
          <w:sz w:val="20"/>
          <w:szCs w:val="20"/>
        </w:rPr>
      </w:pPr>
      <w:r>
        <w:rPr>
          <w:rFonts w:ascii="Palatino" w:hAnsi="Palatino" w:cs="Palatino"/>
          <w:sz w:val="20"/>
          <w:szCs w:val="20"/>
        </w:rPr>
        <w:t xml:space="preserve">Siltation; </w:t>
      </w:r>
    </w:p>
    <w:p w14:paraId="710AAA85" w14:textId="77777777" w:rsidR="00541A14" w:rsidRDefault="00A450E1">
      <w:pPr>
        <w:pStyle w:val="Default"/>
        <w:numPr>
          <w:ilvl w:val="0"/>
          <w:numId w:val="153"/>
        </w:numPr>
        <w:rPr>
          <w:rFonts w:ascii="Palatino" w:hAnsi="Palatino" w:cs="Palatino"/>
          <w:sz w:val="20"/>
          <w:szCs w:val="20"/>
        </w:rPr>
      </w:pPr>
      <w:r>
        <w:rPr>
          <w:rFonts w:ascii="Palatino" w:hAnsi="Palatino" w:cs="Palatino"/>
          <w:sz w:val="20"/>
          <w:szCs w:val="20"/>
        </w:rPr>
        <w:t xml:space="preserve">Hazards; </w:t>
      </w:r>
    </w:p>
    <w:p w14:paraId="413C982B" w14:textId="77777777" w:rsidR="00541A14" w:rsidRDefault="00A450E1">
      <w:pPr>
        <w:pStyle w:val="Default"/>
        <w:numPr>
          <w:ilvl w:val="0"/>
          <w:numId w:val="153"/>
        </w:numPr>
        <w:rPr>
          <w:rFonts w:ascii="Palatino" w:hAnsi="Palatino" w:cs="Palatino"/>
          <w:sz w:val="20"/>
          <w:szCs w:val="20"/>
        </w:rPr>
      </w:pPr>
      <w:r>
        <w:rPr>
          <w:rFonts w:ascii="Palatino" w:hAnsi="Palatino" w:cs="Palatino"/>
          <w:sz w:val="20"/>
          <w:szCs w:val="20"/>
        </w:rPr>
        <w:t xml:space="preserve">Tides and currents; </w:t>
      </w:r>
    </w:p>
    <w:p w14:paraId="4CA67A2B" w14:textId="77777777" w:rsidR="00541A14" w:rsidRDefault="00A450E1">
      <w:pPr>
        <w:pStyle w:val="Default"/>
        <w:numPr>
          <w:ilvl w:val="0"/>
          <w:numId w:val="153"/>
        </w:numPr>
        <w:rPr>
          <w:rFonts w:ascii="Palatino" w:hAnsi="Palatino" w:cs="Palatino"/>
          <w:sz w:val="20"/>
          <w:szCs w:val="20"/>
        </w:rPr>
      </w:pPr>
      <w:r>
        <w:rPr>
          <w:rFonts w:ascii="Palatino" w:hAnsi="Palatino" w:cs="Palatino"/>
          <w:sz w:val="20"/>
          <w:szCs w:val="20"/>
        </w:rPr>
        <w:t xml:space="preserve">Visibility, weather patterns, and sea-ice conditions; </w:t>
      </w:r>
    </w:p>
    <w:p w14:paraId="29A9A794" w14:textId="77777777" w:rsidR="00541A14" w:rsidRDefault="00A450E1">
      <w:pPr>
        <w:pStyle w:val="Default"/>
        <w:numPr>
          <w:ilvl w:val="0"/>
          <w:numId w:val="153"/>
        </w:numPr>
        <w:rPr>
          <w:rFonts w:ascii="Palatino" w:hAnsi="Palatino" w:cs="Palatino"/>
          <w:sz w:val="20"/>
          <w:szCs w:val="20"/>
        </w:rPr>
      </w:pPr>
      <w:r>
        <w:rPr>
          <w:rFonts w:ascii="Palatino" w:hAnsi="Palatino" w:cs="Palatino"/>
          <w:sz w:val="20"/>
          <w:szCs w:val="20"/>
        </w:rPr>
        <w:t xml:space="preserve">Distinctive shoreline features for both visual and radar navigation; </w:t>
      </w:r>
    </w:p>
    <w:p w14:paraId="6C8E9814" w14:textId="77777777" w:rsidR="00541A14" w:rsidRDefault="00A450E1">
      <w:pPr>
        <w:pStyle w:val="Default"/>
        <w:numPr>
          <w:ilvl w:val="0"/>
          <w:numId w:val="153"/>
        </w:numPr>
        <w:rPr>
          <w:rFonts w:ascii="Palatino" w:hAnsi="Palatino" w:cs="Palatino"/>
          <w:sz w:val="20"/>
          <w:szCs w:val="20"/>
        </w:rPr>
      </w:pPr>
      <w:r>
        <w:rPr>
          <w:rFonts w:ascii="Palatino" w:hAnsi="Palatino" w:cs="Palatino"/>
          <w:sz w:val="20"/>
          <w:szCs w:val="20"/>
        </w:rPr>
        <w:t xml:space="preserve">Background lighting/background environment and relative position of the sun to the traffic </w:t>
      </w:r>
    </w:p>
    <w:p w14:paraId="356D23C3" w14:textId="77777777" w:rsidR="00541A14" w:rsidRDefault="00541A14">
      <w:pPr>
        <w:pStyle w:val="Default"/>
        <w:rPr>
          <w:rFonts w:ascii="Palatino" w:hAnsi="Palatino" w:cs="Palatino"/>
          <w:sz w:val="20"/>
          <w:szCs w:val="20"/>
        </w:rPr>
      </w:pPr>
    </w:p>
    <w:p w14:paraId="3701CA47" w14:textId="77777777" w:rsidR="00541A14" w:rsidRDefault="00A450E1">
      <w:pPr>
        <w:pStyle w:val="CM199"/>
        <w:spacing w:after="955" w:line="300" w:lineRule="atLeast"/>
        <w:ind w:left="600"/>
        <w:rPr>
          <w:rFonts w:ascii="Palatino" w:hAnsi="Palatino" w:cs="Palatino"/>
          <w:color w:val="000000"/>
          <w:sz w:val="20"/>
          <w:szCs w:val="20"/>
        </w:rPr>
      </w:pPr>
      <w:r>
        <w:rPr>
          <w:rFonts w:ascii="Palatino" w:hAnsi="Palatino" w:cs="Palatino"/>
          <w:color w:val="000000"/>
          <w:sz w:val="20"/>
          <w:szCs w:val="20"/>
        </w:rPr>
        <w:t xml:space="preserve">routes. </w:t>
      </w:r>
    </w:p>
    <w:p w14:paraId="5AB9E8D9"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5E748F47" wp14:editId="38A974E7">
            <wp:extent cx="7542530" cy="420370"/>
            <wp:effectExtent l="0" t="0" r="1270" b="1143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2926AB9E" w14:textId="77777777" w:rsidR="00541A14" w:rsidRDefault="00DD420F">
      <w:pPr>
        <w:pStyle w:val="Default"/>
        <w:pageBreakBefore/>
        <w:framePr w:w="24782" w:wrap="auto" w:vAnchor="page" w:hAnchor="page" w:x="101" w:y="1"/>
        <w:spacing w:after="840"/>
        <w:rPr>
          <w:rFonts w:ascii="Palatino" w:hAnsi="Palatino" w:cs="Palatino"/>
          <w:sz w:val="20"/>
          <w:szCs w:val="20"/>
        </w:rPr>
      </w:pPr>
      <w:r>
        <w:rPr>
          <w:rFonts w:ascii="Palatino" w:hAnsi="Palatino" w:cs="Palatino"/>
          <w:noProof/>
          <w:sz w:val="20"/>
          <w:szCs w:val="20"/>
        </w:rPr>
        <w:drawing>
          <wp:inline distT="0" distB="0" distL="0" distR="0" wp14:anchorId="57F6A127" wp14:editId="2B9129D7">
            <wp:extent cx="7553960" cy="106743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4B929D9F"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Traffic Analysis including: </w:t>
      </w:r>
    </w:p>
    <w:p w14:paraId="52B5B2B4" w14:textId="77777777" w:rsidR="00541A14" w:rsidRDefault="00A450E1">
      <w:pPr>
        <w:pStyle w:val="Default"/>
        <w:numPr>
          <w:ilvl w:val="0"/>
          <w:numId w:val="154"/>
        </w:numPr>
        <w:rPr>
          <w:rFonts w:ascii="Palatino" w:hAnsi="Palatino" w:cs="Palatino"/>
          <w:sz w:val="20"/>
          <w:szCs w:val="20"/>
        </w:rPr>
      </w:pPr>
      <w:r>
        <w:rPr>
          <w:rFonts w:ascii="Palatino" w:hAnsi="Palatino" w:cs="Palatino"/>
          <w:sz w:val="20"/>
          <w:szCs w:val="20"/>
        </w:rPr>
        <w:t xml:space="preserve">Type of traffic and vessel characteristics by user group; </w:t>
      </w:r>
    </w:p>
    <w:p w14:paraId="1F958A58" w14:textId="77777777" w:rsidR="00541A14" w:rsidRDefault="00A450E1">
      <w:pPr>
        <w:pStyle w:val="Default"/>
        <w:numPr>
          <w:ilvl w:val="0"/>
          <w:numId w:val="154"/>
        </w:numPr>
        <w:rPr>
          <w:rFonts w:ascii="Palatino" w:hAnsi="Palatino" w:cs="Palatino"/>
          <w:sz w:val="20"/>
          <w:szCs w:val="20"/>
        </w:rPr>
      </w:pPr>
      <w:r>
        <w:rPr>
          <w:rFonts w:ascii="Palatino" w:hAnsi="Palatino" w:cs="Palatino"/>
          <w:sz w:val="20"/>
          <w:szCs w:val="20"/>
        </w:rPr>
        <w:t xml:space="preserve">Routes and speed, including route marking requirements; </w:t>
      </w:r>
    </w:p>
    <w:p w14:paraId="46E91B79" w14:textId="77777777" w:rsidR="00541A14" w:rsidRDefault="00A450E1">
      <w:pPr>
        <w:pStyle w:val="Default"/>
        <w:numPr>
          <w:ilvl w:val="0"/>
          <w:numId w:val="154"/>
        </w:numPr>
        <w:rPr>
          <w:rFonts w:ascii="Palatino" w:hAnsi="Palatino" w:cs="Palatino"/>
          <w:sz w:val="20"/>
          <w:szCs w:val="20"/>
        </w:rPr>
      </w:pPr>
      <w:r>
        <w:rPr>
          <w:rFonts w:ascii="Palatino" w:hAnsi="Palatino" w:cs="Palatino"/>
          <w:sz w:val="20"/>
          <w:szCs w:val="20"/>
        </w:rPr>
        <w:t xml:space="preserve">Volume of traffic by user group; </w:t>
      </w:r>
    </w:p>
    <w:p w14:paraId="77CFD210" w14:textId="77777777" w:rsidR="00541A14" w:rsidRDefault="00A450E1">
      <w:pPr>
        <w:pStyle w:val="Default"/>
        <w:numPr>
          <w:ilvl w:val="0"/>
          <w:numId w:val="154"/>
        </w:numPr>
        <w:rPr>
          <w:rFonts w:ascii="Palatino" w:hAnsi="Palatino" w:cs="Palatino"/>
          <w:sz w:val="20"/>
          <w:szCs w:val="20"/>
        </w:rPr>
      </w:pPr>
      <w:r>
        <w:rPr>
          <w:rFonts w:ascii="Palatino" w:hAnsi="Palatino" w:cs="Palatino"/>
          <w:sz w:val="20"/>
          <w:szCs w:val="20"/>
        </w:rPr>
        <w:t xml:space="preserve">Type of cargo, particularly when hazardous. </w:t>
      </w:r>
    </w:p>
    <w:p w14:paraId="7ABA993C" w14:textId="77777777" w:rsidR="00541A14" w:rsidRDefault="00541A14">
      <w:pPr>
        <w:pStyle w:val="Default"/>
        <w:rPr>
          <w:rFonts w:ascii="Palatino" w:hAnsi="Palatino" w:cs="Palatino"/>
          <w:sz w:val="20"/>
          <w:szCs w:val="20"/>
        </w:rPr>
      </w:pPr>
    </w:p>
    <w:p w14:paraId="63958283"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Risk assessment including: </w:t>
      </w:r>
    </w:p>
    <w:p w14:paraId="79BCD532" w14:textId="77777777" w:rsidR="00541A14" w:rsidRDefault="00A450E1">
      <w:pPr>
        <w:pStyle w:val="Default"/>
        <w:numPr>
          <w:ilvl w:val="0"/>
          <w:numId w:val="155"/>
        </w:numPr>
        <w:rPr>
          <w:rFonts w:ascii="Palatino" w:hAnsi="Palatino" w:cs="Palatino"/>
          <w:sz w:val="20"/>
          <w:szCs w:val="20"/>
        </w:rPr>
      </w:pPr>
      <w:r>
        <w:rPr>
          <w:rFonts w:ascii="Palatino" w:hAnsi="Palatino" w:cs="Palatino"/>
          <w:sz w:val="20"/>
          <w:szCs w:val="20"/>
        </w:rPr>
        <w:t xml:space="preserve">Basic navigational risks, particularly in high traffic situations; </w:t>
      </w:r>
    </w:p>
    <w:p w14:paraId="5C4BD7CC" w14:textId="77777777" w:rsidR="00541A14" w:rsidRDefault="00A450E1">
      <w:pPr>
        <w:pStyle w:val="Default"/>
        <w:numPr>
          <w:ilvl w:val="0"/>
          <w:numId w:val="155"/>
        </w:numPr>
        <w:rPr>
          <w:rFonts w:ascii="Palatino" w:hAnsi="Palatino" w:cs="Palatino"/>
          <w:sz w:val="20"/>
          <w:szCs w:val="20"/>
        </w:rPr>
      </w:pPr>
      <w:r>
        <w:rPr>
          <w:rFonts w:ascii="Palatino" w:hAnsi="Palatino" w:cs="Palatino"/>
          <w:sz w:val="20"/>
          <w:szCs w:val="20"/>
        </w:rPr>
        <w:t xml:space="preserve">Risk to vessels caused by conflict between user groups; </w:t>
      </w:r>
    </w:p>
    <w:p w14:paraId="64A29808" w14:textId="77777777" w:rsidR="00541A14" w:rsidRDefault="00A450E1">
      <w:pPr>
        <w:pStyle w:val="Default"/>
        <w:numPr>
          <w:ilvl w:val="0"/>
          <w:numId w:val="155"/>
        </w:numPr>
        <w:rPr>
          <w:rFonts w:ascii="Palatino" w:hAnsi="Palatino" w:cs="Palatino"/>
          <w:sz w:val="20"/>
          <w:szCs w:val="20"/>
        </w:rPr>
      </w:pPr>
      <w:r>
        <w:rPr>
          <w:rFonts w:ascii="Palatino" w:hAnsi="Palatino" w:cs="Palatino"/>
          <w:sz w:val="20"/>
          <w:szCs w:val="20"/>
        </w:rPr>
        <w:t xml:space="preserve">Risk to the environment resulting from a maritime incident. </w:t>
      </w:r>
    </w:p>
    <w:p w14:paraId="4CAF4C76" w14:textId="77777777" w:rsidR="00541A14" w:rsidRDefault="00541A14">
      <w:pPr>
        <w:pStyle w:val="Default"/>
        <w:rPr>
          <w:rFonts w:ascii="Palatino" w:hAnsi="Palatino" w:cs="Palatino"/>
          <w:sz w:val="20"/>
          <w:szCs w:val="20"/>
        </w:rPr>
      </w:pPr>
    </w:p>
    <w:p w14:paraId="7C1537BC"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b/>
          <w:bCs/>
          <w:color w:val="000000"/>
          <w:sz w:val="20"/>
          <w:szCs w:val="20"/>
        </w:rPr>
        <w:t>step 2</w:t>
      </w:r>
      <w:r>
        <w:rPr>
          <w:rFonts w:ascii="Palatino" w:hAnsi="Palatino" w:cs="Palatino"/>
          <w:color w:val="000000"/>
          <w:sz w:val="20"/>
          <w:szCs w:val="20"/>
        </w:rPr>
        <w:t xml:space="preserve">: Develop an overall Navigation Plan (NAVPLAN) for the area concerned indicating the mix of AtoN, both conventional and electronic in type, considered necessary to provide the required level of service in the most cost effective manner. This plan may also include appropriate vessel reporting and control requirements and separation schemes to further reduce the risk of an incident. As far as possible the NAVPLAN should ensure that failure of a single AtoN does not result in a major penalty to the overall AtoN service, or a substantial increase in risk. </w:t>
      </w:r>
    </w:p>
    <w:p w14:paraId="55082493"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 addition, the NAVPLAN should take into account the likely navigational aids carried by user vessels, including the probability that elements of these onboard navigational aids may themselves suffer failure. For this reason, the number, type and mix of AtoN types provided must be considered in terms of short-term, navigational aid failure during a critical manoeuvre, or extended period failure. </w:t>
      </w:r>
    </w:p>
    <w:p w14:paraId="34701037"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b/>
          <w:bCs/>
          <w:color w:val="000000"/>
          <w:sz w:val="20"/>
          <w:szCs w:val="20"/>
        </w:rPr>
        <w:t>step 3</w:t>
      </w:r>
      <w:r>
        <w:rPr>
          <w:rFonts w:ascii="Palatino" w:hAnsi="Palatino" w:cs="Palatino"/>
          <w:color w:val="000000"/>
          <w:sz w:val="20"/>
          <w:szCs w:val="20"/>
        </w:rPr>
        <w:t xml:space="preserve">: For each proposed AtoN or system of AtoN, prepare an Operational Performance Statement (OPS). The format for the OPS will vary depending on the type of AtoN and mix of user groups. </w:t>
      </w:r>
    </w:p>
    <w:p w14:paraId="4A2AEEA3"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For a light signal, the OPS should typically comprise information regarding the probability that the light can be seen at the required range when approached by a vessel at any random time while the AtoN is required for service. Inputs to this type of statement include the visibility in the area expressed as a cumulative probability by number of days and the AtoN equipment availability based on mean time between failures and meantime to repair; or </w:t>
      </w:r>
    </w:p>
    <w:p w14:paraId="6C11C93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statement may also be expressed in terms of the maximum operational capability of the light, or totality of lights in an area. Such an OPS would identify the minimum visibility level at which the light(s) can be seen at the required range when approached by a vessel at night. The statement would be similar for an unlighted system of aids - eg. AtoN system supports visual navigation until visibility is reduced below 1 nautical mile. </w:t>
      </w:r>
    </w:p>
    <w:p w14:paraId="01603ED0"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The type of OPS will depend on the method used to measure or establish the LOS standards for the quantity of service. </w:t>
      </w:r>
    </w:p>
    <w:p w14:paraId="64565527"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There are a number of analytical methods available for the establishment of LOS standards and OPS, including: </w:t>
      </w:r>
    </w:p>
    <w:p w14:paraId="5F0D9DB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Relative Risk </w:t>
      </w:r>
    </w:p>
    <w:p w14:paraId="28689E5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The level of service standard is based on a relative risk scale using quantified threats or risk factors </w:t>
      </w:r>
    </w:p>
    <w:p w14:paraId="50906605" w14:textId="77777777" w:rsidR="00541A14" w:rsidRDefault="00A450E1">
      <w:pPr>
        <w:pStyle w:val="CM165"/>
        <w:spacing w:after="85" w:line="260" w:lineRule="atLeast"/>
        <w:ind w:left="295"/>
        <w:rPr>
          <w:rFonts w:ascii="Palatino" w:hAnsi="Palatino" w:cs="Palatino"/>
          <w:color w:val="000000"/>
          <w:sz w:val="20"/>
          <w:szCs w:val="20"/>
        </w:rPr>
      </w:pPr>
      <w:r>
        <w:rPr>
          <w:rFonts w:ascii="Palatino" w:hAnsi="Palatino" w:cs="Palatino"/>
          <w:color w:val="000000"/>
          <w:sz w:val="20"/>
          <w:szCs w:val="20"/>
        </w:rPr>
        <w:t xml:space="preserve">to determine acceptable risk levels. Statistical probability ratios or percentages may be the basis forboth the LOS and OPS. </w:t>
      </w:r>
    </w:p>
    <w:p w14:paraId="4EA6C0E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Visual Design </w:t>
      </w:r>
    </w:p>
    <w:p w14:paraId="6E435E1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The level of service standard is based on a standard percentage of time that operational aids</w:t>
      </w:r>
    </w:p>
    <w:p w14:paraId="297E9CEF" w14:textId="77777777" w:rsidR="00541A14" w:rsidRDefault="00A450E1">
      <w:pPr>
        <w:pStyle w:val="CM163"/>
        <w:spacing w:after="642" w:line="271" w:lineRule="atLeast"/>
        <w:jc w:val="center"/>
        <w:rPr>
          <w:rFonts w:ascii="Palatino" w:hAnsi="Palatino" w:cs="Palatino"/>
          <w:color w:val="000000"/>
          <w:sz w:val="20"/>
          <w:szCs w:val="20"/>
        </w:rPr>
      </w:pPr>
      <w:r>
        <w:rPr>
          <w:rFonts w:ascii="Palatino" w:hAnsi="Palatino" w:cs="Palatino"/>
          <w:color w:val="000000"/>
          <w:sz w:val="20"/>
          <w:szCs w:val="20"/>
        </w:rPr>
        <w:t xml:space="preserve">will be seen, using predetermined, acceptable risk levels based on professional judgment for </w:t>
      </w:r>
    </w:p>
    <w:p w14:paraId="7957565C"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7AFEDA52" wp14:editId="1E0A64FE">
            <wp:extent cx="7553960" cy="420370"/>
            <wp:effectExtent l="0" t="0" r="0" b="1143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269909F3" w14:textId="77777777" w:rsidR="00541A14" w:rsidRDefault="00DD420F">
      <w:pPr>
        <w:pStyle w:val="Default"/>
        <w:pageBreakBefore/>
        <w:framePr w:w="12876" w:wrap="auto" w:vAnchor="page" w:hAnchor="page" w:x="101" w:y="1"/>
        <w:spacing w:after="860"/>
        <w:rPr>
          <w:rFonts w:ascii="Palatino" w:hAnsi="Palatino" w:cs="Palatino"/>
          <w:sz w:val="20"/>
          <w:szCs w:val="20"/>
        </w:rPr>
      </w:pPr>
      <w:r>
        <w:rPr>
          <w:rFonts w:ascii="Palatino" w:hAnsi="Palatino" w:cs="Palatino"/>
          <w:noProof/>
          <w:sz w:val="20"/>
          <w:szCs w:val="20"/>
        </w:rPr>
        <w:drawing>
          <wp:inline distT="0" distB="0" distL="0" distR="0" wp14:anchorId="0FD118A7" wp14:editId="63AB70DE">
            <wp:extent cx="7553960" cy="1056640"/>
            <wp:effectExtent l="0" t="0" r="0" b="1016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581F72F0" w14:textId="77777777" w:rsidR="00541A14" w:rsidRDefault="00A450E1">
      <w:pPr>
        <w:pStyle w:val="CM72"/>
        <w:ind w:left="295"/>
        <w:rPr>
          <w:rFonts w:ascii="Palatino" w:hAnsi="Palatino" w:cs="Palatino"/>
          <w:color w:val="000000"/>
          <w:sz w:val="20"/>
          <w:szCs w:val="20"/>
        </w:rPr>
      </w:pPr>
      <w:r>
        <w:rPr>
          <w:rFonts w:ascii="Palatino" w:hAnsi="Palatino" w:cs="Palatino"/>
          <w:color w:val="000000"/>
          <w:sz w:val="20"/>
          <w:szCs w:val="20"/>
        </w:rPr>
        <w:t xml:space="preserve">each individual, quantified threat or risk factor for each type and size of vessel. The OPS may </w:t>
      </w:r>
    </w:p>
    <w:p w14:paraId="49893BDA" w14:textId="77777777" w:rsidR="00541A14" w:rsidRDefault="00A450E1">
      <w:pPr>
        <w:pStyle w:val="CM165"/>
        <w:spacing w:after="85" w:line="271" w:lineRule="atLeast"/>
        <w:ind w:left="300" w:right="180"/>
        <w:rPr>
          <w:rFonts w:ascii="Palatino" w:hAnsi="Palatino" w:cs="Palatino"/>
          <w:color w:val="000000"/>
          <w:sz w:val="20"/>
          <w:szCs w:val="20"/>
        </w:rPr>
      </w:pPr>
      <w:r>
        <w:rPr>
          <w:rFonts w:ascii="Palatino" w:hAnsi="Palatino" w:cs="Palatino"/>
          <w:color w:val="000000"/>
          <w:sz w:val="20"/>
          <w:szCs w:val="20"/>
        </w:rPr>
        <w:t xml:space="preserve">be expressed in terms of percentage of time that the aids will be visible due to known, local atmospheric conditions, or as the minimum visibility level at which the AtoN system will support visual navigation and below which radar or other electronic systems will be required. </w:t>
      </w:r>
    </w:p>
    <w:p w14:paraId="30C9EBCB" w14:textId="77777777" w:rsidR="00541A14" w:rsidRDefault="00A450E1">
      <w:pPr>
        <w:pStyle w:val="CM71"/>
        <w:ind w:left="302" w:hanging="303"/>
        <w:rPr>
          <w:rFonts w:ascii="Palatino" w:hAnsi="Palatino" w:cs="Palatino"/>
          <w:color w:val="000000"/>
          <w:sz w:val="20"/>
          <w:szCs w:val="20"/>
        </w:rPr>
      </w:pPr>
      <w:r>
        <w:rPr>
          <w:rFonts w:ascii="Palatino" w:hAnsi="Palatino" w:cs="Palatino"/>
          <w:color w:val="000000"/>
          <w:sz w:val="20"/>
          <w:szCs w:val="20"/>
        </w:rPr>
        <w:t xml:space="preserve">• For a radio AtoN such as a broadcast station providing differential GPS (DGPS) corrections, </w:t>
      </w:r>
    </w:p>
    <w:p w14:paraId="4D679D2B" w14:textId="77777777" w:rsidR="00541A14" w:rsidRDefault="00A450E1">
      <w:pPr>
        <w:pStyle w:val="CM175"/>
        <w:spacing w:after="267" w:line="293" w:lineRule="atLeast"/>
        <w:ind w:left="300"/>
        <w:rPr>
          <w:rFonts w:ascii="Palatino" w:hAnsi="Palatino" w:cs="Palatino"/>
          <w:color w:val="000000"/>
          <w:sz w:val="20"/>
          <w:szCs w:val="20"/>
        </w:rPr>
      </w:pPr>
      <w:r>
        <w:rPr>
          <w:rFonts w:ascii="Palatino" w:hAnsi="Palatino" w:cs="Palatino"/>
          <w:color w:val="000000"/>
          <w:sz w:val="20"/>
          <w:szCs w:val="20"/>
        </w:rPr>
        <w:t xml:space="preserve">the LOS should take into account both the expected propagation conditions between the transmitting site and the user and the equipment availability of the AtoN itself. </w:t>
      </w:r>
    </w:p>
    <w:p w14:paraId="1B054CF8"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8.2.3 Level of Service Statements for Quality </w:t>
      </w:r>
    </w:p>
    <w:p w14:paraId="35669179"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Equipment availability </w:t>
      </w:r>
    </w:p>
    <w:p w14:paraId="3AE79E75"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The equipment availability of an AtoN is governed by the equipment operational reliability measured in terms of mean time- between- failure (MTBF) and the time to complete repairs in the event of a failure, measured in downtime or mean time-to-repair (MTTR).  Where routine maintenance cannot be carried out during non-operational periods, an additional factor for planned downtime must be included. </w:t>
      </w:r>
    </w:p>
    <w:p w14:paraId="62B6BDA0" w14:textId="77777777" w:rsidR="00541A14" w:rsidRDefault="00A450E1">
      <w:pPr>
        <w:pStyle w:val="CM3"/>
        <w:ind w:right="402"/>
        <w:rPr>
          <w:rFonts w:ascii="Palatino" w:hAnsi="Palatino" w:cs="Palatino"/>
          <w:color w:val="000000"/>
          <w:sz w:val="20"/>
          <w:szCs w:val="20"/>
        </w:rPr>
      </w:pPr>
      <w:r>
        <w:rPr>
          <w:rFonts w:ascii="Palatino" w:hAnsi="Palatino" w:cs="Palatino"/>
          <w:color w:val="000000"/>
          <w:sz w:val="20"/>
          <w:szCs w:val="20"/>
        </w:rPr>
        <w:t xml:space="preserve">Equipment with very high reliability may achieve required availability standards, even with a long MTTR. Competent Authorities should, therefore, consider including a maximum targeted </w:t>
      </w:r>
    </w:p>
    <w:p w14:paraId="17959C2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downtime specified in the OPS, where usage and risk factors so dictate.  MTTR depends not only </w:t>
      </w:r>
    </w:p>
    <w:p w14:paraId="6193AB9A"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on the ease with which a fault may be diagnosed and repaired on site, but also on access limitations (including weather and sea state conditions), availability of trained staff, and spare holdings, etc. </w:t>
      </w:r>
    </w:p>
    <w:p w14:paraId="792B185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Key elements in achieving high equipment availability are: </w:t>
      </w:r>
    </w:p>
    <w:p w14:paraId="0550F8C7" w14:textId="77777777" w:rsidR="00541A14" w:rsidRDefault="00A450E1">
      <w:pPr>
        <w:pStyle w:val="Default"/>
        <w:numPr>
          <w:ilvl w:val="0"/>
          <w:numId w:val="156"/>
        </w:numPr>
        <w:spacing w:after="32"/>
        <w:rPr>
          <w:rFonts w:ascii="Palatino" w:hAnsi="Palatino" w:cs="Palatino"/>
          <w:sz w:val="20"/>
          <w:szCs w:val="20"/>
        </w:rPr>
      </w:pPr>
      <w:r>
        <w:rPr>
          <w:rFonts w:ascii="Palatino" w:hAnsi="Palatino" w:cs="Palatino"/>
          <w:sz w:val="20"/>
          <w:szCs w:val="20"/>
        </w:rPr>
        <w:t xml:space="preserve">Choice of equipment which is inherently reliable. </w:t>
      </w:r>
    </w:p>
    <w:p w14:paraId="0E64AEDB" w14:textId="77777777" w:rsidR="00541A14" w:rsidRDefault="00A450E1">
      <w:pPr>
        <w:pStyle w:val="Default"/>
        <w:numPr>
          <w:ilvl w:val="0"/>
          <w:numId w:val="156"/>
        </w:numPr>
        <w:rPr>
          <w:rFonts w:ascii="Palatino" w:hAnsi="Palatino" w:cs="Palatino"/>
          <w:sz w:val="20"/>
          <w:szCs w:val="20"/>
        </w:rPr>
      </w:pPr>
      <w:r>
        <w:rPr>
          <w:rFonts w:ascii="Palatino" w:hAnsi="Palatino" w:cs="Palatino"/>
          <w:sz w:val="20"/>
          <w:szCs w:val="20"/>
        </w:rPr>
        <w:t xml:space="preserve">Inclusion of active or passive redundancy features wherever availability targets or maximum </w:t>
      </w:r>
    </w:p>
    <w:p w14:paraId="4794C2C0" w14:textId="77777777" w:rsidR="00541A14" w:rsidRDefault="00541A14">
      <w:pPr>
        <w:pStyle w:val="Default"/>
        <w:rPr>
          <w:rFonts w:ascii="Palatino" w:hAnsi="Palatino" w:cs="Palatino"/>
          <w:sz w:val="20"/>
          <w:szCs w:val="20"/>
        </w:rPr>
      </w:pPr>
    </w:p>
    <w:p w14:paraId="31002C9F" w14:textId="77777777" w:rsidR="00541A14" w:rsidRDefault="00A450E1">
      <w:pPr>
        <w:pStyle w:val="CM165"/>
        <w:spacing w:after="85" w:line="280" w:lineRule="atLeast"/>
        <w:ind w:left="300" w:right="580"/>
        <w:rPr>
          <w:rFonts w:ascii="Palatino" w:hAnsi="Palatino" w:cs="Palatino"/>
          <w:color w:val="000000"/>
          <w:sz w:val="20"/>
          <w:szCs w:val="20"/>
        </w:rPr>
      </w:pPr>
      <w:r>
        <w:rPr>
          <w:rFonts w:ascii="Palatino" w:hAnsi="Palatino" w:cs="Palatino"/>
          <w:color w:val="000000"/>
          <w:sz w:val="20"/>
          <w:szCs w:val="20"/>
        </w:rPr>
        <w:t xml:space="preserve">downtime targets are not achievable due to remoteness of the site or limited access due to weather or sea state conditions. </w:t>
      </w:r>
    </w:p>
    <w:p w14:paraId="6EBCA6AD" w14:textId="77777777" w:rsidR="00541A14" w:rsidRDefault="00A450E1">
      <w:pPr>
        <w:pStyle w:val="CM44"/>
        <w:ind w:left="300" w:right="205" w:hanging="300"/>
        <w:rPr>
          <w:rFonts w:ascii="Palatino" w:hAnsi="Palatino" w:cs="Palatino"/>
          <w:color w:val="000000"/>
          <w:sz w:val="20"/>
          <w:szCs w:val="20"/>
        </w:rPr>
      </w:pPr>
      <w:r>
        <w:rPr>
          <w:rFonts w:ascii="Palatino" w:hAnsi="Palatino" w:cs="Palatino"/>
          <w:color w:val="000000"/>
          <w:sz w:val="20"/>
          <w:szCs w:val="20"/>
        </w:rPr>
        <w:t xml:space="preserve">• Provision of performance measuring facilities, whenever availability or downtime targets are not achievable, will allow potential failures to be identified and corrected before actual failure </w:t>
      </w:r>
    </w:p>
    <w:p w14:paraId="56532FA9"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occurs. For unwatched automatic AtoN this will normally require provision of a remote monitoring system. </w:t>
      </w:r>
    </w:p>
    <w:p w14:paraId="50584720" w14:textId="77777777" w:rsidR="00541A14" w:rsidRDefault="00A450E1">
      <w:pPr>
        <w:pStyle w:val="CM17"/>
        <w:ind w:left="300" w:hanging="300"/>
        <w:rPr>
          <w:rFonts w:ascii="Palatino" w:hAnsi="Palatino" w:cs="Palatino"/>
          <w:color w:val="000000"/>
          <w:sz w:val="20"/>
          <w:szCs w:val="20"/>
        </w:rPr>
      </w:pPr>
      <w:r>
        <w:rPr>
          <w:rFonts w:ascii="Palatino" w:hAnsi="Palatino" w:cs="Palatino"/>
          <w:color w:val="000000"/>
          <w:sz w:val="20"/>
          <w:szCs w:val="20"/>
        </w:rPr>
        <w:t xml:space="preserve">• Availability of adequately trained staff and provision of suitable spares.  In this context, </w:t>
      </w:r>
    </w:p>
    <w:p w14:paraId="65AD8392" w14:textId="77777777" w:rsidR="00541A14" w:rsidRDefault="00A450E1">
      <w:pPr>
        <w:pStyle w:val="CM165"/>
        <w:spacing w:after="85" w:line="293" w:lineRule="atLeast"/>
        <w:ind w:left="300" w:right="342"/>
        <w:rPr>
          <w:rFonts w:ascii="Palatino" w:hAnsi="Palatino" w:cs="Palatino"/>
          <w:color w:val="000000"/>
          <w:sz w:val="20"/>
          <w:szCs w:val="20"/>
        </w:rPr>
      </w:pPr>
      <w:r>
        <w:rPr>
          <w:rFonts w:ascii="Palatino" w:hAnsi="Palatino" w:cs="Palatino"/>
          <w:color w:val="000000"/>
          <w:sz w:val="20"/>
          <w:szCs w:val="20"/>
        </w:rPr>
        <w:t xml:space="preserve">Competent Authorities should address the option of contracting out maintenance and repair tasks with care.  In particular: </w:t>
      </w:r>
    </w:p>
    <w:p w14:paraId="4C9D55EC" w14:textId="77777777" w:rsidR="00541A14" w:rsidRDefault="00A450E1">
      <w:pPr>
        <w:pStyle w:val="Default"/>
        <w:numPr>
          <w:ilvl w:val="0"/>
          <w:numId w:val="157"/>
        </w:numPr>
        <w:rPr>
          <w:rFonts w:ascii="Palatino" w:hAnsi="Palatino" w:cs="Palatino"/>
          <w:sz w:val="20"/>
          <w:szCs w:val="20"/>
        </w:rPr>
      </w:pPr>
      <w:r>
        <w:rPr>
          <w:rFonts w:ascii="Palatino" w:hAnsi="Palatino" w:cs="Palatino"/>
          <w:sz w:val="20"/>
          <w:szCs w:val="20"/>
        </w:rPr>
        <w:t xml:space="preserve">Responsibility for meeting SOLAS Convention requirements cannot be delegated to the contracting organization. </w:t>
      </w:r>
    </w:p>
    <w:p w14:paraId="4AF62F6D" w14:textId="77777777" w:rsidR="00541A14" w:rsidRDefault="00A450E1">
      <w:pPr>
        <w:pStyle w:val="Default"/>
        <w:numPr>
          <w:ilvl w:val="0"/>
          <w:numId w:val="157"/>
        </w:numPr>
        <w:rPr>
          <w:rFonts w:ascii="Palatino" w:hAnsi="Palatino" w:cs="Palatino"/>
          <w:sz w:val="20"/>
          <w:szCs w:val="20"/>
        </w:rPr>
      </w:pPr>
      <w:r>
        <w:rPr>
          <w:rFonts w:ascii="Palatino" w:hAnsi="Palatino" w:cs="Palatino"/>
          <w:sz w:val="20"/>
          <w:szCs w:val="20"/>
        </w:rPr>
        <w:t xml:space="preserve">When contracting out is contemplated, the Competent Authority concerned should retain </w:t>
      </w:r>
    </w:p>
    <w:p w14:paraId="618649A1" w14:textId="77777777" w:rsidR="00541A14" w:rsidRDefault="00541A14">
      <w:pPr>
        <w:pStyle w:val="Default"/>
        <w:rPr>
          <w:rFonts w:ascii="Palatino" w:hAnsi="Palatino" w:cs="Palatino"/>
          <w:sz w:val="20"/>
          <w:szCs w:val="20"/>
        </w:rPr>
      </w:pPr>
    </w:p>
    <w:p w14:paraId="77C387F1" w14:textId="77777777" w:rsidR="00541A14" w:rsidRDefault="00A450E1">
      <w:pPr>
        <w:pStyle w:val="CM165"/>
        <w:spacing w:after="85" w:line="278" w:lineRule="atLeast"/>
        <w:ind w:left="600" w:right="137"/>
        <w:rPr>
          <w:rFonts w:ascii="Palatino" w:hAnsi="Palatino" w:cs="Palatino"/>
          <w:color w:val="000000"/>
          <w:sz w:val="20"/>
          <w:szCs w:val="20"/>
        </w:rPr>
      </w:pPr>
      <w:r>
        <w:rPr>
          <w:rFonts w:ascii="Palatino" w:hAnsi="Palatino" w:cs="Palatino"/>
          <w:color w:val="000000"/>
          <w:sz w:val="20"/>
          <w:szCs w:val="20"/>
        </w:rPr>
        <w:t xml:space="preserve">sufficient design and performance assessment expertise to be able to audit the performance of the contracting organization in an efficient and effective manner. </w:t>
      </w:r>
    </w:p>
    <w:p w14:paraId="23431C51" w14:textId="77777777" w:rsidR="00541A14" w:rsidRDefault="00A450E1">
      <w:pPr>
        <w:pStyle w:val="CM204"/>
        <w:spacing w:after="1725" w:line="293" w:lineRule="atLeast"/>
        <w:ind w:left="600" w:hanging="300"/>
        <w:rPr>
          <w:rFonts w:ascii="Palatino" w:hAnsi="Palatino" w:cs="Palatino"/>
          <w:color w:val="000000"/>
          <w:sz w:val="20"/>
          <w:szCs w:val="20"/>
        </w:rPr>
      </w:pPr>
      <w:r>
        <w:rPr>
          <w:rFonts w:ascii="Palatino" w:hAnsi="Palatino" w:cs="Palatino"/>
          <w:color w:val="000000"/>
          <w:sz w:val="20"/>
          <w:szCs w:val="20"/>
        </w:rPr>
        <w:t xml:space="preserve">– The contracting organization should meet appropriate quality management criteria, including staff training requirements. </w:t>
      </w:r>
    </w:p>
    <w:p w14:paraId="60A21B54"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4315E950" wp14:editId="3AA474C9">
            <wp:extent cx="7542530" cy="420370"/>
            <wp:effectExtent l="0" t="0" r="1270" b="1143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45FF3F6E" w14:textId="77777777" w:rsidR="00541A14" w:rsidRDefault="00DD420F">
      <w:pPr>
        <w:pStyle w:val="Default"/>
        <w:pageBreakBefore/>
        <w:framePr w:w="24782" w:wrap="auto" w:vAnchor="page" w:hAnchor="page" w:x="101" w:y="1"/>
        <w:spacing w:after="820"/>
        <w:rPr>
          <w:rFonts w:ascii="Palatino" w:hAnsi="Palatino" w:cs="Palatino"/>
          <w:sz w:val="20"/>
          <w:szCs w:val="20"/>
        </w:rPr>
      </w:pPr>
      <w:r>
        <w:rPr>
          <w:rFonts w:ascii="Palatino" w:hAnsi="Palatino" w:cs="Palatino"/>
          <w:noProof/>
          <w:sz w:val="20"/>
          <w:szCs w:val="20"/>
        </w:rPr>
        <w:drawing>
          <wp:inline distT="0" distB="0" distL="0" distR="0" wp14:anchorId="52210AE0" wp14:editId="58AB14A1">
            <wp:extent cx="7553960" cy="106743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6C313799"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Level of service statements for quality of service should be expressed as one, or a combination of the following: </w:t>
      </w:r>
    </w:p>
    <w:p w14:paraId="372EE43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An overall percentage availability statement reflecting the percentage of time that any AtoN can be </w:t>
      </w:r>
    </w:p>
    <w:p w14:paraId="1CF5E0BC" w14:textId="77777777" w:rsidR="00541A14" w:rsidRDefault="00A450E1">
      <w:pPr>
        <w:pStyle w:val="CM165"/>
        <w:spacing w:after="85" w:line="260" w:lineRule="atLeast"/>
        <w:ind w:left="295"/>
        <w:rPr>
          <w:rFonts w:ascii="Palatino" w:hAnsi="Palatino" w:cs="Palatino"/>
          <w:color w:val="000000"/>
          <w:sz w:val="20"/>
          <w:szCs w:val="20"/>
        </w:rPr>
      </w:pPr>
      <w:r>
        <w:rPr>
          <w:rFonts w:ascii="Palatino" w:hAnsi="Palatino" w:cs="Palatino"/>
          <w:color w:val="000000"/>
          <w:sz w:val="20"/>
          <w:szCs w:val="20"/>
        </w:rPr>
        <w:t xml:space="preserve">expected to be operational. </w:t>
      </w:r>
    </w:p>
    <w:p w14:paraId="1FBB3C1A" w14:textId="77777777" w:rsidR="00541A14" w:rsidRDefault="00A450E1">
      <w:pPr>
        <w:pStyle w:val="Default"/>
        <w:numPr>
          <w:ilvl w:val="0"/>
          <w:numId w:val="158"/>
        </w:numPr>
        <w:rPr>
          <w:rFonts w:ascii="Palatino" w:hAnsi="Palatino" w:cs="Palatino"/>
          <w:sz w:val="20"/>
          <w:szCs w:val="20"/>
        </w:rPr>
      </w:pPr>
      <w:r>
        <w:rPr>
          <w:rFonts w:ascii="Palatino" w:hAnsi="Palatino" w:cs="Palatino"/>
          <w:sz w:val="20"/>
          <w:szCs w:val="20"/>
        </w:rPr>
        <w:t xml:space="preserve">Percentage availability targets based on importance or type of AtoN. </w:t>
      </w:r>
    </w:p>
    <w:p w14:paraId="6CFD86F0" w14:textId="77777777" w:rsidR="00541A14" w:rsidRDefault="00A450E1">
      <w:pPr>
        <w:pStyle w:val="Default"/>
        <w:numPr>
          <w:ilvl w:val="0"/>
          <w:numId w:val="158"/>
        </w:numPr>
        <w:rPr>
          <w:rFonts w:ascii="Palatino" w:hAnsi="Palatino" w:cs="Palatino"/>
          <w:sz w:val="20"/>
          <w:szCs w:val="20"/>
        </w:rPr>
      </w:pPr>
      <w:r>
        <w:rPr>
          <w:rFonts w:ascii="Palatino" w:hAnsi="Palatino" w:cs="Palatino"/>
          <w:sz w:val="20"/>
          <w:szCs w:val="20"/>
        </w:rPr>
        <w:t xml:space="preserve">Maximum downtime targets for AtoN overall, or within a specific area. </w:t>
      </w:r>
    </w:p>
    <w:p w14:paraId="552E88B1" w14:textId="77777777" w:rsidR="00541A14" w:rsidRDefault="00541A14">
      <w:pPr>
        <w:pStyle w:val="Default"/>
        <w:rPr>
          <w:rFonts w:ascii="Palatino" w:hAnsi="Palatino" w:cs="Palatino"/>
          <w:sz w:val="20"/>
          <w:szCs w:val="20"/>
        </w:rPr>
      </w:pPr>
    </w:p>
    <w:p w14:paraId="753ED087"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8.2.4 Consultation and Review of LOS </w:t>
      </w:r>
    </w:p>
    <w:p w14:paraId="05D2D045" w14:textId="77777777" w:rsidR="00541A14" w:rsidRDefault="00A450E1">
      <w:pPr>
        <w:pStyle w:val="CM165"/>
        <w:spacing w:after="85" w:line="268" w:lineRule="atLeast"/>
        <w:ind w:right="352"/>
        <w:rPr>
          <w:rFonts w:ascii="Palatino" w:hAnsi="Palatino" w:cs="Palatino"/>
          <w:color w:val="000000"/>
          <w:sz w:val="20"/>
          <w:szCs w:val="20"/>
        </w:rPr>
      </w:pPr>
      <w:r>
        <w:rPr>
          <w:rFonts w:ascii="Palatino" w:hAnsi="Palatino" w:cs="Palatino"/>
          <w:color w:val="000000"/>
          <w:sz w:val="20"/>
          <w:szCs w:val="20"/>
        </w:rPr>
        <w:t xml:space="preserve">Development of the LOS targets, the NAVPLAN, and the OPS for each AtoN or AtoN area, should be an iterative process in consultation with all user groups and funding organizations. It is recommended that the consultation process include: </w:t>
      </w:r>
    </w:p>
    <w:p w14:paraId="038C990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Meetings with all user representatives conducted during the development of the LOS standards, </w:t>
      </w:r>
    </w:p>
    <w:p w14:paraId="43D81AC1" w14:textId="77777777" w:rsidR="00541A14" w:rsidRDefault="00A450E1">
      <w:pPr>
        <w:pStyle w:val="CM165"/>
        <w:spacing w:after="85" w:line="271" w:lineRule="atLeast"/>
        <w:ind w:left="300" w:right="180"/>
        <w:rPr>
          <w:rFonts w:ascii="Palatino" w:hAnsi="Palatino" w:cs="Palatino"/>
          <w:color w:val="000000"/>
          <w:sz w:val="20"/>
          <w:szCs w:val="20"/>
        </w:rPr>
      </w:pPr>
      <w:r>
        <w:rPr>
          <w:rFonts w:ascii="Palatino" w:hAnsi="Palatino" w:cs="Palatino"/>
          <w:color w:val="000000"/>
          <w:sz w:val="20"/>
          <w:szCs w:val="20"/>
        </w:rPr>
        <w:t xml:space="preserve">OPS and NAVPLAN to review proposals and arrive at an equitable balance between service, riskand cost; and </w:t>
      </w:r>
    </w:p>
    <w:p w14:paraId="54873D32" w14:textId="77777777" w:rsidR="00541A14" w:rsidRDefault="00A450E1">
      <w:pPr>
        <w:pStyle w:val="CM169"/>
        <w:spacing w:after="65" w:line="291" w:lineRule="atLeast"/>
        <w:rPr>
          <w:rFonts w:ascii="Palatino" w:hAnsi="Palatino" w:cs="Palatino"/>
          <w:color w:val="000000"/>
          <w:sz w:val="20"/>
          <w:szCs w:val="20"/>
        </w:rPr>
      </w:pPr>
      <w:r>
        <w:rPr>
          <w:rFonts w:ascii="Palatino" w:hAnsi="Palatino" w:cs="Palatino"/>
          <w:color w:val="000000"/>
          <w:sz w:val="20"/>
          <w:szCs w:val="20"/>
        </w:rPr>
        <w:t>• regular review meetings facilitated by the creation of an advisory board, where appropriate, and</w:t>
      </w:r>
    </w:p>
    <w:p w14:paraId="63439442" w14:textId="77777777" w:rsidR="00541A14" w:rsidRDefault="00A450E1">
      <w:pPr>
        <w:pStyle w:val="Default"/>
        <w:spacing w:line="328" w:lineRule="atLeast"/>
        <w:ind w:firstLine="300"/>
        <w:rPr>
          <w:rFonts w:ascii="Palatino" w:hAnsi="Palatino" w:cs="Palatino"/>
          <w:sz w:val="20"/>
          <w:szCs w:val="20"/>
        </w:rPr>
      </w:pPr>
      <w:r>
        <w:rPr>
          <w:rFonts w:ascii="Palatino" w:hAnsi="Palatino" w:cs="Palatino"/>
          <w:sz w:val="20"/>
          <w:szCs w:val="20"/>
        </w:rPr>
        <w:t>by feedback from both commercial and pleasure craft operators. It is recommended that Competent Authorities put in place procedures to monitor the performance</w:t>
      </w:r>
    </w:p>
    <w:p w14:paraId="329B93CD"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of individual AtoN and that regular reports of achieved equipment availability based on MTBF andMTTR are provided. As far as is practical, equipment performance monitoring is required in addition to reports of equipment failure received from mariners. </w:t>
      </w:r>
    </w:p>
    <w:p w14:paraId="1581E190"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32B70CBB" w14:textId="77777777" w:rsidR="00541A14" w:rsidRDefault="00A450E1">
      <w:pPr>
        <w:pStyle w:val="CM174"/>
        <w:spacing w:after="437" w:line="260" w:lineRule="atLeast"/>
        <w:ind w:left="295"/>
        <w:rPr>
          <w:rFonts w:ascii="Palatino" w:hAnsi="Palatino" w:cs="Palatino"/>
          <w:color w:val="000000"/>
          <w:sz w:val="20"/>
          <w:szCs w:val="20"/>
        </w:rPr>
      </w:pPr>
      <w:r>
        <w:rPr>
          <w:rFonts w:ascii="Palatino" w:hAnsi="Palatino" w:cs="Palatino"/>
          <w:i/>
          <w:iCs/>
          <w:color w:val="000000"/>
          <w:sz w:val="20"/>
          <w:szCs w:val="20"/>
        </w:rPr>
        <w:t xml:space="preserve">IALA Guideline 1004 on levels of service. </w:t>
      </w:r>
      <w:hyperlink r:id="rId339" w:history="1">
        <w:r>
          <w:rPr>
            <w:rFonts w:ascii="Palatino" w:hAnsi="Palatino" w:cs="Palatino"/>
            <w:i/>
            <w:iCs/>
            <w:color w:val="000000"/>
            <w:sz w:val="20"/>
            <w:szCs w:val="20"/>
          </w:rPr>
          <w:t>IALA Guideline 1079 on Establishing and Conducting User Consultancy by Aids to Navigation</w:t>
        </w:r>
      </w:hyperlink>
      <w:hyperlink r:id="rId340" w:history="1">
        <w:r>
          <w:rPr>
            <w:rFonts w:ascii="Palatino" w:hAnsi="Palatino" w:cs="Palatino"/>
            <w:i/>
            <w:iCs/>
            <w:color w:val="000000"/>
            <w:sz w:val="20"/>
            <w:szCs w:val="20"/>
          </w:rPr>
          <w:t xml:space="preserve">Authorities. </w:t>
        </w:r>
      </w:hyperlink>
    </w:p>
    <w:p w14:paraId="33703D59" w14:textId="77777777" w:rsidR="00541A14" w:rsidRDefault="00A450E1">
      <w:pPr>
        <w:pStyle w:val="Default"/>
        <w:rPr>
          <w:rFonts w:ascii="Futura Book" w:hAnsi="Futura Book" w:cs="Futura Book"/>
          <w:color w:val="2C5062"/>
          <w:sz w:val="22"/>
          <w:szCs w:val="22"/>
        </w:rPr>
      </w:pPr>
      <w:r>
        <w:rPr>
          <w:rFonts w:ascii="Futura Book" w:hAnsi="Futura Book" w:cs="Futura Book"/>
          <w:b/>
          <w:bCs/>
          <w:color w:val="2C5062"/>
          <w:sz w:val="22"/>
          <w:szCs w:val="22"/>
        </w:rPr>
        <w:t xml:space="preserve">8.2.5 Mix of Aids to Navigation (Layers of Service) </w:t>
      </w:r>
    </w:p>
    <w:p w14:paraId="73EE49E2"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Table 26 provides a summary of available aids to navigation systems and obtainable accuracies. It is assumed that radar and visual bearings have an accuracy of 0.5º and radio bearings 2º respectively. </w:t>
      </w:r>
    </w:p>
    <w:p w14:paraId="1795590B"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86912" behindDoc="0" locked="0" layoutInCell="0" allowOverlap="1" wp14:anchorId="36435BDA" wp14:editId="51277B3B">
                <wp:simplePos x="0" y="0"/>
                <wp:positionH relativeFrom="page">
                  <wp:posOffset>754380</wp:posOffset>
                </wp:positionH>
                <wp:positionV relativeFrom="page">
                  <wp:posOffset>7042150</wp:posOffset>
                </wp:positionV>
                <wp:extent cx="6273165" cy="3384550"/>
                <wp:effectExtent l="0" t="0" r="0" b="0"/>
                <wp:wrapThrough wrapText="bothSides">
                  <wp:wrapPolygon edited="0">
                    <wp:start x="0" y="0"/>
                    <wp:lineTo x="21600" y="0"/>
                    <wp:lineTo x="21600" y="21600"/>
                    <wp:lineTo x="0" y="21600"/>
                    <wp:lineTo x="0" y="0"/>
                  </wp:wrapPolygon>
                </wp:wrapThrough>
                <wp:docPr id="528"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3165" cy="3384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81610" w14:textId="77777777" w:rsidR="00541A14" w:rsidRDefault="00A450E1">
                            <w:pPr>
                              <w:widowControl w:val="0"/>
                              <w:autoSpaceDE w:val="0"/>
                              <w:autoSpaceDN w:val="0"/>
                              <w:adjustRightInd w:val="0"/>
                              <w:spacing w:after="240" w:line="300" w:lineRule="atLeast"/>
                              <w:rPr>
                                <w:rFonts w:ascii="Palatino" w:hAnsi="Palatino" w:cs="Palatino"/>
                                <w:color w:val="000000"/>
                              </w:rPr>
                            </w:pPr>
                            <w:r>
                              <w:rPr>
                                <w:rFonts w:ascii="Palatino" w:hAnsi="Palatino" w:cs="Palatino"/>
                                <w:b/>
                                <w:bCs/>
                                <w:color w:val="000000"/>
                              </w:rPr>
                              <w:t xml:space="preserve">table 26 – Indicative accuracies of aids to navigation systems </w:t>
                            </w:r>
                          </w:p>
                          <w:tbl>
                            <w:tblPr>
                              <w:tblW w:w="0" w:type="auto"/>
                              <w:tblBorders>
                                <w:top w:val="nil"/>
                                <w:left w:val="nil"/>
                                <w:bottom w:val="nil"/>
                                <w:right w:val="nil"/>
                              </w:tblBorders>
                              <w:tblLayout w:type="fixed"/>
                              <w:tblLook w:val="0000" w:firstRow="0" w:lastRow="0" w:firstColumn="0" w:lastColumn="0" w:noHBand="0" w:noVBand="0"/>
                            </w:tblPr>
                            <w:tblGrid>
                              <w:gridCol w:w="2280"/>
                              <w:gridCol w:w="2267"/>
                              <w:gridCol w:w="2265"/>
                              <w:gridCol w:w="2267"/>
                            </w:tblGrid>
                            <w:tr w:rsidR="00541A14" w14:paraId="5E87ECF8" w14:textId="77777777">
                              <w:trPr>
                                <w:trHeight w:val="143"/>
                              </w:trPr>
                              <w:tc>
                                <w:tcPr>
                                  <w:tcW w:w="2280" w:type="dxa"/>
                                  <w:vMerge w:val="restart"/>
                                  <w:tcBorders>
                                    <w:top w:val="single" w:sz="4" w:space="0" w:color="05090D"/>
                                    <w:left w:val="single" w:sz="4" w:space="0" w:color="000001"/>
                                    <w:right w:val="single" w:sz="4" w:space="0" w:color="010203"/>
                                  </w:tcBorders>
                                  <w:shd w:val="clear" w:color="auto" w:fill="264056"/>
                                </w:tcPr>
                                <w:p w14:paraId="6103351C"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Distance off shore in nautical miles </w:t>
                                  </w:r>
                                </w:p>
                              </w:tc>
                              <w:tc>
                                <w:tcPr>
                                  <w:tcW w:w="2267" w:type="dxa"/>
                                  <w:tcBorders>
                                    <w:top w:val="single" w:sz="4" w:space="0" w:color="05090D"/>
                                    <w:left w:val="single" w:sz="4" w:space="0" w:color="010203"/>
                                    <w:bottom w:val="single" w:sz="4" w:space="0" w:color="0A1117"/>
                                  </w:tcBorders>
                                  <w:shd w:val="clear" w:color="auto" w:fill="264056"/>
                                </w:tcPr>
                                <w:p w14:paraId="53195015" w14:textId="77777777" w:rsidR="00541A14" w:rsidRDefault="00541A14">
                                  <w:pPr>
                                    <w:pStyle w:val="Default"/>
                                    <w:rPr>
                                      <w:rFonts w:cs="Times New Roman"/>
                                      <w:color w:val="auto"/>
                                    </w:rPr>
                                  </w:pPr>
                                </w:p>
                              </w:tc>
                              <w:tc>
                                <w:tcPr>
                                  <w:tcW w:w="2265" w:type="dxa"/>
                                  <w:tcBorders>
                                    <w:top w:val="single" w:sz="4" w:space="0" w:color="05090D"/>
                                    <w:bottom w:val="single" w:sz="4" w:space="0" w:color="0A1117"/>
                                  </w:tcBorders>
                                  <w:shd w:val="clear" w:color="auto" w:fill="264056"/>
                                  <w:vAlign w:val="center"/>
                                </w:tcPr>
                                <w:p w14:paraId="0D221876"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Obtainable accuracies </w:t>
                                  </w:r>
                                </w:p>
                              </w:tc>
                              <w:tc>
                                <w:tcPr>
                                  <w:tcW w:w="2267" w:type="dxa"/>
                                  <w:tcBorders>
                                    <w:top w:val="single" w:sz="4" w:space="0" w:color="05090D"/>
                                    <w:bottom w:val="single" w:sz="4" w:space="0" w:color="0A1117"/>
                                    <w:right w:val="single" w:sz="4" w:space="0" w:color="000001"/>
                                  </w:tcBorders>
                                  <w:shd w:val="clear" w:color="auto" w:fill="264056"/>
                                </w:tcPr>
                                <w:p w14:paraId="701130BE" w14:textId="77777777" w:rsidR="00541A14" w:rsidRDefault="00541A14">
                                  <w:pPr>
                                    <w:pStyle w:val="Default"/>
                                    <w:rPr>
                                      <w:rFonts w:cs="Times New Roman"/>
                                      <w:color w:val="auto"/>
                                    </w:rPr>
                                  </w:pPr>
                                </w:p>
                              </w:tc>
                            </w:tr>
                            <w:tr w:rsidR="00541A14" w14:paraId="1A7B6065" w14:textId="77777777">
                              <w:trPr>
                                <w:trHeight w:val="136"/>
                              </w:trPr>
                              <w:tc>
                                <w:tcPr>
                                  <w:tcW w:w="2280" w:type="dxa"/>
                                  <w:vMerge/>
                                  <w:tcBorders>
                                    <w:top w:val="single" w:sz="4" w:space="0" w:color="05090D"/>
                                    <w:left w:val="single" w:sz="4" w:space="0" w:color="000001"/>
                                    <w:right w:val="single" w:sz="4" w:space="0" w:color="010203"/>
                                  </w:tcBorders>
                                  <w:shd w:val="clear" w:color="auto" w:fill="264056"/>
                                </w:tcPr>
                                <w:p w14:paraId="1F9AE15A" w14:textId="77777777" w:rsidR="00541A14" w:rsidRDefault="00541A14">
                                  <w:pPr>
                                    <w:pStyle w:val="Default"/>
                                    <w:rPr>
                                      <w:rFonts w:cs="Times New Roman"/>
                                      <w:color w:val="auto"/>
                                    </w:rPr>
                                  </w:pPr>
                                </w:p>
                              </w:tc>
                              <w:tc>
                                <w:tcPr>
                                  <w:tcW w:w="2267" w:type="dxa"/>
                                  <w:tcBorders>
                                    <w:top w:val="single" w:sz="4" w:space="0" w:color="0A1117"/>
                                    <w:left w:val="single" w:sz="4" w:space="0" w:color="010203"/>
                                    <w:right w:val="single" w:sz="4" w:space="0" w:color="000001"/>
                                  </w:tcBorders>
                                  <w:shd w:val="clear" w:color="auto" w:fill="264056"/>
                                  <w:vAlign w:val="center"/>
                                </w:tcPr>
                                <w:p w14:paraId="13C40BD2"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&gt; 500 m </w:t>
                                  </w:r>
                                </w:p>
                              </w:tc>
                              <w:tc>
                                <w:tcPr>
                                  <w:tcW w:w="2265" w:type="dxa"/>
                                  <w:tcBorders>
                                    <w:top w:val="single" w:sz="4" w:space="0" w:color="0A1117"/>
                                    <w:left w:val="single" w:sz="4" w:space="0" w:color="000001"/>
                                    <w:right w:val="single" w:sz="4" w:space="0" w:color="000001"/>
                                  </w:tcBorders>
                                  <w:shd w:val="clear" w:color="auto" w:fill="264056"/>
                                  <w:vAlign w:val="center"/>
                                </w:tcPr>
                                <w:p w14:paraId="63062DC3"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100 - 500 m </w:t>
                                  </w:r>
                                </w:p>
                              </w:tc>
                              <w:tc>
                                <w:tcPr>
                                  <w:tcW w:w="2267" w:type="dxa"/>
                                  <w:tcBorders>
                                    <w:top w:val="single" w:sz="4" w:space="0" w:color="0A1117"/>
                                    <w:left w:val="single" w:sz="4" w:space="0" w:color="000001"/>
                                    <w:right w:val="single" w:sz="4" w:space="0" w:color="000001"/>
                                  </w:tcBorders>
                                  <w:shd w:val="clear" w:color="auto" w:fill="264056"/>
                                  <w:vAlign w:val="center"/>
                                </w:tcPr>
                                <w:p w14:paraId="7F166DB3"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&lt; 100 m </w:t>
                                  </w:r>
                                </w:p>
                              </w:tc>
                            </w:tr>
                            <w:tr w:rsidR="00541A14" w14:paraId="67B807C6" w14:textId="77777777">
                              <w:trPr>
                                <w:trHeight w:val="236"/>
                              </w:trPr>
                              <w:tc>
                                <w:tcPr>
                                  <w:tcW w:w="2280" w:type="dxa"/>
                                  <w:tcBorders>
                                    <w:top w:val="single" w:sz="2" w:space="0" w:color="264056"/>
                                    <w:left w:val="single" w:sz="4" w:space="0" w:color="000001"/>
                                    <w:right w:val="single" w:sz="4" w:space="0" w:color="010203"/>
                                  </w:tcBorders>
                                  <w:shd w:val="clear" w:color="auto" w:fill="DCDCE0"/>
                                </w:tcPr>
                                <w:p w14:paraId="0A2DB99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Unlimited </w:t>
                                  </w:r>
                                </w:p>
                              </w:tc>
                              <w:tc>
                                <w:tcPr>
                                  <w:tcW w:w="2267" w:type="dxa"/>
                                  <w:tcBorders>
                                    <w:top w:val="single" w:sz="2" w:space="0" w:color="264056"/>
                                    <w:left w:val="single" w:sz="4" w:space="0" w:color="010203"/>
                                    <w:right w:val="single" w:sz="4" w:space="0" w:color="000001"/>
                                  </w:tcBorders>
                                  <w:shd w:val="clear" w:color="auto" w:fill="DCDCE0"/>
                                </w:tcPr>
                                <w:p w14:paraId="17369B5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Astronomical Fix </w:t>
                                  </w:r>
                                </w:p>
                              </w:tc>
                              <w:tc>
                                <w:tcPr>
                                  <w:tcW w:w="2265" w:type="dxa"/>
                                  <w:tcBorders>
                                    <w:top w:val="single" w:sz="2" w:space="0" w:color="264056"/>
                                    <w:left w:val="single" w:sz="4" w:space="0" w:color="000001"/>
                                    <w:right w:val="single" w:sz="4" w:space="0" w:color="000001"/>
                                  </w:tcBorders>
                                  <w:shd w:val="clear" w:color="auto" w:fill="DCDCE0"/>
                                </w:tcPr>
                                <w:p w14:paraId="24F25A9C" w14:textId="77777777" w:rsidR="00541A14" w:rsidRDefault="00541A14">
                                  <w:pPr>
                                    <w:pStyle w:val="Default"/>
                                    <w:rPr>
                                      <w:rFonts w:cs="Times New Roman"/>
                                      <w:color w:val="auto"/>
                                    </w:rPr>
                                  </w:pPr>
                                </w:p>
                              </w:tc>
                              <w:tc>
                                <w:tcPr>
                                  <w:tcW w:w="2267" w:type="dxa"/>
                                  <w:tcBorders>
                                    <w:top w:val="single" w:sz="2" w:space="0" w:color="264056"/>
                                    <w:left w:val="single" w:sz="4" w:space="0" w:color="000001"/>
                                    <w:right w:val="single" w:sz="4" w:space="0" w:color="000001"/>
                                  </w:tcBorders>
                                  <w:shd w:val="clear" w:color="auto" w:fill="DCDCE0"/>
                                  <w:vAlign w:val="center"/>
                                </w:tcPr>
                                <w:p w14:paraId="008ACBC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GPS GLONASS </w:t>
                                  </w:r>
                                </w:p>
                              </w:tc>
                            </w:tr>
                            <w:tr w:rsidR="00541A14" w14:paraId="3BCD7C91" w14:textId="77777777">
                              <w:trPr>
                                <w:trHeight w:val="233"/>
                              </w:trPr>
                              <w:tc>
                                <w:tcPr>
                                  <w:tcW w:w="2280" w:type="dxa"/>
                                  <w:tcBorders>
                                    <w:left w:val="single" w:sz="4" w:space="0" w:color="000001"/>
                                    <w:right w:val="single" w:sz="4" w:space="0" w:color="010203"/>
                                  </w:tcBorders>
                                </w:tcPr>
                                <w:p w14:paraId="1A0F348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800 -150 </w:t>
                                  </w:r>
                                </w:p>
                              </w:tc>
                              <w:tc>
                                <w:tcPr>
                                  <w:tcW w:w="2267" w:type="dxa"/>
                                  <w:tcBorders>
                                    <w:left w:val="single" w:sz="4" w:space="0" w:color="010203"/>
                                    <w:right w:val="single" w:sz="4" w:space="0" w:color="000001"/>
                                  </w:tcBorders>
                                </w:tcPr>
                                <w:p w14:paraId="545E5503"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Astronomical Fix </w:t>
                                  </w:r>
                                </w:p>
                              </w:tc>
                              <w:tc>
                                <w:tcPr>
                                  <w:tcW w:w="2265" w:type="dxa"/>
                                  <w:tcBorders>
                                    <w:left w:val="single" w:sz="4" w:space="0" w:color="000001"/>
                                    <w:right w:val="single" w:sz="4" w:space="0" w:color="000001"/>
                                  </w:tcBorders>
                                </w:tcPr>
                                <w:p w14:paraId="41F0429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LORAN-C </w:t>
                                  </w:r>
                                </w:p>
                              </w:tc>
                              <w:tc>
                                <w:tcPr>
                                  <w:tcW w:w="2267" w:type="dxa"/>
                                  <w:tcBorders>
                                    <w:left w:val="single" w:sz="4" w:space="0" w:color="000001"/>
                                    <w:right w:val="single" w:sz="4" w:space="0" w:color="000001"/>
                                  </w:tcBorders>
                                  <w:vAlign w:val="center"/>
                                </w:tcPr>
                                <w:p w14:paraId="3938317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GPS GLONASS </w:t>
                                  </w:r>
                                </w:p>
                              </w:tc>
                            </w:tr>
                            <w:tr w:rsidR="00541A14" w14:paraId="62B6D2C7" w14:textId="77777777">
                              <w:trPr>
                                <w:trHeight w:val="423"/>
                              </w:trPr>
                              <w:tc>
                                <w:tcPr>
                                  <w:tcW w:w="2280" w:type="dxa"/>
                                  <w:tcBorders>
                                    <w:left w:val="single" w:sz="4" w:space="0" w:color="000001"/>
                                    <w:right w:val="single" w:sz="4" w:space="0" w:color="010203"/>
                                  </w:tcBorders>
                                  <w:shd w:val="clear" w:color="auto" w:fill="DCDCE0"/>
                                </w:tcPr>
                                <w:p w14:paraId="5530893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150 - 30 </w:t>
                                  </w:r>
                                </w:p>
                              </w:tc>
                              <w:tc>
                                <w:tcPr>
                                  <w:tcW w:w="2267" w:type="dxa"/>
                                  <w:tcBorders>
                                    <w:left w:val="single" w:sz="4" w:space="0" w:color="010203"/>
                                    <w:right w:val="single" w:sz="4" w:space="0" w:color="000001"/>
                                  </w:tcBorders>
                                  <w:shd w:val="clear" w:color="auto" w:fill="DCDCE0"/>
                                </w:tcPr>
                                <w:p w14:paraId="420CC1D8"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Astronomical Fix Radio Beacons </w:t>
                                  </w:r>
                                </w:p>
                              </w:tc>
                              <w:tc>
                                <w:tcPr>
                                  <w:tcW w:w="2265" w:type="dxa"/>
                                  <w:tcBorders>
                                    <w:left w:val="single" w:sz="4" w:space="0" w:color="000001"/>
                                    <w:right w:val="single" w:sz="4" w:space="0" w:color="000001"/>
                                  </w:tcBorders>
                                  <w:shd w:val="clear" w:color="auto" w:fill="DCDCE0"/>
                                </w:tcPr>
                                <w:p w14:paraId="7E756484" w14:textId="77777777" w:rsidR="00541A14" w:rsidRDefault="00541A14">
                                  <w:pPr>
                                    <w:pStyle w:val="Default"/>
                                    <w:rPr>
                                      <w:rFonts w:cs="Times New Roman"/>
                                      <w:color w:val="auto"/>
                                    </w:rPr>
                                  </w:pPr>
                                </w:p>
                              </w:tc>
                              <w:tc>
                                <w:tcPr>
                                  <w:tcW w:w="2267" w:type="dxa"/>
                                  <w:tcBorders>
                                    <w:left w:val="single" w:sz="4" w:space="0" w:color="000001"/>
                                    <w:right w:val="single" w:sz="4" w:space="0" w:color="000001"/>
                                  </w:tcBorders>
                                  <w:shd w:val="clear" w:color="auto" w:fill="DCDCE0"/>
                                </w:tcPr>
                                <w:p w14:paraId="789E0F1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GPS GLONASS LORAN-C Precision Systems </w:t>
                                  </w:r>
                                </w:p>
                              </w:tc>
                            </w:tr>
                            <w:tr w:rsidR="00541A14" w14:paraId="11DBA780" w14:textId="77777777">
                              <w:trPr>
                                <w:trHeight w:val="425"/>
                              </w:trPr>
                              <w:tc>
                                <w:tcPr>
                                  <w:tcW w:w="2280" w:type="dxa"/>
                                  <w:tcBorders>
                                    <w:left w:val="single" w:sz="4" w:space="0" w:color="000001"/>
                                    <w:right w:val="single" w:sz="4" w:space="0" w:color="010203"/>
                                  </w:tcBorders>
                                </w:tcPr>
                                <w:p w14:paraId="1AC1174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30 - 6 </w:t>
                                  </w:r>
                                </w:p>
                              </w:tc>
                              <w:tc>
                                <w:tcPr>
                                  <w:tcW w:w="2267" w:type="dxa"/>
                                  <w:tcBorders>
                                    <w:left w:val="single" w:sz="4" w:space="0" w:color="010203"/>
                                    <w:right w:val="single" w:sz="4" w:space="0" w:color="000001"/>
                                  </w:tcBorders>
                                </w:tcPr>
                                <w:p w14:paraId="7CA5CED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Astronomical Fix Radio Beacons Visual Bearings Radio Bearings </w:t>
                                  </w:r>
                                </w:p>
                              </w:tc>
                              <w:tc>
                                <w:tcPr>
                                  <w:tcW w:w="2265" w:type="dxa"/>
                                  <w:tcBorders>
                                    <w:left w:val="single" w:sz="4" w:space="0" w:color="000001"/>
                                    <w:right w:val="single" w:sz="4" w:space="0" w:color="000001"/>
                                  </w:tcBorders>
                                </w:tcPr>
                                <w:p w14:paraId="7FFDBB3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Radar Bearings </w:t>
                                  </w:r>
                                </w:p>
                              </w:tc>
                              <w:tc>
                                <w:tcPr>
                                  <w:tcW w:w="2267" w:type="dxa"/>
                                  <w:tcBorders>
                                    <w:left w:val="single" w:sz="4" w:space="0" w:color="000001"/>
                                    <w:right w:val="single" w:sz="4" w:space="0" w:color="000001"/>
                                  </w:tcBorders>
                                </w:tcPr>
                                <w:p w14:paraId="440513F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GPS GLONASS LORAN-C Precision Systems </w:t>
                                  </w:r>
                                </w:p>
                              </w:tc>
                            </w:tr>
                            <w:tr w:rsidR="00541A14" w14:paraId="3C6AC078" w14:textId="77777777">
                              <w:trPr>
                                <w:trHeight w:val="422"/>
                              </w:trPr>
                              <w:tc>
                                <w:tcPr>
                                  <w:tcW w:w="2280" w:type="dxa"/>
                                  <w:tcBorders>
                                    <w:left w:val="single" w:sz="4" w:space="0" w:color="000001"/>
                                    <w:bottom w:val="single" w:sz="4" w:space="0" w:color="000000"/>
                                    <w:right w:val="single" w:sz="4" w:space="0" w:color="010203"/>
                                  </w:tcBorders>
                                  <w:shd w:val="clear" w:color="auto" w:fill="DCDCE0"/>
                                </w:tcPr>
                                <w:p w14:paraId="32B598E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6 or less </w:t>
                                  </w:r>
                                </w:p>
                              </w:tc>
                              <w:tc>
                                <w:tcPr>
                                  <w:tcW w:w="2267" w:type="dxa"/>
                                  <w:tcBorders>
                                    <w:left w:val="single" w:sz="4" w:space="0" w:color="010203"/>
                                    <w:bottom w:val="single" w:sz="4" w:space="0" w:color="000000"/>
                                    <w:right w:val="single" w:sz="4" w:space="0" w:color="000001"/>
                                  </w:tcBorders>
                                  <w:shd w:val="clear" w:color="auto" w:fill="DCDCE0"/>
                                </w:tcPr>
                                <w:p w14:paraId="7BB72FED" w14:textId="77777777" w:rsidR="00541A14" w:rsidRDefault="00541A14">
                                  <w:pPr>
                                    <w:pStyle w:val="Default"/>
                                    <w:rPr>
                                      <w:rFonts w:cs="Times New Roman"/>
                                      <w:color w:val="auto"/>
                                    </w:rPr>
                                  </w:pPr>
                                </w:p>
                              </w:tc>
                              <w:tc>
                                <w:tcPr>
                                  <w:tcW w:w="2265" w:type="dxa"/>
                                  <w:tcBorders>
                                    <w:left w:val="single" w:sz="4" w:space="0" w:color="000001"/>
                                    <w:bottom w:val="single" w:sz="4" w:space="0" w:color="000000"/>
                                    <w:right w:val="single" w:sz="4" w:space="0" w:color="000001"/>
                                  </w:tcBorders>
                                  <w:shd w:val="clear" w:color="auto" w:fill="DCDCE0"/>
                                </w:tcPr>
                                <w:p w14:paraId="3DB693C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Radio Beacons Visual Bearings Radar Bearings </w:t>
                                  </w:r>
                                </w:p>
                              </w:tc>
                              <w:tc>
                                <w:tcPr>
                                  <w:tcW w:w="2267" w:type="dxa"/>
                                  <w:tcBorders>
                                    <w:left w:val="single" w:sz="4" w:space="0" w:color="000001"/>
                                    <w:bottom w:val="single" w:sz="4" w:space="0" w:color="000000"/>
                                    <w:right w:val="single" w:sz="4" w:space="0" w:color="000001"/>
                                  </w:tcBorders>
                                  <w:shd w:val="clear" w:color="auto" w:fill="DCDCE0"/>
                                </w:tcPr>
                                <w:p w14:paraId="20501CBA"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GPS GLONASS LORAN-C Precision Systems </w:t>
                                  </w:r>
                                </w:p>
                              </w:tc>
                            </w:tr>
                          </w:tbl>
                          <w:p w14:paraId="1A0EC86B"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54" type="#_x0000_t202" style="position:absolute;margin-left:59.4pt;margin-top:554.5pt;width:493.95pt;height:266.5pt;z-index:251686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" o:allowincell="f" filled="f" stroked="f">
                <v:textbox>
                  <w:txbxContent>
                    <w:p w14:paraId="52C81610" w14:textId="77777777" w:rsidR="00000000" w:rsidRDefault="00A450E1">
                      <w:pPr>
                        <w:widowControl w:val="0"/>
                        <w:autoSpaceDE w:val="0"/>
                        <w:autoSpaceDN w:val="0"/>
                        <w:adjustRightInd w:val="0"/>
                        <w:spacing w:after="240" w:line="300" w:lineRule="atLeast"/>
                        <w:rPr>
                          <w:rFonts w:ascii="Palatino" w:hAnsi="Palatino" w:cs="Palatino"/>
                          <w:color w:val="000000"/>
                        </w:rPr>
                      </w:pPr>
                      <w:r>
                        <w:rPr>
                          <w:rFonts w:ascii="Palatino" w:hAnsi="Palatino" w:cs="Palatino"/>
                          <w:b/>
                          <w:bCs/>
                          <w:color w:val="000000"/>
                        </w:rPr>
                        <w:t>table 2</w:t>
                      </w:r>
                      <w:r>
                        <w:rPr>
                          <w:rFonts w:ascii="Palatino" w:hAnsi="Palatino" w:cs="Palatino"/>
                          <w:b/>
                          <w:bCs/>
                          <w:color w:val="000000"/>
                        </w:rPr>
                        <w:t xml:space="preserve">6 – Indicative accuracies of aids to navigation systems </w:t>
                      </w:r>
                    </w:p>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57"/>
                        <w:gridCol w:w="33"/>
                        <w:gridCol w:w="302"/>
                        <w:gridCol w:w="33"/>
                        <w:gridCol w:w="135"/>
                        <w:gridCol w:w="177"/>
                        <w:gridCol w:w="125"/>
                        <w:gridCol w:w="55"/>
                        <w:gridCol w:w="20"/>
                        <w:gridCol w:w="50"/>
                        <w:gridCol w:w="168"/>
                        <w:gridCol w:w="97"/>
                        <w:gridCol w:w="33"/>
                        <w:gridCol w:w="372"/>
                        <w:gridCol w:w="112"/>
                        <w:gridCol w:w="5"/>
                        <w:gridCol w:w="425"/>
                        <w:gridCol w:w="240"/>
                        <w:gridCol w:w="60"/>
                        <w:gridCol w:w="237"/>
                        <w:gridCol w:w="38"/>
                        <w:gridCol w:w="90"/>
                        <w:gridCol w:w="370"/>
                        <w:gridCol w:w="5"/>
                        <w:gridCol w:w="5"/>
                        <w:gridCol w:w="12"/>
                        <w:gridCol w:w="47"/>
                        <w:gridCol w:w="168"/>
                        <w:gridCol w:w="52"/>
                        <w:gridCol w:w="122"/>
                        <w:gridCol w:w="108"/>
                        <w:gridCol w:w="503"/>
                        <w:gridCol w:w="47"/>
                        <w:gridCol w:w="355"/>
                        <w:gridCol w:w="10"/>
                        <w:gridCol w:w="371"/>
                        <w:gridCol w:w="692"/>
                        <w:gridCol w:w="57"/>
                        <w:gridCol w:w="283"/>
                        <w:gridCol w:w="1892"/>
                        <w:gridCol w:w="77"/>
                        <w:gridCol w:w="15"/>
                        <w:gridCol w:w="8"/>
                      </w:tblGrid>
                      <w:tr w:rsidR="00000000" w14:paraId="5E87ECF8" w14:textId="77777777">
                        <w:tblPrEx>
                          <w:tblCellMar>
                            <w:top w:w="0" w:type="dxa"/>
                            <w:bottom w:w="0" w:type="dxa"/>
                          </w:tblCellMar>
                        </w:tblPrEx>
                        <w:trPr>
                          <w:gridAfter w:val="1"/>
                          <w:wAfter w:w="4" w:type="dxa"/>
                          <w:trHeight w:val="143"/>
                        </w:trPr>
                        <w:tc>
                          <w:tcPr>
                            <w:tcW w:w="2280" w:type="dxa"/>
                            <w:gridSpan w:val="14"/>
                            <w:vMerge w:val="restart"/>
                            <w:tcBorders>
                              <w:top w:val="single" w:sz="4" w:space="0" w:color="05090D"/>
                              <w:left w:val="single" w:sz="4" w:space="0" w:color="000001"/>
                              <w:right w:val="single" w:sz="4" w:space="0" w:color="010203"/>
                            </w:tcBorders>
                            <w:shd w:val="clear" w:color="auto" w:fill="264056"/>
                          </w:tcPr>
                          <w:p w14:paraId="6103351C"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Distance off shore in nautical miles </w:t>
                            </w:r>
                          </w:p>
                        </w:tc>
                        <w:tc>
                          <w:tcPr>
                            <w:tcW w:w="2267" w:type="dxa"/>
                            <w:gridSpan w:val="17"/>
                            <w:tcBorders>
                              <w:top w:val="single" w:sz="4" w:space="0" w:color="05090D"/>
                              <w:left w:val="single" w:sz="4" w:space="0" w:color="010203"/>
                              <w:bottom w:val="single" w:sz="4" w:space="0" w:color="0A1117"/>
                            </w:tcBorders>
                            <w:shd w:val="clear" w:color="auto" w:fill="264056"/>
                          </w:tcPr>
                          <w:p w14:paraId="53195015" w14:textId="77777777" w:rsidR="00000000" w:rsidRDefault="00A450E1">
                            <w:pPr>
                              <w:pStyle w:val="Default"/>
                              <w:rPr>
                                <w:rFonts w:cs="Times New Roman"/>
                                <w:color w:val="auto"/>
                              </w:rPr>
                            </w:pPr>
                          </w:p>
                        </w:tc>
                        <w:tc>
                          <w:tcPr>
                            <w:tcW w:w="2265" w:type="dxa"/>
                            <w:gridSpan w:val="9"/>
                            <w:tcBorders>
                              <w:top w:val="single" w:sz="4" w:space="0" w:color="05090D"/>
                              <w:bottom w:val="single" w:sz="4" w:space="0" w:color="0A1117"/>
                            </w:tcBorders>
                            <w:shd w:val="clear" w:color="auto" w:fill="264056"/>
                            <w:vAlign w:val="center"/>
                          </w:tcPr>
                          <w:p w14:paraId="0D221876"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Obtainable accuracies </w:t>
                            </w:r>
                          </w:p>
                        </w:tc>
                        <w:tc>
                          <w:tcPr>
                            <w:tcW w:w="2267" w:type="dxa"/>
                            <w:gridSpan w:val="4"/>
                            <w:tcBorders>
                              <w:top w:val="single" w:sz="4" w:space="0" w:color="05090D"/>
                              <w:bottom w:val="single" w:sz="4" w:space="0" w:color="0A1117"/>
                              <w:right w:val="single" w:sz="4" w:space="0" w:color="000001"/>
                            </w:tcBorders>
                            <w:shd w:val="clear" w:color="auto" w:fill="264056"/>
                          </w:tcPr>
                          <w:p w14:paraId="701130BE" w14:textId="77777777" w:rsidR="00000000" w:rsidRDefault="00A450E1">
                            <w:pPr>
                              <w:pStyle w:val="Default"/>
                              <w:rPr>
                                <w:rFonts w:cs="Times New Roman"/>
                                <w:color w:val="auto"/>
                              </w:rPr>
                            </w:pPr>
                          </w:p>
                        </w:tc>
                      </w:tr>
                      <w:tr w:rsidR="00000000" w14:paraId="1A7B6065" w14:textId="77777777">
                        <w:tblPrEx>
                          <w:tblCellMar>
                            <w:top w:w="0" w:type="dxa"/>
                            <w:bottom w:w="0" w:type="dxa"/>
                          </w:tblCellMar>
                        </w:tblPrEx>
                        <w:trPr>
                          <w:gridAfter w:val="1"/>
                          <w:wAfter w:w="4" w:type="dxa"/>
                          <w:trHeight w:val="136"/>
                        </w:trPr>
                        <w:tc>
                          <w:tcPr>
                            <w:tcW w:w="2280" w:type="dxa"/>
                            <w:gridSpan w:val="14"/>
                            <w:vMerge/>
                            <w:tcBorders>
                              <w:top w:val="single" w:sz="4" w:space="0" w:color="05090D"/>
                              <w:left w:val="single" w:sz="4" w:space="0" w:color="000001"/>
                              <w:right w:val="single" w:sz="4" w:space="0" w:color="010203"/>
                            </w:tcBorders>
                            <w:shd w:val="clear" w:color="auto" w:fill="264056"/>
                          </w:tcPr>
                          <w:p w14:paraId="1F9AE15A" w14:textId="77777777" w:rsidR="00000000" w:rsidRDefault="00A450E1">
                            <w:pPr>
                              <w:pStyle w:val="Default"/>
                              <w:rPr>
                                <w:rFonts w:cs="Times New Roman"/>
                                <w:color w:val="auto"/>
                              </w:rPr>
                            </w:pPr>
                          </w:p>
                        </w:tc>
                        <w:tc>
                          <w:tcPr>
                            <w:tcW w:w="2267" w:type="dxa"/>
                            <w:gridSpan w:val="17"/>
                            <w:tcBorders>
                              <w:top w:val="single" w:sz="4" w:space="0" w:color="0A1117"/>
                              <w:left w:val="single" w:sz="4" w:space="0" w:color="010203"/>
                              <w:right w:val="single" w:sz="4" w:space="0" w:color="000001"/>
                            </w:tcBorders>
                            <w:shd w:val="clear" w:color="auto" w:fill="264056"/>
                            <w:vAlign w:val="center"/>
                          </w:tcPr>
                          <w:p w14:paraId="13C40BD2"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&gt; 500 m </w:t>
                            </w:r>
                          </w:p>
                        </w:tc>
                        <w:tc>
                          <w:tcPr>
                            <w:tcW w:w="2265" w:type="dxa"/>
                            <w:gridSpan w:val="9"/>
                            <w:tcBorders>
                              <w:top w:val="single" w:sz="4" w:space="0" w:color="0A1117"/>
                              <w:left w:val="single" w:sz="4" w:space="0" w:color="000001"/>
                              <w:right w:val="single" w:sz="4" w:space="0" w:color="000001"/>
                            </w:tcBorders>
                            <w:shd w:val="clear" w:color="auto" w:fill="264056"/>
                            <w:vAlign w:val="center"/>
                          </w:tcPr>
                          <w:p w14:paraId="63062DC3"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100 - 500 m </w:t>
                            </w:r>
                          </w:p>
                        </w:tc>
                        <w:tc>
                          <w:tcPr>
                            <w:tcW w:w="2267" w:type="dxa"/>
                            <w:gridSpan w:val="4"/>
                            <w:tcBorders>
                              <w:top w:val="single" w:sz="4" w:space="0" w:color="0A1117"/>
                              <w:left w:val="single" w:sz="4" w:space="0" w:color="000001"/>
                              <w:right w:val="single" w:sz="4" w:space="0" w:color="000001"/>
                            </w:tcBorders>
                            <w:shd w:val="clear" w:color="auto" w:fill="264056"/>
                            <w:vAlign w:val="center"/>
                          </w:tcPr>
                          <w:p w14:paraId="7F166DB3"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&lt; 100 m </w:t>
                            </w:r>
                          </w:p>
                        </w:tc>
                      </w:tr>
                      <w:tr w:rsidR="00000000" w14:paraId="67B807C6" w14:textId="77777777">
                        <w:tblPrEx>
                          <w:tblCellMar>
                            <w:top w:w="0" w:type="dxa"/>
                            <w:bottom w:w="0" w:type="dxa"/>
                          </w:tblCellMar>
                        </w:tblPrEx>
                        <w:trPr>
                          <w:gridAfter w:val="1"/>
                          <w:wAfter w:w="4" w:type="dxa"/>
                          <w:trHeight w:val="236"/>
                        </w:trPr>
                        <w:tc>
                          <w:tcPr>
                            <w:tcW w:w="2280" w:type="dxa"/>
                            <w:gridSpan w:val="14"/>
                            <w:tcBorders>
                              <w:top w:val="single" w:sz="2" w:space="0" w:color="264056"/>
                              <w:left w:val="single" w:sz="4" w:space="0" w:color="000001"/>
                              <w:right w:val="single" w:sz="4" w:space="0" w:color="010203"/>
                            </w:tcBorders>
                            <w:shd w:val="clear" w:color="auto" w:fill="DCDCE0"/>
                          </w:tcPr>
                          <w:p w14:paraId="0A2DB99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Unlimited </w:t>
                            </w:r>
                          </w:p>
                        </w:tc>
                        <w:tc>
                          <w:tcPr>
                            <w:tcW w:w="2267" w:type="dxa"/>
                            <w:gridSpan w:val="17"/>
                            <w:tcBorders>
                              <w:top w:val="single" w:sz="2" w:space="0" w:color="264056"/>
                              <w:left w:val="single" w:sz="4" w:space="0" w:color="010203"/>
                              <w:right w:val="single" w:sz="4" w:space="0" w:color="000001"/>
                            </w:tcBorders>
                            <w:shd w:val="clear" w:color="auto" w:fill="DCDCE0"/>
                          </w:tcPr>
                          <w:p w14:paraId="17369B5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Astronomical Fix </w:t>
                            </w:r>
                          </w:p>
                        </w:tc>
                        <w:tc>
                          <w:tcPr>
                            <w:tcW w:w="2265" w:type="dxa"/>
                            <w:gridSpan w:val="9"/>
                            <w:tcBorders>
                              <w:top w:val="single" w:sz="2" w:space="0" w:color="264056"/>
                              <w:left w:val="single" w:sz="4" w:space="0" w:color="000001"/>
                              <w:right w:val="single" w:sz="4" w:space="0" w:color="000001"/>
                            </w:tcBorders>
                            <w:shd w:val="clear" w:color="auto" w:fill="DCDCE0"/>
                          </w:tcPr>
                          <w:p w14:paraId="24F25A9C" w14:textId="77777777" w:rsidR="00000000" w:rsidRDefault="00A450E1">
                            <w:pPr>
                              <w:pStyle w:val="Default"/>
                              <w:rPr>
                                <w:rFonts w:cs="Times New Roman"/>
                                <w:color w:val="auto"/>
                              </w:rPr>
                            </w:pPr>
                          </w:p>
                        </w:tc>
                        <w:tc>
                          <w:tcPr>
                            <w:tcW w:w="2267" w:type="dxa"/>
                            <w:gridSpan w:val="4"/>
                            <w:tcBorders>
                              <w:top w:val="single" w:sz="2" w:space="0" w:color="264056"/>
                              <w:left w:val="single" w:sz="4" w:space="0" w:color="000001"/>
                              <w:right w:val="single" w:sz="4" w:space="0" w:color="000001"/>
                            </w:tcBorders>
                            <w:shd w:val="clear" w:color="auto" w:fill="DCDCE0"/>
                            <w:vAlign w:val="center"/>
                          </w:tcPr>
                          <w:p w14:paraId="008ACBC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GPS GLONASS </w:t>
                            </w:r>
                          </w:p>
                        </w:tc>
                      </w:tr>
                      <w:tr w:rsidR="00000000" w14:paraId="3BCD7C91" w14:textId="77777777">
                        <w:tblPrEx>
                          <w:tblCellMar>
                            <w:top w:w="0" w:type="dxa"/>
                            <w:bottom w:w="0" w:type="dxa"/>
                          </w:tblCellMar>
                        </w:tblPrEx>
                        <w:trPr>
                          <w:gridAfter w:val="1"/>
                          <w:wAfter w:w="4" w:type="dxa"/>
                          <w:trHeight w:val="233"/>
                        </w:trPr>
                        <w:tc>
                          <w:tcPr>
                            <w:tcW w:w="2280" w:type="dxa"/>
                            <w:gridSpan w:val="14"/>
                            <w:tcBorders>
                              <w:left w:val="single" w:sz="4" w:space="0" w:color="000001"/>
                              <w:right w:val="single" w:sz="4" w:space="0" w:color="010203"/>
                            </w:tcBorders>
                          </w:tcPr>
                          <w:p w14:paraId="1A0F348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800 -150 </w:t>
                            </w:r>
                          </w:p>
                        </w:tc>
                        <w:tc>
                          <w:tcPr>
                            <w:tcW w:w="2267" w:type="dxa"/>
                            <w:gridSpan w:val="17"/>
                            <w:tcBorders>
                              <w:left w:val="single" w:sz="4" w:space="0" w:color="010203"/>
                              <w:right w:val="single" w:sz="4" w:space="0" w:color="000001"/>
                            </w:tcBorders>
                          </w:tcPr>
                          <w:p w14:paraId="545E5503"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Astronomical Fix </w:t>
                            </w:r>
                          </w:p>
                        </w:tc>
                        <w:tc>
                          <w:tcPr>
                            <w:tcW w:w="2265" w:type="dxa"/>
                            <w:gridSpan w:val="9"/>
                            <w:tcBorders>
                              <w:left w:val="single" w:sz="4" w:space="0" w:color="000001"/>
                              <w:right w:val="single" w:sz="4" w:space="0" w:color="000001"/>
                            </w:tcBorders>
                          </w:tcPr>
                          <w:p w14:paraId="41F0429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LORAN-C </w:t>
                            </w:r>
                          </w:p>
                        </w:tc>
                        <w:tc>
                          <w:tcPr>
                            <w:tcW w:w="2267" w:type="dxa"/>
                            <w:gridSpan w:val="4"/>
                            <w:tcBorders>
                              <w:left w:val="single" w:sz="4" w:space="0" w:color="000001"/>
                              <w:right w:val="single" w:sz="4" w:space="0" w:color="000001"/>
                            </w:tcBorders>
                            <w:vAlign w:val="center"/>
                          </w:tcPr>
                          <w:p w14:paraId="3938317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GPS GLONASS </w:t>
                            </w:r>
                          </w:p>
                        </w:tc>
                      </w:tr>
                      <w:tr w:rsidR="00000000" w14:paraId="62B6D2C7" w14:textId="77777777">
                        <w:tblPrEx>
                          <w:tblCellMar>
                            <w:top w:w="0" w:type="dxa"/>
                            <w:bottom w:w="0" w:type="dxa"/>
                          </w:tblCellMar>
                        </w:tblPrEx>
                        <w:trPr>
                          <w:gridAfter w:val="1"/>
                          <w:wAfter w:w="4" w:type="dxa"/>
                          <w:trHeight w:val="423"/>
                        </w:trPr>
                        <w:tc>
                          <w:tcPr>
                            <w:tcW w:w="2280" w:type="dxa"/>
                            <w:gridSpan w:val="14"/>
                            <w:tcBorders>
                              <w:left w:val="single" w:sz="4" w:space="0" w:color="000001"/>
                              <w:right w:val="single" w:sz="4" w:space="0" w:color="010203"/>
                            </w:tcBorders>
                            <w:shd w:val="clear" w:color="auto" w:fill="DCDCE0"/>
                          </w:tcPr>
                          <w:p w14:paraId="5530893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150 - 30 </w:t>
                            </w:r>
                          </w:p>
                        </w:tc>
                        <w:tc>
                          <w:tcPr>
                            <w:tcW w:w="2267" w:type="dxa"/>
                            <w:gridSpan w:val="17"/>
                            <w:tcBorders>
                              <w:left w:val="single" w:sz="4" w:space="0" w:color="010203"/>
                              <w:right w:val="single" w:sz="4" w:space="0" w:color="000001"/>
                            </w:tcBorders>
                            <w:shd w:val="clear" w:color="auto" w:fill="DCDCE0"/>
                          </w:tcPr>
                          <w:p w14:paraId="420CC1D8"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Astronomical Fix Radio Beacons </w:t>
                            </w:r>
                          </w:p>
                        </w:tc>
                        <w:tc>
                          <w:tcPr>
                            <w:tcW w:w="2265" w:type="dxa"/>
                            <w:gridSpan w:val="9"/>
                            <w:tcBorders>
                              <w:left w:val="single" w:sz="4" w:space="0" w:color="000001"/>
                              <w:right w:val="single" w:sz="4" w:space="0" w:color="000001"/>
                            </w:tcBorders>
                            <w:shd w:val="clear" w:color="auto" w:fill="DCDCE0"/>
                          </w:tcPr>
                          <w:p w14:paraId="7E756484" w14:textId="77777777" w:rsidR="00000000" w:rsidRDefault="00A450E1">
                            <w:pPr>
                              <w:pStyle w:val="Default"/>
                              <w:rPr>
                                <w:rFonts w:cs="Times New Roman"/>
                                <w:color w:val="auto"/>
                              </w:rPr>
                            </w:pPr>
                          </w:p>
                        </w:tc>
                        <w:tc>
                          <w:tcPr>
                            <w:tcW w:w="2267" w:type="dxa"/>
                            <w:gridSpan w:val="4"/>
                            <w:tcBorders>
                              <w:left w:val="single" w:sz="4" w:space="0" w:color="000001"/>
                              <w:right w:val="single" w:sz="4" w:space="0" w:color="000001"/>
                            </w:tcBorders>
                            <w:shd w:val="clear" w:color="auto" w:fill="DCDCE0"/>
                          </w:tcPr>
                          <w:p w14:paraId="789E0F1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GPS GLONASS LORAN-C Precision Systems </w:t>
                            </w:r>
                          </w:p>
                        </w:tc>
                      </w:tr>
                      <w:tr w:rsidR="00000000" w14:paraId="11DBA780" w14:textId="77777777">
                        <w:tblPrEx>
                          <w:tblCellMar>
                            <w:top w:w="0" w:type="dxa"/>
                            <w:bottom w:w="0" w:type="dxa"/>
                          </w:tblCellMar>
                        </w:tblPrEx>
                        <w:trPr>
                          <w:gridAfter w:val="1"/>
                          <w:wAfter w:w="4" w:type="dxa"/>
                          <w:trHeight w:val="425"/>
                        </w:trPr>
                        <w:tc>
                          <w:tcPr>
                            <w:tcW w:w="2280" w:type="dxa"/>
                            <w:gridSpan w:val="14"/>
                            <w:tcBorders>
                              <w:left w:val="single" w:sz="4" w:space="0" w:color="000001"/>
                              <w:right w:val="single" w:sz="4" w:space="0" w:color="010203"/>
                            </w:tcBorders>
                          </w:tcPr>
                          <w:p w14:paraId="1AC1174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30 - 6 </w:t>
                            </w:r>
                          </w:p>
                        </w:tc>
                        <w:tc>
                          <w:tcPr>
                            <w:tcW w:w="2267" w:type="dxa"/>
                            <w:gridSpan w:val="17"/>
                            <w:tcBorders>
                              <w:left w:val="single" w:sz="4" w:space="0" w:color="010203"/>
                              <w:right w:val="single" w:sz="4" w:space="0" w:color="000001"/>
                            </w:tcBorders>
                          </w:tcPr>
                          <w:p w14:paraId="7CA5CED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Astronomical Fix Radio Beacons Visual Bearings Radio Bearings </w:t>
                            </w:r>
                          </w:p>
                        </w:tc>
                        <w:tc>
                          <w:tcPr>
                            <w:tcW w:w="2265" w:type="dxa"/>
                            <w:gridSpan w:val="9"/>
                            <w:tcBorders>
                              <w:left w:val="single" w:sz="4" w:space="0" w:color="000001"/>
                              <w:right w:val="single" w:sz="4" w:space="0" w:color="000001"/>
                            </w:tcBorders>
                          </w:tcPr>
                          <w:p w14:paraId="7FFDBB3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Radar Bearings </w:t>
                            </w:r>
                          </w:p>
                        </w:tc>
                        <w:tc>
                          <w:tcPr>
                            <w:tcW w:w="2267" w:type="dxa"/>
                            <w:gridSpan w:val="4"/>
                            <w:tcBorders>
                              <w:left w:val="single" w:sz="4" w:space="0" w:color="000001"/>
                              <w:right w:val="single" w:sz="4" w:space="0" w:color="000001"/>
                            </w:tcBorders>
                          </w:tcPr>
                          <w:p w14:paraId="440513F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GPS GLONASS LORAN-C Precision Systems </w:t>
                            </w:r>
                          </w:p>
                        </w:tc>
                      </w:tr>
                      <w:tr w:rsidR="00000000" w14:paraId="3C6AC078" w14:textId="77777777">
                        <w:tblPrEx>
                          <w:tblCellMar>
                            <w:top w:w="0" w:type="dxa"/>
                            <w:bottom w:w="0" w:type="dxa"/>
                          </w:tblCellMar>
                        </w:tblPrEx>
                        <w:trPr>
                          <w:gridAfter w:val="1"/>
                          <w:wAfter w:w="4" w:type="dxa"/>
                          <w:trHeight w:val="422"/>
                        </w:trPr>
                        <w:tc>
                          <w:tcPr>
                            <w:tcW w:w="2280" w:type="dxa"/>
                            <w:gridSpan w:val="14"/>
                            <w:tcBorders>
                              <w:left w:val="single" w:sz="4" w:space="0" w:color="000001"/>
                              <w:bottom w:val="single" w:sz="4" w:space="0" w:color="000000"/>
                              <w:right w:val="single" w:sz="4" w:space="0" w:color="010203"/>
                            </w:tcBorders>
                            <w:shd w:val="clear" w:color="auto" w:fill="DCDCE0"/>
                          </w:tcPr>
                          <w:p w14:paraId="32B598E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6 or less </w:t>
                            </w:r>
                          </w:p>
                        </w:tc>
                        <w:tc>
                          <w:tcPr>
                            <w:tcW w:w="2267" w:type="dxa"/>
                            <w:gridSpan w:val="17"/>
                            <w:tcBorders>
                              <w:left w:val="single" w:sz="4" w:space="0" w:color="010203"/>
                              <w:bottom w:val="single" w:sz="4" w:space="0" w:color="000000"/>
                              <w:right w:val="single" w:sz="4" w:space="0" w:color="000001"/>
                            </w:tcBorders>
                            <w:shd w:val="clear" w:color="auto" w:fill="DCDCE0"/>
                          </w:tcPr>
                          <w:p w14:paraId="7BB72FED" w14:textId="77777777" w:rsidR="00000000" w:rsidRDefault="00A450E1">
                            <w:pPr>
                              <w:pStyle w:val="Default"/>
                              <w:rPr>
                                <w:rFonts w:cs="Times New Roman"/>
                                <w:color w:val="auto"/>
                              </w:rPr>
                            </w:pPr>
                          </w:p>
                        </w:tc>
                        <w:tc>
                          <w:tcPr>
                            <w:tcW w:w="2265" w:type="dxa"/>
                            <w:gridSpan w:val="9"/>
                            <w:tcBorders>
                              <w:left w:val="single" w:sz="4" w:space="0" w:color="000001"/>
                              <w:bottom w:val="single" w:sz="4" w:space="0" w:color="000000"/>
                              <w:right w:val="single" w:sz="4" w:space="0" w:color="000001"/>
                            </w:tcBorders>
                            <w:shd w:val="clear" w:color="auto" w:fill="DCDCE0"/>
                          </w:tcPr>
                          <w:p w14:paraId="3DB693C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Radio Beacons</w:t>
                            </w:r>
                            <w:r>
                              <w:rPr>
                                <w:rFonts w:ascii="Helvetica 55 Roman" w:hAnsi="Helvetica 55 Roman" w:cs="Helvetica 55 Roman"/>
                                <w:sz w:val="18"/>
                                <w:szCs w:val="18"/>
                              </w:rPr>
                              <w:t xml:space="preserve"> Visual Bearings Radar Bearings </w:t>
                            </w:r>
                          </w:p>
                        </w:tc>
                        <w:tc>
                          <w:tcPr>
                            <w:tcW w:w="2267" w:type="dxa"/>
                            <w:gridSpan w:val="4"/>
                            <w:tcBorders>
                              <w:left w:val="single" w:sz="4" w:space="0" w:color="000001"/>
                              <w:bottom w:val="single" w:sz="4" w:space="0" w:color="000000"/>
                              <w:right w:val="single" w:sz="4" w:space="0" w:color="000001"/>
                            </w:tcBorders>
                            <w:shd w:val="clear" w:color="auto" w:fill="DCDCE0"/>
                          </w:tcPr>
                          <w:p w14:paraId="20501CBA"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GPS GLONASS LORAN-C Precision Systems </w:t>
                            </w:r>
                          </w:p>
                        </w:tc>
                      </w:tr>
                    </w:tbl>
                  </w:txbxContent>
                </v:textbox>
                <w10:wrap type="through" anchorx="page" anchory="page"/>
              </v:shape>
            </w:pict>
          </mc:Fallback>
        </mc:AlternateContent>
      </w:r>
    </w:p>
    <w:p w14:paraId="5785AAE0" w14:textId="77777777" w:rsidR="00541A14" w:rsidRDefault="00DD420F">
      <w:pPr>
        <w:pStyle w:val="Default"/>
        <w:framePr w:w="10730" w:wrap="auto" w:vAnchor="page" w:hAnchor="page" w:x="608" w:y="16278"/>
        <w:rPr>
          <w:rFonts w:cs="Times New Roman"/>
          <w:color w:val="auto"/>
        </w:rPr>
      </w:pPr>
      <w:r>
        <w:rPr>
          <w:rFonts w:cs="Times New Roman"/>
          <w:noProof/>
          <w:color w:val="auto"/>
        </w:rPr>
        <w:drawing>
          <wp:inline distT="0" distB="0" distL="0" distR="0" wp14:anchorId="72AF79BF" wp14:editId="50DE8321">
            <wp:extent cx="7553960" cy="420370"/>
            <wp:effectExtent l="0" t="0" r="0" b="1143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3DF92FD6" w14:textId="77777777" w:rsidR="00541A14" w:rsidRDefault="00DD420F">
      <w:pPr>
        <w:pStyle w:val="Default"/>
        <w:pageBreakBefore/>
        <w:framePr w:w="12876" w:wrap="auto" w:vAnchor="page" w:hAnchor="page" w:x="101" w:y="1"/>
        <w:spacing w:after="780"/>
        <w:rPr>
          <w:rFonts w:cs="Times New Roman"/>
          <w:color w:val="auto"/>
        </w:rPr>
      </w:pPr>
      <w:r>
        <w:rPr>
          <w:rFonts w:cs="Times New Roman"/>
          <w:noProof/>
          <w:color w:val="auto"/>
        </w:rPr>
        <w:drawing>
          <wp:inline distT="0" distB="0" distL="0" distR="0" wp14:anchorId="035974D0" wp14:editId="19E311A7">
            <wp:extent cx="7553960" cy="1056640"/>
            <wp:effectExtent l="0" t="0" r="0" b="1016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1BAD0421" w14:textId="77777777" w:rsidR="00541A14" w:rsidRDefault="00A450E1">
      <w:pPr>
        <w:pStyle w:val="CM165"/>
        <w:spacing w:after="85" w:line="300" w:lineRule="atLeast"/>
        <w:ind w:right="930"/>
        <w:jc w:val="both"/>
        <w:rPr>
          <w:rFonts w:ascii="Palatino" w:hAnsi="Palatino" w:cs="Palatino"/>
          <w:sz w:val="20"/>
          <w:szCs w:val="20"/>
        </w:rPr>
      </w:pPr>
      <w:r>
        <w:rPr>
          <w:rFonts w:ascii="Palatino" w:hAnsi="Palatino" w:cs="Palatino"/>
          <w:sz w:val="20"/>
          <w:szCs w:val="20"/>
        </w:rPr>
        <w:t xml:space="preserve">The various type of AtoN have advantages and disadvantages for the user as well as for the provider as indicated in Table 27. </w:t>
      </w:r>
    </w:p>
    <w:p w14:paraId="5784223B" w14:textId="77777777" w:rsidR="00541A14" w:rsidRDefault="00A450E1">
      <w:pPr>
        <w:pStyle w:val="CM172"/>
        <w:spacing w:after="202" w:line="296" w:lineRule="atLeast"/>
        <w:jc w:val="both"/>
        <w:rPr>
          <w:rFonts w:ascii="Palatino" w:hAnsi="Palatino" w:cs="Palatino"/>
          <w:sz w:val="20"/>
          <w:szCs w:val="20"/>
        </w:rPr>
      </w:pPr>
      <w:r>
        <w:rPr>
          <w:rFonts w:ascii="Palatino" w:hAnsi="Palatino" w:cs="Palatino"/>
          <w:b/>
          <w:bCs/>
          <w:sz w:val="20"/>
          <w:szCs w:val="20"/>
        </w:rPr>
        <w:t xml:space="preserve">table 27 – Comparison of the advantages and disadvantages of different types of aids to navigation </w:t>
      </w:r>
    </w:p>
    <w:p w14:paraId="03220CC6"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87936" behindDoc="0" locked="0" layoutInCell="0" allowOverlap="1" wp14:anchorId="3728EF16" wp14:editId="3868FA68">
                <wp:simplePos x="0" y="0"/>
                <wp:positionH relativeFrom="page">
                  <wp:posOffset>826770</wp:posOffset>
                </wp:positionH>
                <wp:positionV relativeFrom="page">
                  <wp:posOffset>2221865</wp:posOffset>
                </wp:positionV>
                <wp:extent cx="6268720" cy="6410960"/>
                <wp:effectExtent l="0" t="0" r="0" b="0"/>
                <wp:wrapThrough wrapText="bothSides">
                  <wp:wrapPolygon edited="0">
                    <wp:start x="0" y="0"/>
                    <wp:lineTo x="21600" y="0"/>
                    <wp:lineTo x="21600" y="21600"/>
                    <wp:lineTo x="0" y="21600"/>
                    <wp:lineTo x="0" y="0"/>
                  </wp:wrapPolygon>
                </wp:wrapThrough>
                <wp:docPr id="527"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8720" cy="6410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590"/>
                              <w:gridCol w:w="1877"/>
                              <w:gridCol w:w="1815"/>
                              <w:gridCol w:w="1815"/>
                              <w:gridCol w:w="1975"/>
                            </w:tblGrid>
                            <w:tr w:rsidR="00541A14" w14:paraId="763A9A55" w14:textId="77777777">
                              <w:trPr>
                                <w:trHeight w:val="156"/>
                              </w:trPr>
                              <w:tc>
                                <w:tcPr>
                                  <w:tcW w:w="1590" w:type="dxa"/>
                                  <w:tcBorders>
                                    <w:top w:val="single" w:sz="4" w:space="0" w:color="05090D"/>
                                    <w:left w:val="single" w:sz="4" w:space="0" w:color="000000"/>
                                    <w:bottom w:val="single" w:sz="4" w:space="0" w:color="0B141B"/>
                                    <w:right w:val="single" w:sz="4" w:space="0" w:color="000001"/>
                                  </w:tcBorders>
                                  <w:shd w:val="clear" w:color="auto" w:fill="264056"/>
                                  <w:vAlign w:val="center"/>
                                </w:tcPr>
                                <w:p w14:paraId="09DE4539"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System </w:t>
                                  </w:r>
                                </w:p>
                              </w:tc>
                              <w:tc>
                                <w:tcPr>
                                  <w:tcW w:w="3690" w:type="dxa"/>
                                  <w:gridSpan w:val="2"/>
                                  <w:tcBorders>
                                    <w:top w:val="single" w:sz="4" w:space="0" w:color="05090D"/>
                                    <w:left w:val="single" w:sz="4" w:space="0" w:color="000001"/>
                                    <w:bottom w:val="single" w:sz="4" w:space="0" w:color="0B141B"/>
                                    <w:right w:val="single" w:sz="4" w:space="0" w:color="000001"/>
                                  </w:tcBorders>
                                  <w:shd w:val="clear" w:color="auto" w:fill="264056"/>
                                  <w:vAlign w:val="center"/>
                                </w:tcPr>
                                <w:p w14:paraId="2F124AB0"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Users </w:t>
                                  </w:r>
                                </w:p>
                              </w:tc>
                              <w:tc>
                                <w:tcPr>
                                  <w:tcW w:w="3790" w:type="dxa"/>
                                  <w:gridSpan w:val="2"/>
                                  <w:tcBorders>
                                    <w:top w:val="single" w:sz="4" w:space="0" w:color="05090D"/>
                                    <w:left w:val="single" w:sz="4" w:space="0" w:color="000001"/>
                                    <w:bottom w:val="single" w:sz="4" w:space="0" w:color="0B141B"/>
                                    <w:right w:val="single" w:sz="4" w:space="0" w:color="000000"/>
                                  </w:tcBorders>
                                  <w:shd w:val="clear" w:color="auto" w:fill="264056"/>
                                  <w:vAlign w:val="center"/>
                                </w:tcPr>
                                <w:p w14:paraId="6BC81781"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Providers </w:t>
                                  </w:r>
                                </w:p>
                              </w:tc>
                            </w:tr>
                            <w:tr w:rsidR="00541A14" w14:paraId="4CF67763" w14:textId="77777777">
                              <w:trPr>
                                <w:trHeight w:val="148"/>
                              </w:trPr>
                              <w:tc>
                                <w:tcPr>
                                  <w:tcW w:w="1590" w:type="dxa"/>
                                  <w:tcBorders>
                                    <w:top w:val="single" w:sz="4" w:space="0" w:color="0B141B"/>
                                    <w:left w:val="single" w:sz="4" w:space="0" w:color="000000"/>
                                    <w:right w:val="single" w:sz="4" w:space="0" w:color="000001"/>
                                  </w:tcBorders>
                                  <w:shd w:val="clear" w:color="auto" w:fill="264056"/>
                                </w:tcPr>
                                <w:p w14:paraId="413FB36D" w14:textId="77777777" w:rsidR="00541A14" w:rsidRDefault="00541A14">
                                  <w:pPr>
                                    <w:pStyle w:val="Default"/>
                                    <w:rPr>
                                      <w:rFonts w:cs="Times New Roman"/>
                                      <w:color w:val="auto"/>
                                    </w:rPr>
                                  </w:pPr>
                                </w:p>
                              </w:tc>
                              <w:tc>
                                <w:tcPr>
                                  <w:tcW w:w="1877" w:type="dxa"/>
                                  <w:tcBorders>
                                    <w:top w:val="single" w:sz="4" w:space="0" w:color="0B141B"/>
                                    <w:left w:val="single" w:sz="4" w:space="0" w:color="000001"/>
                                    <w:right w:val="single" w:sz="4" w:space="0" w:color="000000"/>
                                  </w:tcBorders>
                                  <w:shd w:val="clear" w:color="auto" w:fill="264056"/>
                                  <w:vAlign w:val="center"/>
                                </w:tcPr>
                                <w:p w14:paraId="43D342E0"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Advantages </w:t>
                                  </w:r>
                                </w:p>
                              </w:tc>
                              <w:tc>
                                <w:tcPr>
                                  <w:tcW w:w="1815" w:type="dxa"/>
                                  <w:tcBorders>
                                    <w:top w:val="single" w:sz="4" w:space="0" w:color="0B141B"/>
                                    <w:left w:val="single" w:sz="4" w:space="0" w:color="000000"/>
                                    <w:right w:val="single" w:sz="4" w:space="0" w:color="000001"/>
                                  </w:tcBorders>
                                  <w:shd w:val="clear" w:color="auto" w:fill="264056"/>
                                  <w:vAlign w:val="center"/>
                                </w:tcPr>
                                <w:p w14:paraId="1AB962E5"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Disadvantages </w:t>
                                  </w:r>
                                </w:p>
                              </w:tc>
                              <w:tc>
                                <w:tcPr>
                                  <w:tcW w:w="1815" w:type="dxa"/>
                                  <w:tcBorders>
                                    <w:top w:val="single" w:sz="4" w:space="0" w:color="0B141B"/>
                                    <w:left w:val="single" w:sz="4" w:space="0" w:color="000001"/>
                                    <w:right w:val="single" w:sz="4" w:space="0" w:color="000000"/>
                                  </w:tcBorders>
                                  <w:shd w:val="clear" w:color="auto" w:fill="264056"/>
                                  <w:vAlign w:val="center"/>
                                </w:tcPr>
                                <w:p w14:paraId="5513A4A9"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Advantages </w:t>
                                  </w:r>
                                </w:p>
                              </w:tc>
                              <w:tc>
                                <w:tcPr>
                                  <w:tcW w:w="1975" w:type="dxa"/>
                                  <w:tcBorders>
                                    <w:top w:val="single" w:sz="4" w:space="0" w:color="0B141B"/>
                                    <w:left w:val="single" w:sz="4" w:space="0" w:color="000000"/>
                                    <w:right w:val="single" w:sz="4" w:space="0" w:color="000000"/>
                                  </w:tcBorders>
                                  <w:shd w:val="clear" w:color="auto" w:fill="264056"/>
                                  <w:vAlign w:val="center"/>
                                </w:tcPr>
                                <w:p w14:paraId="6DA0CD72"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Disadvantages </w:t>
                                  </w:r>
                                </w:p>
                              </w:tc>
                            </w:tr>
                            <w:tr w:rsidR="00541A14" w14:paraId="4122E8B3" w14:textId="77777777">
                              <w:trPr>
                                <w:trHeight w:val="3953"/>
                              </w:trPr>
                              <w:tc>
                                <w:tcPr>
                                  <w:tcW w:w="1590" w:type="dxa"/>
                                  <w:tcBorders>
                                    <w:top w:val="single" w:sz="2" w:space="0" w:color="264056"/>
                                    <w:left w:val="single" w:sz="4" w:space="0" w:color="000000"/>
                                    <w:bottom w:val="single" w:sz="4" w:space="0" w:color="000000"/>
                                    <w:right w:val="single" w:sz="4" w:space="0" w:color="000001"/>
                                  </w:tcBorders>
                                </w:tcPr>
                                <w:p w14:paraId="264EFD3D" w14:textId="77777777" w:rsidR="00541A14"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Visual Automatic Identification System (AIS) Radar Radionavigation </w:t>
                                  </w:r>
                                </w:p>
                              </w:tc>
                              <w:tc>
                                <w:tcPr>
                                  <w:tcW w:w="1877" w:type="dxa"/>
                                  <w:tcBorders>
                                    <w:top w:val="single" w:sz="2" w:space="0" w:color="264056"/>
                                    <w:left w:val="single" w:sz="4" w:space="0" w:color="000001"/>
                                    <w:bottom w:val="single" w:sz="4" w:space="0" w:color="000000"/>
                                    <w:right w:val="single" w:sz="4" w:space="0" w:color="000000"/>
                                  </w:tcBorders>
                                </w:tcPr>
                                <w:p w14:paraId="3F55D2B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Can be used to position Convey immediate information Can be used without a chart if user has a good local knowledge Can be used to provide virtual  temporary replacement for failed visual aid Convey immediate information Identification with racon possible in reduced visibility conditions With a racon identification of low coastline Only one aid is required Rapid deployment Wide scale coverage All weather use Automatic navigation Precision possible </w:t>
                                  </w:r>
                                </w:p>
                              </w:tc>
                              <w:tc>
                                <w:tcPr>
                                  <w:tcW w:w="1815" w:type="dxa"/>
                                  <w:tcBorders>
                                    <w:top w:val="single" w:sz="2" w:space="0" w:color="264056"/>
                                    <w:left w:val="single" w:sz="4" w:space="0" w:color="000000"/>
                                    <w:bottom w:val="single" w:sz="4" w:space="0" w:color="000000"/>
                                    <w:right w:val="single" w:sz="4" w:space="0" w:color="000001"/>
                                  </w:tcBorders>
                                </w:tcPr>
                                <w:p w14:paraId="5A80BFB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Range depends on site, height, colour, background Limited by visibility Position of floating aids not always accurate Lack of integration with other onboard navigation systems in older vessels Coverage limited by VHF radio communications range Onboard equipment needed Racons may interfere if not placed in an appropriate configuration, aids equipped with radar reflector are difficult to identify On board equipment needed </w:t>
                                  </w:r>
                                </w:p>
                              </w:tc>
                              <w:tc>
                                <w:tcPr>
                                  <w:tcW w:w="1815" w:type="dxa"/>
                                  <w:tcBorders>
                                    <w:top w:val="single" w:sz="2" w:space="0" w:color="264056"/>
                                    <w:left w:val="single" w:sz="4" w:space="0" w:color="000001"/>
                                    <w:bottom w:val="single" w:sz="4" w:space="0" w:color="000000"/>
                                    <w:right w:val="single" w:sz="4" w:space="0" w:color="000000"/>
                                  </w:tcBorders>
                                </w:tcPr>
                                <w:p w14:paraId="1847D38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For hazard warning, traffic regulation, guidance, etc. Placement flexible Maintenance requires little training Can replace visual aids Low cost and maintenance compared to radar Can be used to broadcast warnings of dangers Can replace visual aids Warnings of dangers (New dangers) Reduced maintenance-Automatic monitoring Reduction of visual aids possible </w:t>
                                  </w:r>
                                </w:p>
                              </w:tc>
                              <w:tc>
                                <w:tcPr>
                                  <w:tcW w:w="1975" w:type="dxa"/>
                                  <w:tcBorders>
                                    <w:top w:val="single" w:sz="2" w:space="0" w:color="264056"/>
                                    <w:left w:val="single" w:sz="4" w:space="0" w:color="000000"/>
                                    <w:bottom w:val="single" w:sz="4" w:space="0" w:color="000000"/>
                                    <w:right w:val="single" w:sz="4" w:space="0" w:color="000000"/>
                                  </w:tcBorders>
                                </w:tcPr>
                                <w:p w14:paraId="1689D7A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Maintenance expensive Planning for maintenance depends on weather conditions Logistic system required Training maintenance personnel Coverage limited by VHF radio communications range Radar reflectors needed Some vessels do not have radar Racon investment expensive Training for maintenance of racons May not be under Lighthouse Authority control Monitoring requirement Training maintenance personnel Large investment </w:t>
                                  </w:r>
                                </w:p>
                              </w:tc>
                            </w:tr>
                          </w:tbl>
                          <w:p w14:paraId="531994F2"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55" type="#_x0000_t202" style="position:absolute;margin-left:65.1pt;margin-top:174.95pt;width:493.6pt;height:504.8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57"/>
                        <w:gridCol w:w="33"/>
                        <w:gridCol w:w="302"/>
                        <w:gridCol w:w="33"/>
                        <w:gridCol w:w="135"/>
                        <w:gridCol w:w="177"/>
                        <w:gridCol w:w="125"/>
                        <w:gridCol w:w="55"/>
                        <w:gridCol w:w="20"/>
                        <w:gridCol w:w="50"/>
                        <w:gridCol w:w="168"/>
                        <w:gridCol w:w="97"/>
                        <w:gridCol w:w="33"/>
                        <w:gridCol w:w="372"/>
                        <w:gridCol w:w="112"/>
                        <w:gridCol w:w="5"/>
                        <w:gridCol w:w="425"/>
                        <w:gridCol w:w="240"/>
                        <w:gridCol w:w="60"/>
                        <w:gridCol w:w="237"/>
                        <w:gridCol w:w="38"/>
                        <w:gridCol w:w="90"/>
                        <w:gridCol w:w="370"/>
                        <w:gridCol w:w="5"/>
                        <w:gridCol w:w="5"/>
                        <w:gridCol w:w="12"/>
                        <w:gridCol w:w="47"/>
                        <w:gridCol w:w="168"/>
                        <w:gridCol w:w="174"/>
                        <w:gridCol w:w="108"/>
                        <w:gridCol w:w="503"/>
                        <w:gridCol w:w="47"/>
                        <w:gridCol w:w="355"/>
                        <w:gridCol w:w="10"/>
                        <w:gridCol w:w="371"/>
                        <w:gridCol w:w="692"/>
                        <w:gridCol w:w="340"/>
                        <w:gridCol w:w="1892"/>
                        <w:gridCol w:w="77"/>
                        <w:gridCol w:w="15"/>
                        <w:gridCol w:w="8"/>
                      </w:tblGrid>
                      <w:tr w:rsidR="00000000" w14:paraId="763A9A55" w14:textId="77777777">
                        <w:tblPrEx>
                          <w:tblCellMar>
                            <w:top w:w="0" w:type="dxa"/>
                            <w:bottom w:w="0" w:type="dxa"/>
                          </w:tblCellMar>
                        </w:tblPrEx>
                        <w:trPr>
                          <w:gridAfter w:val="1"/>
                          <w:wAfter w:w="7" w:type="dxa"/>
                          <w:trHeight w:val="156"/>
                        </w:trPr>
                        <w:tc>
                          <w:tcPr>
                            <w:tcW w:w="1590" w:type="dxa"/>
                            <w:gridSpan w:val="7"/>
                            <w:tcBorders>
                              <w:top w:val="single" w:sz="4" w:space="0" w:color="05090D"/>
                              <w:left w:val="single" w:sz="4" w:space="0" w:color="000000"/>
                              <w:bottom w:val="single" w:sz="4" w:space="0" w:color="0B141B"/>
                              <w:right w:val="single" w:sz="4" w:space="0" w:color="000001"/>
                            </w:tcBorders>
                            <w:shd w:val="clear" w:color="auto" w:fill="264056"/>
                            <w:vAlign w:val="center"/>
                          </w:tcPr>
                          <w:p w14:paraId="09DE4539"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System </w:t>
                            </w:r>
                          </w:p>
                        </w:tc>
                        <w:tc>
                          <w:tcPr>
                            <w:tcW w:w="3690" w:type="dxa"/>
                            <w:gridSpan w:val="26"/>
                            <w:tcBorders>
                              <w:top w:val="single" w:sz="4" w:space="0" w:color="05090D"/>
                              <w:left w:val="single" w:sz="4" w:space="0" w:color="000001"/>
                              <w:bottom w:val="single" w:sz="4" w:space="0" w:color="0B141B"/>
                              <w:right w:val="single" w:sz="4" w:space="0" w:color="000001"/>
                            </w:tcBorders>
                            <w:shd w:val="clear" w:color="auto" w:fill="264056"/>
                            <w:vAlign w:val="center"/>
                          </w:tcPr>
                          <w:p w14:paraId="2F124AB0"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Users </w:t>
                            </w:r>
                          </w:p>
                        </w:tc>
                        <w:tc>
                          <w:tcPr>
                            <w:tcW w:w="3790" w:type="dxa"/>
                            <w:gridSpan w:val="9"/>
                            <w:tcBorders>
                              <w:top w:val="single" w:sz="4" w:space="0" w:color="05090D"/>
                              <w:left w:val="single" w:sz="4" w:space="0" w:color="000001"/>
                              <w:bottom w:val="single" w:sz="4" w:space="0" w:color="0B141B"/>
                              <w:right w:val="single" w:sz="4" w:space="0" w:color="000000"/>
                            </w:tcBorders>
                            <w:shd w:val="clear" w:color="auto" w:fill="264056"/>
                            <w:vAlign w:val="center"/>
                          </w:tcPr>
                          <w:p w14:paraId="6BC81781"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Providers </w:t>
                            </w:r>
                          </w:p>
                        </w:tc>
                      </w:tr>
                      <w:tr w:rsidR="00000000" w14:paraId="4CF67763" w14:textId="77777777">
                        <w:tblPrEx>
                          <w:tblCellMar>
                            <w:top w:w="0" w:type="dxa"/>
                            <w:bottom w:w="0" w:type="dxa"/>
                          </w:tblCellMar>
                        </w:tblPrEx>
                        <w:trPr>
                          <w:gridAfter w:val="1"/>
                          <w:wAfter w:w="8" w:type="dxa"/>
                          <w:trHeight w:val="148"/>
                        </w:trPr>
                        <w:tc>
                          <w:tcPr>
                            <w:tcW w:w="1590" w:type="dxa"/>
                            <w:gridSpan w:val="7"/>
                            <w:tcBorders>
                              <w:top w:val="single" w:sz="4" w:space="0" w:color="0B141B"/>
                              <w:left w:val="single" w:sz="4" w:space="0" w:color="000000"/>
                              <w:right w:val="single" w:sz="4" w:space="0" w:color="000001"/>
                            </w:tcBorders>
                            <w:shd w:val="clear" w:color="auto" w:fill="264056"/>
                          </w:tcPr>
                          <w:p w14:paraId="413FB36D" w14:textId="77777777" w:rsidR="00000000" w:rsidRDefault="00A450E1">
                            <w:pPr>
                              <w:pStyle w:val="Default"/>
                              <w:rPr>
                                <w:rFonts w:cs="Times New Roman"/>
                                <w:color w:val="auto"/>
                              </w:rPr>
                            </w:pPr>
                          </w:p>
                        </w:tc>
                        <w:tc>
                          <w:tcPr>
                            <w:tcW w:w="1877" w:type="dxa"/>
                            <w:gridSpan w:val="13"/>
                            <w:tcBorders>
                              <w:top w:val="single" w:sz="4" w:space="0" w:color="0B141B"/>
                              <w:left w:val="single" w:sz="4" w:space="0" w:color="000001"/>
                              <w:right w:val="single" w:sz="4" w:space="0" w:color="000000"/>
                            </w:tcBorders>
                            <w:shd w:val="clear" w:color="auto" w:fill="264056"/>
                            <w:vAlign w:val="center"/>
                          </w:tcPr>
                          <w:p w14:paraId="43D342E0"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Advantages </w:t>
                            </w:r>
                          </w:p>
                        </w:tc>
                        <w:tc>
                          <w:tcPr>
                            <w:tcW w:w="1815" w:type="dxa"/>
                            <w:gridSpan w:val="13"/>
                            <w:tcBorders>
                              <w:top w:val="single" w:sz="4" w:space="0" w:color="0B141B"/>
                              <w:left w:val="single" w:sz="4" w:space="0" w:color="000000"/>
                              <w:right w:val="single" w:sz="4" w:space="0" w:color="000001"/>
                            </w:tcBorders>
                            <w:shd w:val="clear" w:color="auto" w:fill="264056"/>
                            <w:vAlign w:val="center"/>
                          </w:tcPr>
                          <w:p w14:paraId="1AB962E5"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Disadvantages </w:t>
                            </w:r>
                          </w:p>
                        </w:tc>
                        <w:tc>
                          <w:tcPr>
                            <w:tcW w:w="1815" w:type="dxa"/>
                            <w:gridSpan w:val="6"/>
                            <w:tcBorders>
                              <w:top w:val="single" w:sz="4" w:space="0" w:color="0B141B"/>
                              <w:left w:val="single" w:sz="4" w:space="0" w:color="000001"/>
                              <w:right w:val="single" w:sz="4" w:space="0" w:color="000000"/>
                            </w:tcBorders>
                            <w:shd w:val="clear" w:color="auto" w:fill="264056"/>
                            <w:vAlign w:val="center"/>
                          </w:tcPr>
                          <w:p w14:paraId="5513A4A9"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Advantages </w:t>
                            </w:r>
                          </w:p>
                        </w:tc>
                        <w:tc>
                          <w:tcPr>
                            <w:tcW w:w="1975" w:type="dxa"/>
                            <w:gridSpan w:val="3"/>
                            <w:tcBorders>
                              <w:top w:val="single" w:sz="4" w:space="0" w:color="0B141B"/>
                              <w:left w:val="single" w:sz="4" w:space="0" w:color="000000"/>
                              <w:right w:val="single" w:sz="4" w:space="0" w:color="000000"/>
                            </w:tcBorders>
                            <w:shd w:val="clear" w:color="auto" w:fill="264056"/>
                            <w:vAlign w:val="center"/>
                          </w:tcPr>
                          <w:p w14:paraId="6DA0CD72"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Disadvantages </w:t>
                            </w:r>
                          </w:p>
                        </w:tc>
                      </w:tr>
                      <w:tr w:rsidR="00000000" w14:paraId="4122E8B3" w14:textId="77777777">
                        <w:tblPrEx>
                          <w:tblCellMar>
                            <w:top w:w="0" w:type="dxa"/>
                            <w:bottom w:w="0" w:type="dxa"/>
                          </w:tblCellMar>
                        </w:tblPrEx>
                        <w:trPr>
                          <w:gridAfter w:val="1"/>
                          <w:wAfter w:w="8" w:type="dxa"/>
                          <w:trHeight w:val="3953"/>
                        </w:trPr>
                        <w:tc>
                          <w:tcPr>
                            <w:tcW w:w="1590" w:type="dxa"/>
                            <w:gridSpan w:val="7"/>
                            <w:tcBorders>
                              <w:top w:val="single" w:sz="2" w:space="0" w:color="264056"/>
                              <w:left w:val="single" w:sz="4" w:space="0" w:color="000000"/>
                              <w:bottom w:val="single" w:sz="4" w:space="0" w:color="000000"/>
                              <w:right w:val="single" w:sz="4" w:space="0" w:color="000001"/>
                            </w:tcBorders>
                          </w:tcPr>
                          <w:p w14:paraId="264EFD3D" w14:textId="77777777" w:rsidR="00000000" w:rsidRDefault="00A450E1">
                            <w:pPr>
                              <w:pStyle w:val="Default"/>
                              <w:rPr>
                                <w:rFonts w:ascii="Helvetica 65 Medium" w:hAnsi="Helvetica 65 Medium" w:cs="Helvetica 65 Medium"/>
                                <w:sz w:val="18"/>
                                <w:szCs w:val="18"/>
                              </w:rPr>
                            </w:pPr>
                            <w:r>
                              <w:rPr>
                                <w:rFonts w:ascii="Helvetica 65 Medium" w:hAnsi="Helvetica 65 Medium" w:cs="Helvetica 65 Medium"/>
                                <w:sz w:val="18"/>
                                <w:szCs w:val="18"/>
                              </w:rPr>
                              <w:t xml:space="preserve">Visual Automatic Identification System (AIS) Radar Radionavigation </w:t>
                            </w:r>
                          </w:p>
                        </w:tc>
                        <w:tc>
                          <w:tcPr>
                            <w:tcW w:w="1877" w:type="dxa"/>
                            <w:gridSpan w:val="13"/>
                            <w:tcBorders>
                              <w:top w:val="single" w:sz="2" w:space="0" w:color="264056"/>
                              <w:left w:val="single" w:sz="4" w:space="0" w:color="000001"/>
                              <w:bottom w:val="single" w:sz="4" w:space="0" w:color="000000"/>
                              <w:right w:val="single" w:sz="4" w:space="0" w:color="000000"/>
                            </w:tcBorders>
                          </w:tcPr>
                          <w:p w14:paraId="3F55D2B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Can be used to position Convey immediate information Can be used without a chart if user has a good local knowledge Can be used to provide virtual  temporary replacement for failed visual aid Convey immediate information Identification with racon possible </w:t>
                            </w:r>
                            <w:r>
                              <w:rPr>
                                <w:rFonts w:ascii="Helvetica 55 Roman" w:hAnsi="Helvetica 55 Roman" w:cs="Helvetica 55 Roman"/>
                                <w:sz w:val="18"/>
                                <w:szCs w:val="18"/>
                              </w:rPr>
                              <w:t xml:space="preserve">in reduced visibility conditions With a racon identification of low coastline Only one aid is required Rapid deployment Wide scale coverage All weather use Automatic navigation Precision possible </w:t>
                            </w:r>
                          </w:p>
                        </w:tc>
                        <w:tc>
                          <w:tcPr>
                            <w:tcW w:w="1815" w:type="dxa"/>
                            <w:gridSpan w:val="13"/>
                            <w:tcBorders>
                              <w:top w:val="single" w:sz="2" w:space="0" w:color="264056"/>
                              <w:left w:val="single" w:sz="4" w:space="0" w:color="000000"/>
                              <w:bottom w:val="single" w:sz="4" w:space="0" w:color="000000"/>
                              <w:right w:val="single" w:sz="4" w:space="0" w:color="000001"/>
                            </w:tcBorders>
                          </w:tcPr>
                          <w:p w14:paraId="5A80BFB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Range depends on site, height, colour, background Limited by visibility Position of floating aids not always accurate Lack of integration with other onboard navigation systems in older vessels Coverage limited by VHF radio communications range Onboard equi</w:t>
                            </w:r>
                            <w:r>
                              <w:rPr>
                                <w:rFonts w:ascii="Helvetica 55 Roman" w:hAnsi="Helvetica 55 Roman" w:cs="Helvetica 55 Roman"/>
                                <w:sz w:val="18"/>
                                <w:szCs w:val="18"/>
                              </w:rPr>
                              <w:t xml:space="preserve">pment needed Racons may interfere if not placed in an appropriate configuration, aids equipped with radar reflector are difficult to identify On board equipment needed </w:t>
                            </w:r>
                          </w:p>
                        </w:tc>
                        <w:tc>
                          <w:tcPr>
                            <w:tcW w:w="1815" w:type="dxa"/>
                            <w:gridSpan w:val="6"/>
                            <w:tcBorders>
                              <w:top w:val="single" w:sz="2" w:space="0" w:color="264056"/>
                              <w:left w:val="single" w:sz="4" w:space="0" w:color="000001"/>
                              <w:bottom w:val="single" w:sz="4" w:space="0" w:color="000000"/>
                              <w:right w:val="single" w:sz="4" w:space="0" w:color="000000"/>
                            </w:tcBorders>
                          </w:tcPr>
                          <w:p w14:paraId="1847D38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For hazard warning, traffic regulation, guidance, etc. Placement flexible Maintenance r</w:t>
                            </w:r>
                            <w:r>
                              <w:rPr>
                                <w:rFonts w:ascii="Helvetica 55 Roman" w:hAnsi="Helvetica 55 Roman" w:cs="Helvetica 55 Roman"/>
                                <w:sz w:val="18"/>
                                <w:szCs w:val="18"/>
                              </w:rPr>
                              <w:t>equires little training Can replace visual aids Low cost and maintenance compared to radar Can be used to broadcast warnings of dangers Can replace visual aids Warnings of dangers (New dangers) Reduced maintenance-Automatic monitoring Reduction of visual a</w:t>
                            </w:r>
                            <w:r>
                              <w:rPr>
                                <w:rFonts w:ascii="Helvetica 55 Roman" w:hAnsi="Helvetica 55 Roman" w:cs="Helvetica 55 Roman"/>
                                <w:sz w:val="18"/>
                                <w:szCs w:val="18"/>
                              </w:rPr>
                              <w:t xml:space="preserve">ids possible </w:t>
                            </w:r>
                          </w:p>
                        </w:tc>
                        <w:tc>
                          <w:tcPr>
                            <w:tcW w:w="1975" w:type="dxa"/>
                            <w:gridSpan w:val="3"/>
                            <w:tcBorders>
                              <w:top w:val="single" w:sz="2" w:space="0" w:color="264056"/>
                              <w:left w:val="single" w:sz="4" w:space="0" w:color="000000"/>
                              <w:bottom w:val="single" w:sz="4" w:space="0" w:color="000000"/>
                              <w:right w:val="single" w:sz="4" w:space="0" w:color="000000"/>
                            </w:tcBorders>
                          </w:tcPr>
                          <w:p w14:paraId="1689D7A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Maintenance expensive Planning for maintenance depends on weather conditions Logistic system required Training maintenance personnel Coverage limited by VHF radio communications range Radar reflectors needed Some vessels do not have radar Rac</w:t>
                            </w:r>
                            <w:r>
                              <w:rPr>
                                <w:rFonts w:ascii="Helvetica 55 Roman" w:hAnsi="Helvetica 55 Roman" w:cs="Helvetica 55 Roman"/>
                                <w:sz w:val="18"/>
                                <w:szCs w:val="18"/>
                              </w:rPr>
                              <w:t xml:space="preserve">on investment expensive Training for maintenance of racons May not be under Lighthouse Authority control Monitoring requirement Training maintenance personnel Large investment </w:t>
                            </w:r>
                          </w:p>
                        </w:tc>
                      </w:tr>
                    </w:tbl>
                  </w:txbxContent>
                </v:textbox>
                <w10:wrap type="through" anchorx="page" anchory="page"/>
              </v:shape>
            </w:pict>
          </mc:Fallback>
        </mc:AlternateContent>
      </w:r>
    </w:p>
    <w:p w14:paraId="4C50CB84"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8.3 Risk Management </w:t>
      </w:r>
    </w:p>
    <w:p w14:paraId="529C5AA6"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Dealing with “risk” is an intrinsic aspect of human existence. The establishment of the early lighthouses represent a tangible way of addressing some of the problems that arose when humans decided to venture out to sea, and then into global trade and the mass transport of people by ships. </w:t>
      </w:r>
    </w:p>
    <w:p w14:paraId="534E7F0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traditional definition of risk is the probability of an unwanted event occurring, multiplied by the </w:t>
      </w:r>
    </w:p>
    <w:p w14:paraId="056BF887"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impact or consequence of that event. </w:t>
      </w:r>
    </w:p>
    <w:p w14:paraId="1A2A0360" w14:textId="77777777" w:rsidR="00541A14" w:rsidRDefault="00A450E1">
      <w:pPr>
        <w:pStyle w:val="CM165"/>
        <w:spacing w:after="85"/>
        <w:ind w:left="3600"/>
        <w:rPr>
          <w:rFonts w:ascii="Palatino" w:hAnsi="Palatino" w:cs="Palatino"/>
          <w:color w:val="000000"/>
          <w:sz w:val="20"/>
          <w:szCs w:val="20"/>
        </w:rPr>
      </w:pPr>
      <w:r>
        <w:rPr>
          <w:rFonts w:ascii="Palatino" w:hAnsi="Palatino" w:cs="Palatino"/>
          <w:color w:val="000000"/>
          <w:sz w:val="20"/>
          <w:szCs w:val="20"/>
        </w:rPr>
        <w:t xml:space="preserve">Risk = Probability </w:t>
      </w:r>
      <w:r>
        <w:rPr>
          <w:rFonts w:ascii="Palatino" w:hAnsi="Palatino" w:cs="Palatino"/>
          <w:color w:val="000000"/>
          <w:sz w:val="23"/>
          <w:szCs w:val="23"/>
        </w:rPr>
        <w:t>*</w:t>
      </w:r>
      <w:r>
        <w:rPr>
          <w:rFonts w:ascii="Palatino" w:hAnsi="Palatino" w:cs="Palatino"/>
          <w:color w:val="000000"/>
          <w:sz w:val="20"/>
          <w:szCs w:val="20"/>
        </w:rPr>
        <w:t xml:space="preserve"> Consequence </w:t>
      </w:r>
    </w:p>
    <w:p w14:paraId="58D0336B" w14:textId="77777777" w:rsidR="00541A14" w:rsidRDefault="00A450E1">
      <w:pPr>
        <w:pStyle w:val="CM191"/>
        <w:spacing w:after="825" w:line="291" w:lineRule="atLeast"/>
        <w:rPr>
          <w:rFonts w:ascii="Palatino" w:hAnsi="Palatino" w:cs="Palatino"/>
          <w:color w:val="000000"/>
          <w:sz w:val="20"/>
          <w:szCs w:val="20"/>
        </w:rPr>
      </w:pPr>
      <w:r>
        <w:rPr>
          <w:rFonts w:ascii="Palatino" w:hAnsi="Palatino" w:cs="Palatino"/>
          <w:color w:val="000000"/>
          <w:sz w:val="20"/>
          <w:szCs w:val="20"/>
        </w:rPr>
        <w:t xml:space="preserve">Unwanted events include deprival, loss or injury to persons, property or the environment. </w:t>
      </w:r>
    </w:p>
    <w:p w14:paraId="46517CE4"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2E5B3256" wp14:editId="7BA6DCD0">
            <wp:extent cx="7542530" cy="420370"/>
            <wp:effectExtent l="0" t="0" r="1270" b="1143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3F311BAF" w14:textId="77777777" w:rsidR="00541A14" w:rsidRDefault="00DD420F">
      <w:pPr>
        <w:pStyle w:val="Default"/>
        <w:pageBreakBefore/>
        <w:framePr w:w="24782" w:wrap="auto" w:vAnchor="page" w:hAnchor="page" w:x="101" w:y="1"/>
        <w:spacing w:after="540"/>
        <w:rPr>
          <w:rFonts w:ascii="Palatino" w:hAnsi="Palatino" w:cs="Palatino"/>
          <w:sz w:val="20"/>
          <w:szCs w:val="20"/>
        </w:rPr>
      </w:pPr>
      <w:r>
        <w:rPr>
          <w:rFonts w:ascii="Palatino" w:hAnsi="Palatino" w:cs="Palatino"/>
          <w:noProof/>
          <w:sz w:val="20"/>
          <w:szCs w:val="20"/>
        </w:rPr>
        <w:drawing>
          <wp:inline distT="0" distB="0" distL="0" distR="0" wp14:anchorId="4B721405" wp14:editId="7276D26A">
            <wp:extent cx="7553960" cy="106743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59FFCEC8"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b/>
          <w:bCs/>
          <w:color w:val="000000"/>
          <w:sz w:val="20"/>
          <w:szCs w:val="20"/>
        </w:rPr>
        <w:t>Risk management</w:t>
      </w:r>
      <w:r>
        <w:rPr>
          <w:rFonts w:ascii="Palatino" w:hAnsi="Palatino" w:cs="Palatino"/>
          <w:color w:val="000000"/>
          <w:sz w:val="20"/>
          <w:szCs w:val="20"/>
        </w:rPr>
        <w:t xml:space="preserve"> is a term applied to a structured (logical and systematic) process illustrated further below. </w:t>
      </w:r>
    </w:p>
    <w:p w14:paraId="45ACB01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correct, efficient and useful result of hazard identification, assessment of risk and establishment </w:t>
      </w:r>
    </w:p>
    <w:p w14:paraId="0CEB34C0"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of risk control measures, in fact the output of a risk management process, is dependant on the application of Human Factors disciplines. The concept of Human Factors and references to relevant models is therefore included in the IALA Guideline 1018 on Risk Management (December 2008). It is recommended that administrations, organisations and persons involved in a risk assessment process have suitable, updated and in-depth knowledge in the application of Human Factors disciplines. </w:t>
      </w:r>
    </w:p>
    <w:p w14:paraId="3653628C" w14:textId="77777777" w:rsidR="00541A14" w:rsidRDefault="00A450E1">
      <w:pPr>
        <w:pStyle w:val="CM165"/>
        <w:spacing w:after="85" w:line="273" w:lineRule="atLeast"/>
        <w:ind w:right="487"/>
        <w:rPr>
          <w:rFonts w:ascii="Palatino" w:hAnsi="Palatino" w:cs="Palatino"/>
          <w:color w:val="000000"/>
          <w:sz w:val="20"/>
          <w:szCs w:val="20"/>
        </w:rPr>
      </w:pPr>
      <w:r>
        <w:rPr>
          <w:rFonts w:ascii="Palatino" w:hAnsi="Palatino" w:cs="Palatino"/>
          <w:color w:val="000000"/>
          <w:sz w:val="20"/>
          <w:szCs w:val="20"/>
        </w:rPr>
        <w:t xml:space="preserve">The risk management approach works equally well for identifying the risks at a detailed or broad level. It can also address the risks from different perspectives. </w:t>
      </w:r>
    </w:p>
    <w:p w14:paraId="37F8629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For example, if the issue is the automation and destaffing of a lighthouse, there are likely to be </w:t>
      </w:r>
    </w:p>
    <w:p w14:paraId="4EE9EFA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different sets of risk for: </w:t>
      </w:r>
    </w:p>
    <w:p w14:paraId="7F9B9C20" w14:textId="77777777" w:rsidR="00541A14" w:rsidRDefault="00A450E1">
      <w:pPr>
        <w:pStyle w:val="Default"/>
        <w:numPr>
          <w:ilvl w:val="0"/>
          <w:numId w:val="159"/>
        </w:numPr>
        <w:rPr>
          <w:rFonts w:ascii="Palatino" w:hAnsi="Palatino" w:cs="Palatino"/>
          <w:sz w:val="20"/>
          <w:szCs w:val="20"/>
        </w:rPr>
      </w:pPr>
      <w:r>
        <w:rPr>
          <w:rFonts w:ascii="Palatino" w:hAnsi="Palatino" w:cs="Palatino"/>
          <w:sz w:val="20"/>
          <w:szCs w:val="20"/>
        </w:rPr>
        <w:t xml:space="preserve">service </w:t>
      </w:r>
      <w:r>
        <w:rPr>
          <w:rFonts w:ascii="Palatino" w:hAnsi="Palatino" w:cs="Palatino"/>
          <w:b/>
          <w:bCs/>
          <w:sz w:val="20"/>
          <w:szCs w:val="20"/>
        </w:rPr>
        <w:t>providers</w:t>
      </w:r>
      <w:r>
        <w:rPr>
          <w:rFonts w:ascii="Palatino" w:hAnsi="Palatino" w:cs="Palatino"/>
          <w:sz w:val="20"/>
          <w:szCs w:val="20"/>
        </w:rPr>
        <w:t xml:space="preserve"> (aids to navigation authority, the lightkeepers); </w:t>
      </w:r>
    </w:p>
    <w:p w14:paraId="0FC17C40" w14:textId="77777777" w:rsidR="00541A14" w:rsidRDefault="00A450E1">
      <w:pPr>
        <w:pStyle w:val="Default"/>
        <w:numPr>
          <w:ilvl w:val="0"/>
          <w:numId w:val="159"/>
        </w:numPr>
        <w:rPr>
          <w:rFonts w:ascii="Palatino" w:hAnsi="Palatino" w:cs="Palatino"/>
          <w:sz w:val="20"/>
          <w:szCs w:val="20"/>
        </w:rPr>
      </w:pPr>
      <w:r>
        <w:rPr>
          <w:rFonts w:ascii="Palatino" w:hAnsi="Palatino" w:cs="Palatino"/>
          <w:sz w:val="20"/>
          <w:szCs w:val="20"/>
        </w:rPr>
        <w:t xml:space="preserve">service </w:t>
      </w:r>
      <w:r>
        <w:rPr>
          <w:rFonts w:ascii="Palatino" w:hAnsi="Palatino" w:cs="Palatino"/>
          <w:b/>
          <w:bCs/>
          <w:sz w:val="20"/>
          <w:szCs w:val="20"/>
        </w:rPr>
        <w:t>users</w:t>
      </w:r>
      <w:r>
        <w:rPr>
          <w:rFonts w:ascii="Palatino" w:hAnsi="Palatino" w:cs="Palatino"/>
          <w:sz w:val="20"/>
          <w:szCs w:val="20"/>
        </w:rPr>
        <w:t xml:space="preserve"> (mariners); </w:t>
      </w:r>
    </w:p>
    <w:p w14:paraId="0CC86A36" w14:textId="77777777" w:rsidR="00541A14" w:rsidRDefault="00A450E1">
      <w:pPr>
        <w:pStyle w:val="Default"/>
        <w:numPr>
          <w:ilvl w:val="0"/>
          <w:numId w:val="159"/>
        </w:numPr>
        <w:rPr>
          <w:rFonts w:ascii="Palatino" w:hAnsi="Palatino" w:cs="Palatino"/>
          <w:sz w:val="20"/>
          <w:szCs w:val="20"/>
        </w:rPr>
      </w:pPr>
      <w:r>
        <w:rPr>
          <w:rFonts w:ascii="Palatino" w:hAnsi="Palatino" w:cs="Palatino"/>
          <w:b/>
          <w:bCs/>
          <w:sz w:val="20"/>
          <w:szCs w:val="20"/>
        </w:rPr>
        <w:t>external groups</w:t>
      </w:r>
      <w:r>
        <w:rPr>
          <w:rFonts w:ascii="Palatino" w:hAnsi="Palatino" w:cs="Palatino"/>
          <w:sz w:val="20"/>
          <w:szCs w:val="20"/>
        </w:rPr>
        <w:t xml:space="preserve"> (politicians, local community, conservation groups). </w:t>
      </w:r>
    </w:p>
    <w:p w14:paraId="7F9F4D9D" w14:textId="77777777" w:rsidR="00541A14" w:rsidRDefault="00541A14">
      <w:pPr>
        <w:pStyle w:val="Default"/>
        <w:rPr>
          <w:rFonts w:ascii="Palatino" w:hAnsi="Palatino" w:cs="Palatino"/>
          <w:sz w:val="20"/>
          <w:szCs w:val="20"/>
        </w:rPr>
      </w:pPr>
    </w:p>
    <w:p w14:paraId="1D71827D"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26A7B207" w14:textId="77777777" w:rsidR="00541A14" w:rsidRDefault="00A450E1">
      <w:pPr>
        <w:pStyle w:val="CM172"/>
        <w:spacing w:after="202" w:line="293" w:lineRule="atLeast"/>
        <w:ind w:left="300"/>
        <w:rPr>
          <w:rFonts w:ascii="Palatino" w:hAnsi="Palatino" w:cs="Palatino"/>
          <w:color w:val="000000"/>
          <w:sz w:val="20"/>
          <w:szCs w:val="20"/>
        </w:rPr>
      </w:pPr>
      <w:r>
        <w:rPr>
          <w:rFonts w:ascii="Palatino" w:hAnsi="Palatino" w:cs="Palatino"/>
          <w:i/>
          <w:iCs/>
          <w:color w:val="000000"/>
          <w:sz w:val="20"/>
          <w:szCs w:val="20"/>
        </w:rPr>
        <w:t xml:space="preserve">IALA Guideline 1018 on risk management. </w:t>
      </w:r>
    </w:p>
    <w:p w14:paraId="0A658E5D"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A number of countries</w:t>
      </w:r>
      <w:r>
        <w:rPr>
          <w:rFonts w:ascii="Palatino" w:hAnsi="Palatino" w:cs="Palatino"/>
          <w:color w:val="000000"/>
          <w:position w:val="7"/>
          <w:sz w:val="11"/>
          <w:szCs w:val="11"/>
          <w:vertAlign w:val="superscript"/>
        </w:rPr>
        <w:t>43</w:t>
      </w:r>
      <w:r>
        <w:rPr>
          <w:rFonts w:ascii="Palatino" w:hAnsi="Palatino" w:cs="Palatino"/>
          <w:color w:val="000000"/>
          <w:sz w:val="20"/>
          <w:szCs w:val="20"/>
        </w:rPr>
        <w:t xml:space="preserve"> also have national standards on risk assessment and risk management. </w:t>
      </w:r>
    </w:p>
    <w:p w14:paraId="751334C3"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8.3.1 IALA Risk Management Tools </w:t>
      </w:r>
    </w:p>
    <w:p w14:paraId="7CDC18C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IALA is continuing to improve risk management tools that are capable of: </w:t>
      </w:r>
    </w:p>
    <w:p w14:paraId="22AF283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Assessing the risk in ports or waterways, compared with the risk level considered by Competent </w:t>
      </w:r>
    </w:p>
    <w:p w14:paraId="34A5A58F"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Authorities and stakeholders to be acceptable. The elements that can be taken into consideration </w:t>
      </w:r>
    </w:p>
    <w:p w14:paraId="51CD3CE9"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include those relating to vessel conditions, traffic conditions, navigational conditions, waterway </w:t>
      </w:r>
    </w:p>
    <w:p w14:paraId="49A687F1"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conditions, immediate consequences and subsequent consequences; </w:t>
      </w:r>
    </w:p>
    <w:p w14:paraId="14BA057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Identifying appropriate risk control options to decrease the risk to the level considered to be </w:t>
      </w:r>
    </w:p>
    <w:p w14:paraId="3F7062B3"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acceptable. The risk control options available include improved co-ordination and planning; training; rules and procedures including enforcement; navigational, meteorological and hydrographical </w:t>
      </w:r>
    </w:p>
    <w:p w14:paraId="558736E8"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information; radio communications; active traffic management and waterway changes. </w:t>
      </w:r>
    </w:p>
    <w:p w14:paraId="3F523FD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Quantifying the effect on the risk level of an existing port or waterway that may result from a change </w:t>
      </w:r>
    </w:p>
    <w:p w14:paraId="5168FC77" w14:textId="77777777" w:rsidR="00541A14" w:rsidRDefault="00A450E1">
      <w:pPr>
        <w:pStyle w:val="CM165"/>
        <w:spacing w:after="85" w:line="303" w:lineRule="atLeast"/>
        <w:ind w:firstLine="300"/>
        <w:rPr>
          <w:rFonts w:ascii="Palatino" w:hAnsi="Palatino" w:cs="Palatino"/>
          <w:color w:val="000000"/>
          <w:sz w:val="20"/>
          <w:szCs w:val="20"/>
        </w:rPr>
      </w:pPr>
      <w:r>
        <w:rPr>
          <w:rFonts w:ascii="Palatino" w:hAnsi="Palatino" w:cs="Palatino"/>
          <w:color w:val="000000"/>
          <w:sz w:val="20"/>
          <w:szCs w:val="20"/>
        </w:rPr>
        <w:t xml:space="preserve">or reduction of any of the risk control options in use. The risk management tools can also assist in assessing the risk level of existing ports and waterways as well as determining the probable risk level of proposed new ports and waterways or if substantial changes to existing ports and waterways are being planned. The tools are based on the use of two models, Port And Waterway Safety Assessment tool (PAWSA) which conducts a </w:t>
      </w:r>
      <w:r>
        <w:rPr>
          <w:rFonts w:ascii="Palatino" w:hAnsi="Palatino" w:cs="Palatino"/>
          <w:b/>
          <w:bCs/>
          <w:color w:val="000000"/>
          <w:sz w:val="20"/>
          <w:szCs w:val="20"/>
        </w:rPr>
        <w:t>Qualitative</w:t>
      </w:r>
      <w:r>
        <w:rPr>
          <w:rFonts w:ascii="Palatino" w:hAnsi="Palatino" w:cs="Palatino"/>
          <w:color w:val="000000"/>
          <w:sz w:val="20"/>
          <w:szCs w:val="20"/>
        </w:rPr>
        <w:t xml:space="preserve"> Risk Assessment and IALA Waterway Risk Assessment Programme (IWRAP Mk II) which conducts a </w:t>
      </w:r>
      <w:r>
        <w:rPr>
          <w:rFonts w:ascii="Palatino" w:hAnsi="Palatino" w:cs="Palatino"/>
          <w:b/>
          <w:bCs/>
          <w:color w:val="000000"/>
          <w:sz w:val="20"/>
          <w:szCs w:val="20"/>
        </w:rPr>
        <w:t>Quantitative</w:t>
      </w:r>
      <w:r>
        <w:rPr>
          <w:rFonts w:ascii="Palatino" w:hAnsi="Palatino" w:cs="Palatino"/>
          <w:color w:val="000000"/>
          <w:sz w:val="20"/>
          <w:szCs w:val="20"/>
        </w:rPr>
        <w:t xml:space="preserve"> Risk Assessment. The two models can be used individually, sequentially or in parallel</w:t>
      </w:r>
      <w:r>
        <w:rPr>
          <w:rFonts w:ascii="Palatino" w:hAnsi="Palatino" w:cs="Palatino"/>
          <w:color w:val="000000"/>
          <w:position w:val="7"/>
          <w:sz w:val="11"/>
          <w:szCs w:val="11"/>
          <w:vertAlign w:val="superscript"/>
        </w:rPr>
        <w:t>44</w:t>
      </w:r>
      <w:r>
        <w:rPr>
          <w:rFonts w:ascii="Palatino" w:hAnsi="Palatino" w:cs="Palatino"/>
          <w:color w:val="000000"/>
          <w:sz w:val="20"/>
          <w:szCs w:val="20"/>
        </w:rPr>
        <w:t xml:space="preserve">. </w:t>
      </w:r>
    </w:p>
    <w:p w14:paraId="43AA52BF" w14:textId="77777777" w:rsidR="00541A14" w:rsidRDefault="00A450E1">
      <w:pPr>
        <w:pStyle w:val="CM174"/>
        <w:spacing w:after="437" w:line="291" w:lineRule="atLeast"/>
        <w:ind w:right="107"/>
        <w:rPr>
          <w:rFonts w:ascii="Palatino" w:hAnsi="Palatino" w:cs="Palatino"/>
          <w:color w:val="000000"/>
          <w:sz w:val="20"/>
          <w:szCs w:val="20"/>
        </w:rPr>
      </w:pPr>
      <w:r>
        <w:rPr>
          <w:rFonts w:ascii="Palatino" w:hAnsi="Palatino" w:cs="Palatino"/>
          <w:color w:val="000000"/>
          <w:sz w:val="20"/>
          <w:szCs w:val="20"/>
        </w:rPr>
        <w:t xml:space="preserve">Applications to use the IALA Risk Management Tool should be made by the Competent Authority concerned to the IALA Secretariat ensuring that registered users are provided with the latest versions of the PAWSA and IWRAP free of charge to the Authority. </w:t>
      </w:r>
    </w:p>
    <w:p w14:paraId="78354A57" w14:textId="77777777" w:rsidR="00541A14" w:rsidRDefault="00A450E1">
      <w:pPr>
        <w:pStyle w:val="CM162"/>
        <w:spacing w:after="552" w:line="291" w:lineRule="atLeast"/>
        <w:rPr>
          <w:rFonts w:ascii="Palatino" w:hAnsi="Palatino" w:cs="Palatino"/>
          <w:color w:val="000000"/>
          <w:sz w:val="20"/>
          <w:szCs w:val="20"/>
        </w:rPr>
      </w:pPr>
      <w:r>
        <w:rPr>
          <w:rFonts w:ascii="Palatino" w:hAnsi="Palatino" w:cs="Palatino"/>
          <w:color w:val="000000"/>
          <w:position w:val="6"/>
          <w:sz w:val="20"/>
          <w:szCs w:val="20"/>
          <w:vertAlign w:val="superscript"/>
        </w:rPr>
        <w:t>43</w:t>
      </w:r>
      <w:r>
        <w:rPr>
          <w:rFonts w:ascii="Palatino" w:hAnsi="Palatino" w:cs="Palatino"/>
          <w:color w:val="000000"/>
          <w:sz w:val="20"/>
          <w:szCs w:val="20"/>
        </w:rPr>
        <w:t>Example include Canada and Australia / New zealand</w:t>
      </w:r>
      <w:r>
        <w:rPr>
          <w:rFonts w:ascii="Palatino" w:hAnsi="Palatino" w:cs="Palatino"/>
          <w:color w:val="000000"/>
          <w:sz w:val="18"/>
          <w:szCs w:val="18"/>
        </w:rPr>
        <w:t xml:space="preserve">. </w:t>
      </w:r>
      <w:r>
        <w:rPr>
          <w:rFonts w:ascii="Palatino" w:hAnsi="Palatino" w:cs="Palatino"/>
          <w:color w:val="000000"/>
          <w:position w:val="6"/>
          <w:sz w:val="18"/>
          <w:szCs w:val="18"/>
          <w:vertAlign w:val="superscript"/>
        </w:rPr>
        <w:t>44</w:t>
      </w:r>
      <w:r>
        <w:rPr>
          <w:rFonts w:ascii="Palatino" w:hAnsi="Palatino" w:cs="Palatino"/>
          <w:color w:val="000000"/>
          <w:sz w:val="20"/>
          <w:szCs w:val="20"/>
        </w:rPr>
        <w:t>When available, the Risk Model will be included in the IALA</w:t>
      </w:r>
      <w:hyperlink r:id="rId343" w:history="1">
        <w:r>
          <w:rPr>
            <w:rFonts w:ascii="Palatino" w:hAnsi="Palatino" w:cs="Palatino"/>
            <w:color w:val="000000"/>
            <w:sz w:val="18"/>
            <w:szCs w:val="18"/>
          </w:rPr>
          <w:t xml:space="preserve"> documents available at www.iala-aism.org </w:t>
        </w:r>
      </w:hyperlink>
    </w:p>
    <w:p w14:paraId="2F71ED75"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53731B1A" wp14:editId="01E3922F">
            <wp:extent cx="7553960" cy="420370"/>
            <wp:effectExtent l="0" t="0" r="0" b="1143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40AF731A" w14:textId="77777777" w:rsidR="00541A14" w:rsidRDefault="00DD420F">
      <w:pPr>
        <w:pStyle w:val="Default"/>
        <w:pageBreakBefore/>
        <w:framePr w:w="12876" w:wrap="auto" w:vAnchor="page" w:hAnchor="page" w:x="101" w:y="1"/>
        <w:spacing w:after="580"/>
        <w:rPr>
          <w:rFonts w:ascii="Palatino" w:hAnsi="Palatino" w:cs="Palatino"/>
          <w:sz w:val="20"/>
          <w:szCs w:val="20"/>
        </w:rPr>
      </w:pPr>
      <w:r>
        <w:rPr>
          <w:rFonts w:ascii="Palatino" w:hAnsi="Palatino" w:cs="Palatino"/>
          <w:noProof/>
          <w:sz w:val="20"/>
          <w:szCs w:val="20"/>
        </w:rPr>
        <w:drawing>
          <wp:inline distT="0" distB="0" distL="0" distR="0" wp14:anchorId="126BD178" wp14:editId="4D4FAB82">
            <wp:extent cx="7553960" cy="1056640"/>
            <wp:effectExtent l="0" t="0" r="0" b="1016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25DF7EDE"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All the information necessary to prepare and conduct a PAWSA is contained on the PAWSA compact disk. However, if guidance is +required the IALA Secretariat is able to will arrange this. </w:t>
      </w:r>
    </w:p>
    <w:p w14:paraId="0A12DD0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Information on how to use the IWRAP tool is given through IALA IWRAP training seminars and on a dedicated IWRAP WIKI site on the internet (accessible through the IALA website). If further guidance or assistance is required the IALA Secretariat is able to arrange for experts to assist with conducting an IWRAP Risk Assessment. </w:t>
      </w:r>
    </w:p>
    <w:p w14:paraId="10B4EE05" w14:textId="77777777" w:rsidR="00541A14" w:rsidRDefault="00A450E1">
      <w:pPr>
        <w:pStyle w:val="CM173"/>
        <w:spacing w:after="340" w:line="293" w:lineRule="atLeast"/>
        <w:ind w:right="245"/>
        <w:rPr>
          <w:rFonts w:ascii="Palatino" w:hAnsi="Palatino" w:cs="Palatino"/>
          <w:color w:val="000000"/>
          <w:sz w:val="20"/>
          <w:szCs w:val="20"/>
        </w:rPr>
      </w:pPr>
      <w:r>
        <w:rPr>
          <w:rFonts w:ascii="Palatino" w:hAnsi="Palatino" w:cs="Palatino"/>
          <w:color w:val="000000"/>
          <w:sz w:val="20"/>
          <w:szCs w:val="20"/>
        </w:rPr>
        <w:t xml:space="preserve">Authorities are requested to provide copies of the results of risk assessments made by the IALA Risk Management Tool to the IALA Secretariat. </w:t>
      </w:r>
    </w:p>
    <w:p w14:paraId="081BDEF5"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8.3.2 Risk Management Decision Process </w:t>
      </w:r>
    </w:p>
    <w:p w14:paraId="304505C4" w14:textId="77777777" w:rsidR="00541A14" w:rsidRDefault="00541A14">
      <w:pPr>
        <w:pStyle w:val="Default"/>
        <w:rPr>
          <w:rFonts w:ascii="Futura Book" w:hAnsi="Futura Book" w:cs="Futura Book"/>
          <w:color w:val="2C5062"/>
          <w:sz w:val="22"/>
          <w:szCs w:val="22"/>
        </w:rPr>
      </w:pPr>
    </w:p>
    <w:p w14:paraId="62FB02D9" w14:textId="77777777" w:rsidR="00541A14" w:rsidRDefault="00A450E1">
      <w:pPr>
        <w:pStyle w:val="CM169"/>
        <w:spacing w:after="65" w:line="291" w:lineRule="atLeast"/>
        <w:rPr>
          <w:rFonts w:ascii="Palatino" w:hAnsi="Palatino" w:cs="Palatino"/>
          <w:color w:val="000000"/>
          <w:sz w:val="20"/>
          <w:szCs w:val="20"/>
        </w:rPr>
      </w:pPr>
      <w:r>
        <w:rPr>
          <w:rFonts w:ascii="Palatino" w:hAnsi="Palatino" w:cs="Palatino"/>
          <w:color w:val="000000"/>
          <w:sz w:val="20"/>
          <w:szCs w:val="20"/>
        </w:rPr>
        <w:t>The Risk Management process described in the</w:t>
      </w:r>
      <w:hyperlink r:id="rId345" w:history="1">
        <w:r>
          <w:rPr>
            <w:rFonts w:ascii="Palatino" w:hAnsi="Palatino" w:cs="Palatino"/>
            <w:color w:val="000000"/>
            <w:sz w:val="20"/>
            <w:szCs w:val="20"/>
          </w:rPr>
          <w:t xml:space="preserve"> IALA Guideline 1018</w:t>
        </w:r>
      </w:hyperlink>
      <w:r>
        <w:rPr>
          <w:rFonts w:ascii="Palatino" w:hAnsi="Palatino" w:cs="Palatino"/>
          <w:color w:val="000000"/>
          <w:sz w:val="20"/>
          <w:szCs w:val="20"/>
        </w:rPr>
        <w:t xml:space="preserve"> comprises five steps that follow a </w:t>
      </w:r>
    </w:p>
    <w:p w14:paraId="52A92615" w14:textId="77777777" w:rsidR="00541A14" w:rsidRDefault="00A450E1">
      <w:pPr>
        <w:pStyle w:val="CM169"/>
        <w:spacing w:after="65" w:line="346" w:lineRule="atLeast"/>
        <w:rPr>
          <w:rFonts w:ascii="Palatino" w:hAnsi="Palatino" w:cs="Palatino"/>
          <w:color w:val="000000"/>
          <w:sz w:val="20"/>
          <w:szCs w:val="20"/>
        </w:rPr>
      </w:pPr>
      <w:r>
        <w:rPr>
          <w:rFonts w:ascii="Palatino" w:hAnsi="Palatino" w:cs="Palatino"/>
          <w:color w:val="000000"/>
          <w:sz w:val="20"/>
          <w:szCs w:val="20"/>
        </w:rPr>
        <w:t xml:space="preserve">standardized management or systems analysis approach: a) Identify hazards; b) Assess risks; c) Specify risk control options; d) Make a decision; and e) Take action. The diagram in Figure 28 provides a guide to the steps involved in the IALA Risk Assessment and </w:t>
      </w:r>
    </w:p>
    <w:p w14:paraId="3E26D902" w14:textId="77777777" w:rsidR="00541A14" w:rsidRDefault="00A450E1">
      <w:pPr>
        <w:pStyle w:val="CM165"/>
        <w:spacing w:after="85" w:line="346" w:lineRule="atLeast"/>
        <w:rPr>
          <w:rFonts w:ascii="Palatino" w:hAnsi="Palatino" w:cs="Palatino"/>
          <w:color w:val="000000"/>
          <w:sz w:val="20"/>
          <w:szCs w:val="20"/>
        </w:rPr>
      </w:pPr>
      <w:r>
        <w:rPr>
          <w:rFonts w:ascii="Palatino" w:hAnsi="Palatino" w:cs="Palatino"/>
          <w:color w:val="000000"/>
          <w:sz w:val="20"/>
          <w:szCs w:val="20"/>
        </w:rPr>
        <w:t xml:space="preserve">Risk Management process. </w:t>
      </w:r>
    </w:p>
    <w:p w14:paraId="735FF259"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b/>
          <w:bCs/>
          <w:color w:val="000000"/>
          <w:sz w:val="20"/>
          <w:szCs w:val="20"/>
        </w:rPr>
        <w:t>Hazard</w:t>
      </w:r>
      <w:r>
        <w:rPr>
          <w:rFonts w:ascii="Palatino" w:hAnsi="Palatino" w:cs="Palatino"/>
          <w:color w:val="000000"/>
          <w:sz w:val="20"/>
          <w:szCs w:val="20"/>
        </w:rPr>
        <w:t xml:space="preserve"> – an unwanted event or occurrence, a source of potential harm, or a situation with a potential for causing harm, in terms of human injury; damage to health, property, the environment, and other things of value; or some combination of these. </w:t>
      </w:r>
    </w:p>
    <w:p w14:paraId="42E12B41" w14:textId="77777777" w:rsidR="00541A14" w:rsidRDefault="00A450E1">
      <w:pPr>
        <w:pStyle w:val="CM4"/>
        <w:rPr>
          <w:rFonts w:ascii="Palatino" w:hAnsi="Palatino" w:cs="Palatino"/>
          <w:color w:val="000000"/>
          <w:sz w:val="20"/>
          <w:szCs w:val="20"/>
        </w:rPr>
      </w:pPr>
      <w:r>
        <w:rPr>
          <w:rFonts w:ascii="Palatino" w:hAnsi="Palatino" w:cs="Palatino"/>
          <w:b/>
          <w:bCs/>
          <w:color w:val="000000"/>
          <w:sz w:val="20"/>
          <w:szCs w:val="20"/>
        </w:rPr>
        <w:t>Risk</w:t>
      </w:r>
      <w:r>
        <w:rPr>
          <w:rFonts w:ascii="Palatino" w:hAnsi="Palatino" w:cs="Palatino"/>
          <w:color w:val="000000"/>
          <w:sz w:val="20"/>
          <w:szCs w:val="20"/>
        </w:rPr>
        <w:t xml:space="preserve"> – the chance of injury or loss as defined as a measure of the probability and severity of an </w:t>
      </w:r>
    </w:p>
    <w:p w14:paraId="53453E3E" w14:textId="77777777" w:rsidR="00541A14" w:rsidRDefault="00A450E1">
      <w:pPr>
        <w:pStyle w:val="CM174"/>
        <w:spacing w:after="437" w:line="291" w:lineRule="atLeast"/>
        <w:rPr>
          <w:rFonts w:ascii="Palatino" w:hAnsi="Palatino" w:cs="Palatino"/>
          <w:color w:val="000000"/>
          <w:sz w:val="20"/>
          <w:szCs w:val="20"/>
        </w:rPr>
      </w:pPr>
      <w:r>
        <w:rPr>
          <w:rFonts w:ascii="Palatino" w:hAnsi="Palatino" w:cs="Palatino"/>
          <w:color w:val="000000"/>
          <w:sz w:val="20"/>
          <w:szCs w:val="20"/>
        </w:rPr>
        <w:t xml:space="preserve">adverse effect to health, property or the environment or other values. </w:t>
      </w:r>
    </w:p>
    <w:p w14:paraId="2271C45D"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88960" behindDoc="0" locked="0" layoutInCell="0" allowOverlap="1" wp14:anchorId="04736C94" wp14:editId="5B190EC7">
                <wp:simplePos x="0" y="0"/>
                <wp:positionH relativeFrom="page">
                  <wp:posOffset>2381885</wp:posOffset>
                </wp:positionH>
                <wp:positionV relativeFrom="page">
                  <wp:posOffset>6424930</wp:posOffset>
                </wp:positionV>
                <wp:extent cx="2938145" cy="2512060"/>
                <wp:effectExtent l="0" t="0" r="0" b="0"/>
                <wp:wrapThrough wrapText="bothSides">
                  <wp:wrapPolygon edited="0">
                    <wp:start x="0" y="0"/>
                    <wp:lineTo x="21600" y="0"/>
                    <wp:lineTo x="21600" y="21600"/>
                    <wp:lineTo x="0" y="21600"/>
                    <wp:lineTo x="0" y="0"/>
                  </wp:wrapPolygon>
                </wp:wrapThrough>
                <wp:docPr id="526"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8145" cy="2512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425"/>
                              <w:gridCol w:w="2377"/>
                              <w:gridCol w:w="425"/>
                            </w:tblGrid>
                            <w:tr w:rsidR="00541A14" w14:paraId="30177E9F" w14:textId="77777777">
                              <w:trPr>
                                <w:trHeight w:val="307"/>
                              </w:trPr>
                              <w:tc>
                                <w:tcPr>
                                  <w:tcW w:w="425" w:type="dxa"/>
                                  <w:vMerge w:val="restart"/>
                                  <w:tcBorders>
                                    <w:top w:val="single" w:sz="18" w:space="0" w:color="000000"/>
                                    <w:left w:val="single" w:sz="4" w:space="0" w:color="000000"/>
                                    <w:bottom w:val="single" w:sz="26" w:space="0" w:color="000000"/>
                                  </w:tcBorders>
                                  <w:shd w:val="clear" w:color="auto" w:fill="296A91"/>
                                  <w:vAlign w:val="center"/>
                                </w:tcPr>
                                <w:p w14:paraId="5EEF2D63" w14:textId="77777777" w:rsidR="00541A14" w:rsidRDefault="00A450E1">
                                  <w:pPr>
                                    <w:pStyle w:val="Default"/>
                                    <w:rPr>
                                      <w:rFonts w:ascii="Helvetica 55 Roman" w:hAnsi="Helvetica 55 Roman" w:cs="Helvetica 55 Roman"/>
                                      <w:color w:val="FFFFFF"/>
                                      <w:sz w:val="22"/>
                                      <w:szCs w:val="22"/>
                                    </w:rPr>
                                  </w:pPr>
                                  <w:r>
                                    <w:rPr>
                                      <w:rFonts w:ascii="Helvetica 55 Roman" w:hAnsi="Helvetica 55 Roman" w:cs="Helvetica 55 Roman"/>
                                      <w:color w:val="FFFFFF"/>
                                      <w:sz w:val="22"/>
                                      <w:szCs w:val="22"/>
                                    </w:rPr>
                                    <w:t>Consultation and Reporting</w:t>
                                  </w:r>
                                </w:p>
                              </w:tc>
                              <w:tc>
                                <w:tcPr>
                                  <w:tcW w:w="2377" w:type="dxa"/>
                                  <w:tcBorders>
                                    <w:top w:val="single" w:sz="18" w:space="0" w:color="000000"/>
                                    <w:bottom w:val="single" w:sz="62" w:space="0" w:color="000000"/>
                                  </w:tcBorders>
                                  <w:shd w:val="clear" w:color="auto" w:fill="FBF3CF"/>
                                  <w:vAlign w:val="center"/>
                                </w:tcPr>
                                <w:p w14:paraId="18AD1266" w14:textId="77777777" w:rsidR="00541A14" w:rsidRDefault="00A450E1">
                                  <w:pPr>
                                    <w:pStyle w:val="Default"/>
                                    <w:rPr>
                                      <w:rFonts w:ascii="Helvetica 55 Roman" w:hAnsi="Helvetica 55 Roman" w:cs="Helvetica 55 Roman"/>
                                      <w:sz w:val="22"/>
                                      <w:szCs w:val="22"/>
                                    </w:rPr>
                                  </w:pPr>
                                  <w:r>
                                    <w:rPr>
                                      <w:rFonts w:ascii="Helvetica 55 Roman" w:hAnsi="Helvetica 55 Roman" w:cs="Helvetica 55 Roman"/>
                                      <w:sz w:val="22"/>
                                      <w:szCs w:val="22"/>
                                    </w:rPr>
                                    <w:t xml:space="preserve">1. Identify Hazards </w:t>
                                  </w:r>
                                </w:p>
                              </w:tc>
                              <w:tc>
                                <w:tcPr>
                                  <w:tcW w:w="425" w:type="dxa"/>
                                  <w:vMerge w:val="restart"/>
                                  <w:tcBorders>
                                    <w:top w:val="single" w:sz="18" w:space="0" w:color="000000"/>
                                    <w:bottom w:val="single" w:sz="26" w:space="0" w:color="000000"/>
                                    <w:right w:val="single" w:sz="4" w:space="0" w:color="000000"/>
                                  </w:tcBorders>
                                  <w:shd w:val="clear" w:color="auto" w:fill="F3703B"/>
                                  <w:vAlign w:val="center"/>
                                </w:tcPr>
                                <w:p w14:paraId="42A787F4" w14:textId="77777777" w:rsidR="00541A14" w:rsidRDefault="00A450E1">
                                  <w:pPr>
                                    <w:pStyle w:val="Default"/>
                                    <w:jc w:val="center"/>
                                    <w:rPr>
                                      <w:rFonts w:ascii="Helvetica 55 Roman" w:hAnsi="Helvetica 55 Roman" w:cs="Helvetica 55 Roman"/>
                                      <w:color w:val="FFFFFF"/>
                                      <w:sz w:val="22"/>
                                      <w:szCs w:val="22"/>
                                    </w:rPr>
                                  </w:pPr>
                                  <w:r>
                                    <w:rPr>
                                      <w:rFonts w:ascii="Helvetica 55 Roman" w:hAnsi="Helvetica 55 Roman" w:cs="Helvetica 55 Roman"/>
                                      <w:color w:val="FFFFFF"/>
                                      <w:sz w:val="22"/>
                                      <w:szCs w:val="22"/>
                                    </w:rPr>
                                    <w:t>Monitoring and Review</w:t>
                                  </w:r>
                                </w:p>
                              </w:tc>
                            </w:tr>
                            <w:tr w:rsidR="00541A14" w14:paraId="71465821" w14:textId="77777777">
                              <w:trPr>
                                <w:trHeight w:val="307"/>
                              </w:trPr>
                              <w:tc>
                                <w:tcPr>
                                  <w:tcW w:w="425" w:type="dxa"/>
                                  <w:vMerge/>
                                  <w:tcBorders>
                                    <w:top w:val="single" w:sz="18" w:space="0" w:color="000000"/>
                                    <w:left w:val="single" w:sz="4" w:space="0" w:color="000000"/>
                                    <w:bottom w:val="single" w:sz="26" w:space="0" w:color="000000"/>
                                  </w:tcBorders>
                                  <w:shd w:val="clear" w:color="auto" w:fill="296A91"/>
                                  <w:vAlign w:val="center"/>
                                </w:tcPr>
                                <w:p w14:paraId="10617195" w14:textId="77777777" w:rsidR="00541A14" w:rsidRDefault="00541A14">
                                  <w:pPr>
                                    <w:pStyle w:val="Default"/>
                                    <w:rPr>
                                      <w:rFonts w:cs="Times New Roman"/>
                                      <w:color w:val="auto"/>
                                    </w:rPr>
                                  </w:pPr>
                                </w:p>
                              </w:tc>
                              <w:tc>
                                <w:tcPr>
                                  <w:tcW w:w="2377" w:type="dxa"/>
                                  <w:tcBorders>
                                    <w:top w:val="single" w:sz="62" w:space="0" w:color="000000"/>
                                    <w:bottom w:val="single" w:sz="62" w:space="0" w:color="000000"/>
                                  </w:tcBorders>
                                  <w:shd w:val="clear" w:color="auto" w:fill="FBF3CF"/>
                                  <w:vAlign w:val="center"/>
                                </w:tcPr>
                                <w:p w14:paraId="054F101D" w14:textId="77777777" w:rsidR="00541A14" w:rsidRDefault="00A450E1">
                                  <w:pPr>
                                    <w:pStyle w:val="Default"/>
                                    <w:rPr>
                                      <w:rFonts w:ascii="Helvetica 55 Roman" w:hAnsi="Helvetica 55 Roman" w:cs="Helvetica 55 Roman"/>
                                      <w:sz w:val="22"/>
                                      <w:szCs w:val="22"/>
                                    </w:rPr>
                                  </w:pPr>
                                  <w:r>
                                    <w:rPr>
                                      <w:rFonts w:ascii="Helvetica 55 Roman" w:hAnsi="Helvetica 55 Roman" w:cs="Helvetica 55 Roman"/>
                                      <w:sz w:val="22"/>
                                      <w:szCs w:val="22"/>
                                    </w:rPr>
                                    <w:t xml:space="preserve">2. Assess Risks </w:t>
                                  </w:r>
                                </w:p>
                              </w:tc>
                              <w:tc>
                                <w:tcPr>
                                  <w:tcW w:w="425" w:type="dxa"/>
                                  <w:vMerge/>
                                  <w:tcBorders>
                                    <w:top w:val="single" w:sz="18" w:space="0" w:color="000000"/>
                                    <w:bottom w:val="single" w:sz="26" w:space="0" w:color="000000"/>
                                    <w:right w:val="single" w:sz="4" w:space="0" w:color="000000"/>
                                  </w:tcBorders>
                                  <w:shd w:val="clear" w:color="auto" w:fill="F3703B"/>
                                  <w:vAlign w:val="center"/>
                                </w:tcPr>
                                <w:p w14:paraId="4529D7BD" w14:textId="77777777" w:rsidR="00541A14" w:rsidRDefault="00541A14">
                                  <w:pPr>
                                    <w:pStyle w:val="Default"/>
                                    <w:jc w:val="center"/>
                                    <w:rPr>
                                      <w:rFonts w:cs="Times New Roman"/>
                                      <w:color w:val="auto"/>
                                    </w:rPr>
                                  </w:pPr>
                                </w:p>
                              </w:tc>
                            </w:tr>
                            <w:tr w:rsidR="00541A14" w14:paraId="50F3F21D" w14:textId="77777777">
                              <w:trPr>
                                <w:trHeight w:val="307"/>
                              </w:trPr>
                              <w:tc>
                                <w:tcPr>
                                  <w:tcW w:w="425" w:type="dxa"/>
                                  <w:vMerge/>
                                  <w:tcBorders>
                                    <w:top w:val="single" w:sz="18" w:space="0" w:color="000000"/>
                                    <w:left w:val="single" w:sz="4" w:space="0" w:color="000000"/>
                                    <w:bottom w:val="single" w:sz="26" w:space="0" w:color="000000"/>
                                  </w:tcBorders>
                                  <w:shd w:val="clear" w:color="auto" w:fill="296A91"/>
                                  <w:vAlign w:val="center"/>
                                </w:tcPr>
                                <w:p w14:paraId="32AFEE76" w14:textId="77777777" w:rsidR="00541A14" w:rsidRDefault="00541A14">
                                  <w:pPr>
                                    <w:pStyle w:val="Default"/>
                                    <w:rPr>
                                      <w:rFonts w:cs="Times New Roman"/>
                                      <w:color w:val="auto"/>
                                    </w:rPr>
                                  </w:pPr>
                                </w:p>
                              </w:tc>
                              <w:tc>
                                <w:tcPr>
                                  <w:tcW w:w="2377" w:type="dxa"/>
                                  <w:tcBorders>
                                    <w:top w:val="single" w:sz="62" w:space="0" w:color="000000"/>
                                    <w:bottom w:val="single" w:sz="62" w:space="0" w:color="000000"/>
                                  </w:tcBorders>
                                  <w:shd w:val="clear" w:color="auto" w:fill="FBF3CF"/>
                                  <w:vAlign w:val="center"/>
                                </w:tcPr>
                                <w:p w14:paraId="225C041A" w14:textId="77777777" w:rsidR="00541A14" w:rsidRDefault="00A450E1">
                                  <w:pPr>
                                    <w:pStyle w:val="Default"/>
                                    <w:rPr>
                                      <w:rFonts w:ascii="Helvetica 55 Roman" w:hAnsi="Helvetica 55 Roman" w:cs="Helvetica 55 Roman"/>
                                      <w:sz w:val="22"/>
                                      <w:szCs w:val="22"/>
                                    </w:rPr>
                                  </w:pPr>
                                  <w:r>
                                    <w:rPr>
                                      <w:rFonts w:ascii="Helvetica 55 Roman" w:hAnsi="Helvetica 55 Roman" w:cs="Helvetica 55 Roman"/>
                                      <w:sz w:val="22"/>
                                      <w:szCs w:val="22"/>
                                    </w:rPr>
                                    <w:t xml:space="preserve">3. Specify Risk Control Options </w:t>
                                  </w:r>
                                </w:p>
                              </w:tc>
                              <w:tc>
                                <w:tcPr>
                                  <w:tcW w:w="425" w:type="dxa"/>
                                  <w:vMerge/>
                                  <w:tcBorders>
                                    <w:top w:val="single" w:sz="18" w:space="0" w:color="000000"/>
                                    <w:bottom w:val="single" w:sz="26" w:space="0" w:color="000000"/>
                                    <w:right w:val="single" w:sz="4" w:space="0" w:color="000000"/>
                                  </w:tcBorders>
                                  <w:shd w:val="clear" w:color="auto" w:fill="F3703B"/>
                                  <w:vAlign w:val="center"/>
                                </w:tcPr>
                                <w:p w14:paraId="3F162E1D" w14:textId="77777777" w:rsidR="00541A14" w:rsidRDefault="00541A14">
                                  <w:pPr>
                                    <w:pStyle w:val="Default"/>
                                    <w:jc w:val="center"/>
                                    <w:rPr>
                                      <w:rFonts w:cs="Times New Roman"/>
                                      <w:color w:val="auto"/>
                                    </w:rPr>
                                  </w:pPr>
                                </w:p>
                              </w:tc>
                            </w:tr>
                            <w:tr w:rsidR="00541A14" w14:paraId="73A1030A" w14:textId="77777777">
                              <w:trPr>
                                <w:trHeight w:val="307"/>
                              </w:trPr>
                              <w:tc>
                                <w:tcPr>
                                  <w:tcW w:w="425" w:type="dxa"/>
                                  <w:vMerge/>
                                  <w:tcBorders>
                                    <w:top w:val="single" w:sz="18" w:space="0" w:color="000000"/>
                                    <w:left w:val="single" w:sz="4" w:space="0" w:color="000000"/>
                                    <w:bottom w:val="single" w:sz="26" w:space="0" w:color="000000"/>
                                  </w:tcBorders>
                                  <w:shd w:val="clear" w:color="auto" w:fill="296A91"/>
                                  <w:vAlign w:val="center"/>
                                </w:tcPr>
                                <w:p w14:paraId="399C2BBC" w14:textId="77777777" w:rsidR="00541A14" w:rsidRDefault="00541A14">
                                  <w:pPr>
                                    <w:pStyle w:val="Default"/>
                                    <w:rPr>
                                      <w:rFonts w:cs="Times New Roman"/>
                                      <w:color w:val="auto"/>
                                    </w:rPr>
                                  </w:pPr>
                                </w:p>
                              </w:tc>
                              <w:tc>
                                <w:tcPr>
                                  <w:tcW w:w="2377" w:type="dxa"/>
                                  <w:tcBorders>
                                    <w:top w:val="single" w:sz="62" w:space="0" w:color="000000"/>
                                    <w:bottom w:val="single" w:sz="62" w:space="0" w:color="000000"/>
                                  </w:tcBorders>
                                  <w:shd w:val="clear" w:color="auto" w:fill="FBF3CF"/>
                                  <w:vAlign w:val="center"/>
                                </w:tcPr>
                                <w:p w14:paraId="3746A609" w14:textId="77777777" w:rsidR="00541A14" w:rsidRDefault="00A450E1">
                                  <w:pPr>
                                    <w:pStyle w:val="Default"/>
                                    <w:rPr>
                                      <w:rFonts w:ascii="Helvetica 55 Roman" w:hAnsi="Helvetica 55 Roman" w:cs="Helvetica 55 Roman"/>
                                      <w:sz w:val="22"/>
                                      <w:szCs w:val="22"/>
                                    </w:rPr>
                                  </w:pPr>
                                  <w:r>
                                    <w:rPr>
                                      <w:rFonts w:ascii="Helvetica 55 Roman" w:hAnsi="Helvetica 55 Roman" w:cs="Helvetica 55 Roman"/>
                                      <w:sz w:val="22"/>
                                      <w:szCs w:val="22"/>
                                    </w:rPr>
                                    <w:t xml:space="preserve">4. Make a Decision </w:t>
                                  </w:r>
                                </w:p>
                              </w:tc>
                              <w:tc>
                                <w:tcPr>
                                  <w:tcW w:w="425" w:type="dxa"/>
                                  <w:vMerge/>
                                  <w:tcBorders>
                                    <w:top w:val="single" w:sz="18" w:space="0" w:color="000000"/>
                                    <w:bottom w:val="single" w:sz="26" w:space="0" w:color="000000"/>
                                    <w:right w:val="single" w:sz="4" w:space="0" w:color="000000"/>
                                  </w:tcBorders>
                                  <w:shd w:val="clear" w:color="auto" w:fill="F3703B"/>
                                  <w:vAlign w:val="center"/>
                                </w:tcPr>
                                <w:p w14:paraId="2C5C7FD6" w14:textId="77777777" w:rsidR="00541A14" w:rsidRDefault="00541A14">
                                  <w:pPr>
                                    <w:pStyle w:val="Default"/>
                                    <w:jc w:val="center"/>
                                    <w:rPr>
                                      <w:rFonts w:cs="Times New Roman"/>
                                      <w:color w:val="auto"/>
                                    </w:rPr>
                                  </w:pPr>
                                </w:p>
                              </w:tc>
                            </w:tr>
                            <w:tr w:rsidR="00541A14" w14:paraId="6C0DB198" w14:textId="77777777">
                              <w:trPr>
                                <w:trHeight w:val="282"/>
                              </w:trPr>
                              <w:tc>
                                <w:tcPr>
                                  <w:tcW w:w="425" w:type="dxa"/>
                                  <w:vMerge/>
                                  <w:tcBorders>
                                    <w:top w:val="single" w:sz="18" w:space="0" w:color="000000"/>
                                    <w:left w:val="single" w:sz="4" w:space="0" w:color="000000"/>
                                    <w:bottom w:val="single" w:sz="26" w:space="0" w:color="000000"/>
                                  </w:tcBorders>
                                  <w:shd w:val="clear" w:color="auto" w:fill="296A91"/>
                                  <w:vAlign w:val="center"/>
                                </w:tcPr>
                                <w:p w14:paraId="02FE8FB9" w14:textId="77777777" w:rsidR="00541A14" w:rsidRDefault="00541A14">
                                  <w:pPr>
                                    <w:pStyle w:val="Default"/>
                                    <w:rPr>
                                      <w:rFonts w:cs="Times New Roman"/>
                                      <w:color w:val="auto"/>
                                    </w:rPr>
                                  </w:pPr>
                                </w:p>
                              </w:tc>
                              <w:tc>
                                <w:tcPr>
                                  <w:tcW w:w="2377" w:type="dxa"/>
                                  <w:tcBorders>
                                    <w:top w:val="single" w:sz="62" w:space="0" w:color="000000"/>
                                    <w:bottom w:val="single" w:sz="26" w:space="0" w:color="000000"/>
                                  </w:tcBorders>
                                  <w:shd w:val="clear" w:color="auto" w:fill="FBF3CF"/>
                                  <w:vAlign w:val="center"/>
                                </w:tcPr>
                                <w:p w14:paraId="7ADC4DB2" w14:textId="77777777" w:rsidR="00541A14" w:rsidRDefault="00A450E1">
                                  <w:pPr>
                                    <w:pStyle w:val="Default"/>
                                    <w:rPr>
                                      <w:rFonts w:ascii="Helvetica 55 Roman" w:hAnsi="Helvetica 55 Roman" w:cs="Helvetica 55 Roman"/>
                                      <w:sz w:val="22"/>
                                      <w:szCs w:val="22"/>
                                    </w:rPr>
                                  </w:pPr>
                                  <w:r>
                                    <w:rPr>
                                      <w:rFonts w:ascii="Helvetica 55 Roman" w:hAnsi="Helvetica 55 Roman" w:cs="Helvetica 55 Roman"/>
                                      <w:sz w:val="22"/>
                                      <w:szCs w:val="22"/>
                                    </w:rPr>
                                    <w:t xml:space="preserve">5. Take Action </w:t>
                                  </w:r>
                                </w:p>
                              </w:tc>
                              <w:tc>
                                <w:tcPr>
                                  <w:tcW w:w="425" w:type="dxa"/>
                                  <w:vMerge/>
                                  <w:tcBorders>
                                    <w:top w:val="single" w:sz="18" w:space="0" w:color="000000"/>
                                    <w:bottom w:val="single" w:sz="26" w:space="0" w:color="000000"/>
                                    <w:right w:val="single" w:sz="4" w:space="0" w:color="000000"/>
                                  </w:tcBorders>
                                  <w:shd w:val="clear" w:color="auto" w:fill="F3703B"/>
                                  <w:vAlign w:val="center"/>
                                </w:tcPr>
                                <w:p w14:paraId="709DAD49" w14:textId="77777777" w:rsidR="00541A14" w:rsidRDefault="00541A14">
                                  <w:pPr>
                                    <w:pStyle w:val="Default"/>
                                    <w:jc w:val="center"/>
                                    <w:rPr>
                                      <w:rFonts w:cs="Times New Roman"/>
                                      <w:color w:val="auto"/>
                                    </w:rPr>
                                  </w:pPr>
                                </w:p>
                              </w:tc>
                            </w:tr>
                          </w:tbl>
                          <w:p w14:paraId="56CD5693"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56" type="#_x0000_t202" style="position:absolute;margin-left:187.55pt;margin-top:505.9pt;width:231.35pt;height:197.8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425"/>
                        <w:gridCol w:w="505"/>
                        <w:gridCol w:w="157"/>
                        <w:gridCol w:w="33"/>
                        <w:gridCol w:w="302"/>
                        <w:gridCol w:w="33"/>
                        <w:gridCol w:w="312"/>
                        <w:gridCol w:w="125"/>
                        <w:gridCol w:w="55"/>
                        <w:gridCol w:w="20"/>
                        <w:gridCol w:w="50"/>
                        <w:gridCol w:w="168"/>
                        <w:gridCol w:w="97"/>
                        <w:gridCol w:w="33"/>
                        <w:gridCol w:w="372"/>
                        <w:gridCol w:w="112"/>
                        <w:gridCol w:w="5"/>
                        <w:gridCol w:w="425"/>
                        <w:gridCol w:w="300"/>
                        <w:gridCol w:w="237"/>
                        <w:gridCol w:w="38"/>
                        <w:gridCol w:w="90"/>
                        <w:gridCol w:w="370"/>
                        <w:gridCol w:w="5"/>
                        <w:gridCol w:w="5"/>
                        <w:gridCol w:w="12"/>
                        <w:gridCol w:w="47"/>
                        <w:gridCol w:w="168"/>
                        <w:gridCol w:w="174"/>
                        <w:gridCol w:w="108"/>
                        <w:gridCol w:w="550"/>
                        <w:gridCol w:w="355"/>
                        <w:gridCol w:w="10"/>
                        <w:gridCol w:w="371"/>
                        <w:gridCol w:w="692"/>
                        <w:gridCol w:w="2232"/>
                        <w:gridCol w:w="77"/>
                        <w:gridCol w:w="15"/>
                        <w:gridCol w:w="8"/>
                      </w:tblGrid>
                      <w:tr w:rsidR="00000000" w14:paraId="30177E9F" w14:textId="77777777">
                        <w:tblPrEx>
                          <w:tblCellMar>
                            <w:top w:w="0" w:type="dxa"/>
                            <w:bottom w:w="0" w:type="dxa"/>
                          </w:tblCellMar>
                        </w:tblPrEx>
                        <w:trPr>
                          <w:gridAfter w:val="21"/>
                          <w:wAfter w:w="2926" w:type="dxa"/>
                          <w:trHeight w:val="307"/>
                        </w:trPr>
                        <w:tc>
                          <w:tcPr>
                            <w:tcW w:w="425" w:type="dxa"/>
                            <w:vMerge w:val="restart"/>
                            <w:tcBorders>
                              <w:top w:val="single" w:sz="18" w:space="0" w:color="000000"/>
                              <w:left w:val="single" w:sz="4" w:space="0" w:color="000000"/>
                              <w:bottom w:val="single" w:sz="26" w:space="0" w:color="000000"/>
                            </w:tcBorders>
                            <w:shd w:val="clear" w:color="auto" w:fill="296A91"/>
                            <w:vAlign w:val="center"/>
                          </w:tcPr>
                          <w:p w14:paraId="5EEF2D63" w14:textId="77777777" w:rsidR="00000000" w:rsidRDefault="00A450E1">
                            <w:pPr>
                              <w:pStyle w:val="Default"/>
                              <w:rPr>
                                <w:rFonts w:ascii="Helvetica 55 Roman" w:hAnsi="Helvetica 55 Roman" w:cs="Helvetica 55 Roman"/>
                                <w:color w:val="FFFFFF"/>
                                <w:sz w:val="22"/>
                                <w:szCs w:val="22"/>
                              </w:rPr>
                            </w:pPr>
                            <w:r>
                              <w:rPr>
                                <w:rFonts w:ascii="Helvetica 55 Roman" w:hAnsi="Helvetica 55 Roman" w:cs="Helvetica 55 Roman"/>
                                <w:color w:val="FFFFFF"/>
                                <w:sz w:val="22"/>
                                <w:szCs w:val="22"/>
                              </w:rPr>
                              <w:t>Consultation and Reporting</w:t>
                            </w:r>
                          </w:p>
                        </w:tc>
                        <w:tc>
                          <w:tcPr>
                            <w:tcW w:w="2377" w:type="dxa"/>
                            <w:gridSpan w:val="16"/>
                            <w:tcBorders>
                              <w:top w:val="single" w:sz="18" w:space="0" w:color="000000"/>
                              <w:bottom w:val="single" w:sz="62" w:space="0" w:color="000000"/>
                            </w:tcBorders>
                            <w:shd w:val="clear" w:color="auto" w:fill="FBF3CF"/>
                            <w:vAlign w:val="center"/>
                          </w:tcPr>
                          <w:p w14:paraId="18AD1266" w14:textId="77777777" w:rsidR="00000000" w:rsidRDefault="00A450E1">
                            <w:pPr>
                              <w:pStyle w:val="Default"/>
                              <w:rPr>
                                <w:rFonts w:ascii="Helvetica 55 Roman" w:hAnsi="Helvetica 55 Roman" w:cs="Helvetica 55 Roman"/>
                                <w:sz w:val="22"/>
                                <w:szCs w:val="22"/>
                              </w:rPr>
                            </w:pPr>
                            <w:r>
                              <w:rPr>
                                <w:rFonts w:ascii="Helvetica 55 Roman" w:hAnsi="Helvetica 55 Roman" w:cs="Helvetica 55 Roman"/>
                                <w:sz w:val="22"/>
                                <w:szCs w:val="22"/>
                              </w:rPr>
                              <w:t xml:space="preserve">1. Identify Hazards </w:t>
                            </w:r>
                          </w:p>
                        </w:tc>
                        <w:tc>
                          <w:tcPr>
                            <w:tcW w:w="425" w:type="dxa"/>
                            <w:vMerge w:val="restart"/>
                            <w:tcBorders>
                              <w:top w:val="single" w:sz="18" w:space="0" w:color="000000"/>
                              <w:bottom w:val="single" w:sz="26" w:space="0" w:color="000000"/>
                              <w:right w:val="single" w:sz="4" w:space="0" w:color="000000"/>
                            </w:tcBorders>
                            <w:shd w:val="clear" w:color="auto" w:fill="F3703B"/>
                            <w:vAlign w:val="center"/>
                          </w:tcPr>
                          <w:p w14:paraId="42A787F4" w14:textId="77777777" w:rsidR="00000000" w:rsidRDefault="00A450E1">
                            <w:pPr>
                              <w:pStyle w:val="Default"/>
                              <w:jc w:val="center"/>
                              <w:rPr>
                                <w:rFonts w:ascii="Helvetica 55 Roman" w:hAnsi="Helvetica 55 Roman" w:cs="Helvetica 55 Roman"/>
                                <w:color w:val="FFFFFF"/>
                                <w:sz w:val="22"/>
                                <w:szCs w:val="22"/>
                              </w:rPr>
                            </w:pPr>
                            <w:r>
                              <w:rPr>
                                <w:rFonts w:ascii="Helvetica 55 Roman" w:hAnsi="Helvetica 55 Roman" w:cs="Helvetica 55 Roman"/>
                                <w:color w:val="FFFFFF"/>
                                <w:sz w:val="22"/>
                                <w:szCs w:val="22"/>
                              </w:rPr>
                              <w:t>Monitoring and Review</w:t>
                            </w:r>
                          </w:p>
                        </w:tc>
                      </w:tr>
                      <w:tr w:rsidR="00000000" w14:paraId="71465821" w14:textId="77777777">
                        <w:tblPrEx>
                          <w:tblCellMar>
                            <w:top w:w="0" w:type="dxa"/>
                            <w:bottom w:w="0" w:type="dxa"/>
                          </w:tblCellMar>
                        </w:tblPrEx>
                        <w:trPr>
                          <w:gridAfter w:val="21"/>
                          <w:wAfter w:w="2926" w:type="dxa"/>
                          <w:trHeight w:val="307"/>
                        </w:trPr>
                        <w:tc>
                          <w:tcPr>
                            <w:tcW w:w="425" w:type="dxa"/>
                            <w:vMerge/>
                            <w:tcBorders>
                              <w:top w:val="single" w:sz="18" w:space="0" w:color="000000"/>
                              <w:left w:val="single" w:sz="4" w:space="0" w:color="000000"/>
                              <w:bottom w:val="single" w:sz="26" w:space="0" w:color="000000"/>
                            </w:tcBorders>
                            <w:shd w:val="clear" w:color="auto" w:fill="296A91"/>
                            <w:vAlign w:val="center"/>
                          </w:tcPr>
                          <w:p w14:paraId="10617195" w14:textId="77777777" w:rsidR="00000000" w:rsidRDefault="00A450E1">
                            <w:pPr>
                              <w:pStyle w:val="Default"/>
                              <w:rPr>
                                <w:rFonts w:cs="Times New Roman"/>
                                <w:color w:val="auto"/>
                              </w:rPr>
                            </w:pPr>
                          </w:p>
                        </w:tc>
                        <w:tc>
                          <w:tcPr>
                            <w:tcW w:w="2377" w:type="dxa"/>
                            <w:gridSpan w:val="16"/>
                            <w:tcBorders>
                              <w:top w:val="single" w:sz="62" w:space="0" w:color="000000"/>
                              <w:bottom w:val="single" w:sz="62" w:space="0" w:color="000000"/>
                            </w:tcBorders>
                            <w:shd w:val="clear" w:color="auto" w:fill="FBF3CF"/>
                            <w:vAlign w:val="center"/>
                          </w:tcPr>
                          <w:p w14:paraId="054F101D" w14:textId="77777777" w:rsidR="00000000" w:rsidRDefault="00A450E1">
                            <w:pPr>
                              <w:pStyle w:val="Default"/>
                              <w:rPr>
                                <w:rFonts w:ascii="Helvetica 55 Roman" w:hAnsi="Helvetica 55 Roman" w:cs="Helvetica 55 Roman"/>
                                <w:sz w:val="22"/>
                                <w:szCs w:val="22"/>
                              </w:rPr>
                            </w:pPr>
                            <w:r>
                              <w:rPr>
                                <w:rFonts w:ascii="Helvetica 55 Roman" w:hAnsi="Helvetica 55 Roman" w:cs="Helvetica 55 Roman"/>
                                <w:sz w:val="22"/>
                                <w:szCs w:val="22"/>
                              </w:rPr>
                              <w:t xml:space="preserve">2. Assess Risks </w:t>
                            </w:r>
                          </w:p>
                        </w:tc>
                        <w:tc>
                          <w:tcPr>
                            <w:tcW w:w="425" w:type="dxa"/>
                            <w:vMerge/>
                            <w:tcBorders>
                              <w:top w:val="single" w:sz="18" w:space="0" w:color="000000"/>
                              <w:bottom w:val="single" w:sz="26" w:space="0" w:color="000000"/>
                              <w:right w:val="single" w:sz="4" w:space="0" w:color="000000"/>
                            </w:tcBorders>
                            <w:shd w:val="clear" w:color="auto" w:fill="F3703B"/>
                            <w:vAlign w:val="center"/>
                          </w:tcPr>
                          <w:p w14:paraId="4529D7BD" w14:textId="77777777" w:rsidR="00000000" w:rsidRDefault="00A450E1">
                            <w:pPr>
                              <w:pStyle w:val="Default"/>
                              <w:jc w:val="center"/>
                              <w:rPr>
                                <w:rFonts w:cs="Times New Roman"/>
                                <w:color w:val="auto"/>
                              </w:rPr>
                            </w:pPr>
                          </w:p>
                        </w:tc>
                      </w:tr>
                      <w:tr w:rsidR="00000000" w14:paraId="50F3F21D" w14:textId="77777777">
                        <w:tblPrEx>
                          <w:tblCellMar>
                            <w:top w:w="0" w:type="dxa"/>
                            <w:bottom w:w="0" w:type="dxa"/>
                          </w:tblCellMar>
                        </w:tblPrEx>
                        <w:trPr>
                          <w:gridAfter w:val="21"/>
                          <w:wAfter w:w="2926" w:type="dxa"/>
                          <w:trHeight w:val="307"/>
                        </w:trPr>
                        <w:tc>
                          <w:tcPr>
                            <w:tcW w:w="425" w:type="dxa"/>
                            <w:vMerge/>
                            <w:tcBorders>
                              <w:top w:val="single" w:sz="18" w:space="0" w:color="000000"/>
                              <w:left w:val="single" w:sz="4" w:space="0" w:color="000000"/>
                              <w:bottom w:val="single" w:sz="26" w:space="0" w:color="000000"/>
                            </w:tcBorders>
                            <w:shd w:val="clear" w:color="auto" w:fill="296A91"/>
                            <w:vAlign w:val="center"/>
                          </w:tcPr>
                          <w:p w14:paraId="32AFEE76" w14:textId="77777777" w:rsidR="00000000" w:rsidRDefault="00A450E1">
                            <w:pPr>
                              <w:pStyle w:val="Default"/>
                              <w:rPr>
                                <w:rFonts w:cs="Times New Roman"/>
                                <w:color w:val="auto"/>
                              </w:rPr>
                            </w:pPr>
                          </w:p>
                        </w:tc>
                        <w:tc>
                          <w:tcPr>
                            <w:tcW w:w="2377" w:type="dxa"/>
                            <w:gridSpan w:val="16"/>
                            <w:tcBorders>
                              <w:top w:val="single" w:sz="62" w:space="0" w:color="000000"/>
                              <w:bottom w:val="single" w:sz="62" w:space="0" w:color="000000"/>
                            </w:tcBorders>
                            <w:shd w:val="clear" w:color="auto" w:fill="FBF3CF"/>
                            <w:vAlign w:val="center"/>
                          </w:tcPr>
                          <w:p w14:paraId="225C041A" w14:textId="77777777" w:rsidR="00000000" w:rsidRDefault="00A450E1">
                            <w:pPr>
                              <w:pStyle w:val="Default"/>
                              <w:rPr>
                                <w:rFonts w:ascii="Helvetica 55 Roman" w:hAnsi="Helvetica 55 Roman" w:cs="Helvetica 55 Roman"/>
                                <w:sz w:val="22"/>
                                <w:szCs w:val="22"/>
                              </w:rPr>
                            </w:pPr>
                            <w:r>
                              <w:rPr>
                                <w:rFonts w:ascii="Helvetica 55 Roman" w:hAnsi="Helvetica 55 Roman" w:cs="Helvetica 55 Roman"/>
                                <w:sz w:val="22"/>
                                <w:szCs w:val="22"/>
                              </w:rPr>
                              <w:t xml:space="preserve">3. Specify Risk Control Options </w:t>
                            </w:r>
                          </w:p>
                        </w:tc>
                        <w:tc>
                          <w:tcPr>
                            <w:tcW w:w="425" w:type="dxa"/>
                            <w:vMerge/>
                            <w:tcBorders>
                              <w:top w:val="single" w:sz="18" w:space="0" w:color="000000"/>
                              <w:bottom w:val="single" w:sz="26" w:space="0" w:color="000000"/>
                              <w:right w:val="single" w:sz="4" w:space="0" w:color="000000"/>
                            </w:tcBorders>
                            <w:shd w:val="clear" w:color="auto" w:fill="F3703B"/>
                            <w:vAlign w:val="center"/>
                          </w:tcPr>
                          <w:p w14:paraId="3F162E1D" w14:textId="77777777" w:rsidR="00000000" w:rsidRDefault="00A450E1">
                            <w:pPr>
                              <w:pStyle w:val="Default"/>
                              <w:jc w:val="center"/>
                              <w:rPr>
                                <w:rFonts w:cs="Times New Roman"/>
                                <w:color w:val="auto"/>
                              </w:rPr>
                            </w:pPr>
                          </w:p>
                        </w:tc>
                      </w:tr>
                      <w:tr w:rsidR="00000000" w14:paraId="73A1030A" w14:textId="77777777">
                        <w:tblPrEx>
                          <w:tblCellMar>
                            <w:top w:w="0" w:type="dxa"/>
                            <w:bottom w:w="0" w:type="dxa"/>
                          </w:tblCellMar>
                        </w:tblPrEx>
                        <w:trPr>
                          <w:gridAfter w:val="21"/>
                          <w:wAfter w:w="2926" w:type="dxa"/>
                          <w:trHeight w:val="307"/>
                        </w:trPr>
                        <w:tc>
                          <w:tcPr>
                            <w:tcW w:w="425" w:type="dxa"/>
                            <w:vMerge/>
                            <w:tcBorders>
                              <w:top w:val="single" w:sz="18" w:space="0" w:color="000000"/>
                              <w:left w:val="single" w:sz="4" w:space="0" w:color="000000"/>
                              <w:bottom w:val="single" w:sz="26" w:space="0" w:color="000000"/>
                            </w:tcBorders>
                            <w:shd w:val="clear" w:color="auto" w:fill="296A91"/>
                            <w:vAlign w:val="center"/>
                          </w:tcPr>
                          <w:p w14:paraId="399C2BBC" w14:textId="77777777" w:rsidR="00000000" w:rsidRDefault="00A450E1">
                            <w:pPr>
                              <w:pStyle w:val="Default"/>
                              <w:rPr>
                                <w:rFonts w:cs="Times New Roman"/>
                                <w:color w:val="auto"/>
                              </w:rPr>
                            </w:pPr>
                          </w:p>
                        </w:tc>
                        <w:tc>
                          <w:tcPr>
                            <w:tcW w:w="2377" w:type="dxa"/>
                            <w:gridSpan w:val="16"/>
                            <w:tcBorders>
                              <w:top w:val="single" w:sz="62" w:space="0" w:color="000000"/>
                              <w:bottom w:val="single" w:sz="62" w:space="0" w:color="000000"/>
                            </w:tcBorders>
                            <w:shd w:val="clear" w:color="auto" w:fill="FBF3CF"/>
                            <w:vAlign w:val="center"/>
                          </w:tcPr>
                          <w:p w14:paraId="3746A609" w14:textId="77777777" w:rsidR="00000000" w:rsidRDefault="00A450E1">
                            <w:pPr>
                              <w:pStyle w:val="Default"/>
                              <w:rPr>
                                <w:rFonts w:ascii="Helvetica 55 Roman" w:hAnsi="Helvetica 55 Roman" w:cs="Helvetica 55 Roman"/>
                                <w:sz w:val="22"/>
                                <w:szCs w:val="22"/>
                              </w:rPr>
                            </w:pPr>
                            <w:r>
                              <w:rPr>
                                <w:rFonts w:ascii="Helvetica 55 Roman" w:hAnsi="Helvetica 55 Roman" w:cs="Helvetica 55 Roman"/>
                                <w:sz w:val="22"/>
                                <w:szCs w:val="22"/>
                              </w:rPr>
                              <w:t xml:space="preserve">4. Make a Decision </w:t>
                            </w:r>
                          </w:p>
                        </w:tc>
                        <w:tc>
                          <w:tcPr>
                            <w:tcW w:w="425" w:type="dxa"/>
                            <w:vMerge/>
                            <w:tcBorders>
                              <w:top w:val="single" w:sz="18" w:space="0" w:color="000000"/>
                              <w:bottom w:val="single" w:sz="26" w:space="0" w:color="000000"/>
                              <w:right w:val="single" w:sz="4" w:space="0" w:color="000000"/>
                            </w:tcBorders>
                            <w:shd w:val="clear" w:color="auto" w:fill="F3703B"/>
                            <w:vAlign w:val="center"/>
                          </w:tcPr>
                          <w:p w14:paraId="2C5C7FD6" w14:textId="77777777" w:rsidR="00000000" w:rsidRDefault="00A450E1">
                            <w:pPr>
                              <w:pStyle w:val="Default"/>
                              <w:jc w:val="center"/>
                              <w:rPr>
                                <w:rFonts w:cs="Times New Roman"/>
                                <w:color w:val="auto"/>
                              </w:rPr>
                            </w:pPr>
                          </w:p>
                        </w:tc>
                      </w:tr>
                      <w:tr w:rsidR="00000000" w14:paraId="6C0DB198" w14:textId="77777777">
                        <w:tblPrEx>
                          <w:tblCellMar>
                            <w:top w:w="0" w:type="dxa"/>
                            <w:bottom w:w="0" w:type="dxa"/>
                          </w:tblCellMar>
                        </w:tblPrEx>
                        <w:trPr>
                          <w:gridAfter w:val="21"/>
                          <w:wAfter w:w="2926" w:type="dxa"/>
                          <w:trHeight w:val="282"/>
                        </w:trPr>
                        <w:tc>
                          <w:tcPr>
                            <w:tcW w:w="425" w:type="dxa"/>
                            <w:vMerge/>
                            <w:tcBorders>
                              <w:top w:val="single" w:sz="18" w:space="0" w:color="000000"/>
                              <w:left w:val="single" w:sz="4" w:space="0" w:color="000000"/>
                              <w:bottom w:val="single" w:sz="26" w:space="0" w:color="000000"/>
                            </w:tcBorders>
                            <w:shd w:val="clear" w:color="auto" w:fill="296A91"/>
                            <w:vAlign w:val="center"/>
                          </w:tcPr>
                          <w:p w14:paraId="02FE8FB9" w14:textId="77777777" w:rsidR="00000000" w:rsidRDefault="00A450E1">
                            <w:pPr>
                              <w:pStyle w:val="Default"/>
                              <w:rPr>
                                <w:rFonts w:cs="Times New Roman"/>
                                <w:color w:val="auto"/>
                              </w:rPr>
                            </w:pPr>
                          </w:p>
                        </w:tc>
                        <w:tc>
                          <w:tcPr>
                            <w:tcW w:w="2377" w:type="dxa"/>
                            <w:gridSpan w:val="16"/>
                            <w:tcBorders>
                              <w:top w:val="single" w:sz="62" w:space="0" w:color="000000"/>
                              <w:bottom w:val="single" w:sz="26" w:space="0" w:color="000000"/>
                            </w:tcBorders>
                            <w:shd w:val="clear" w:color="auto" w:fill="FBF3CF"/>
                            <w:vAlign w:val="center"/>
                          </w:tcPr>
                          <w:p w14:paraId="7ADC4DB2" w14:textId="77777777" w:rsidR="00000000" w:rsidRDefault="00A450E1">
                            <w:pPr>
                              <w:pStyle w:val="Default"/>
                              <w:rPr>
                                <w:rFonts w:ascii="Helvetica 55 Roman" w:hAnsi="Helvetica 55 Roman" w:cs="Helvetica 55 Roman"/>
                                <w:sz w:val="22"/>
                                <w:szCs w:val="22"/>
                              </w:rPr>
                            </w:pPr>
                            <w:r>
                              <w:rPr>
                                <w:rFonts w:ascii="Helvetica 55 Roman" w:hAnsi="Helvetica 55 Roman" w:cs="Helvetica 55 Roman"/>
                                <w:sz w:val="22"/>
                                <w:szCs w:val="22"/>
                              </w:rPr>
                              <w:t xml:space="preserve">5. Take Action </w:t>
                            </w:r>
                          </w:p>
                        </w:tc>
                        <w:tc>
                          <w:tcPr>
                            <w:tcW w:w="425" w:type="dxa"/>
                            <w:vMerge/>
                            <w:tcBorders>
                              <w:top w:val="single" w:sz="18" w:space="0" w:color="000000"/>
                              <w:bottom w:val="single" w:sz="26" w:space="0" w:color="000000"/>
                              <w:right w:val="single" w:sz="4" w:space="0" w:color="000000"/>
                            </w:tcBorders>
                            <w:shd w:val="clear" w:color="auto" w:fill="F3703B"/>
                            <w:vAlign w:val="center"/>
                          </w:tcPr>
                          <w:p w14:paraId="709DAD49" w14:textId="77777777" w:rsidR="00000000" w:rsidRDefault="00A450E1">
                            <w:pPr>
                              <w:pStyle w:val="Default"/>
                              <w:jc w:val="center"/>
                              <w:rPr>
                                <w:rFonts w:cs="Times New Roman"/>
                                <w:color w:val="auto"/>
                              </w:rPr>
                            </w:pPr>
                          </w:p>
                        </w:tc>
                      </w:tr>
                    </w:tbl>
                  </w:txbxContent>
                </v:textbox>
                <w10:wrap type="through" anchorx="page" anchory="page"/>
              </v:shape>
            </w:pict>
          </mc:Fallback>
        </mc:AlternateContent>
      </w:r>
    </w:p>
    <w:p w14:paraId="0186F696" w14:textId="77777777" w:rsidR="00541A14" w:rsidRDefault="00A450E1">
      <w:pPr>
        <w:pStyle w:val="CM57"/>
        <w:jc w:val="both"/>
        <w:rPr>
          <w:rFonts w:ascii="Palatino" w:hAnsi="Palatino" w:cs="Palatino"/>
          <w:sz w:val="20"/>
          <w:szCs w:val="20"/>
        </w:rPr>
      </w:pPr>
      <w:r>
        <w:rPr>
          <w:rFonts w:ascii="Palatino" w:hAnsi="Palatino" w:cs="Palatino"/>
          <w:i/>
          <w:iCs/>
          <w:sz w:val="20"/>
          <w:szCs w:val="20"/>
        </w:rPr>
        <w:t xml:space="preserve">Figure 29 – </w:t>
      </w:r>
    </w:p>
    <w:p w14:paraId="31AE80F4" w14:textId="77777777" w:rsidR="00541A14" w:rsidRDefault="00A450E1">
      <w:pPr>
        <w:pStyle w:val="CM174"/>
        <w:spacing w:after="437" w:line="240" w:lineRule="atLeast"/>
        <w:ind w:right="6092"/>
        <w:jc w:val="both"/>
        <w:rPr>
          <w:rFonts w:ascii="Palatino" w:hAnsi="Palatino" w:cs="Palatino"/>
          <w:sz w:val="20"/>
          <w:szCs w:val="20"/>
        </w:rPr>
      </w:pPr>
      <w:r>
        <w:rPr>
          <w:rFonts w:ascii="Palatino" w:hAnsi="Palatino" w:cs="Palatino"/>
          <w:i/>
          <w:iCs/>
          <w:sz w:val="20"/>
          <w:szCs w:val="20"/>
        </w:rPr>
        <w:t xml:space="preserve">The Risk Assessment and Risk Management process </w:t>
      </w:r>
    </w:p>
    <w:p w14:paraId="0E95EDC8" w14:textId="77777777" w:rsidR="00541A14" w:rsidRDefault="00A450E1">
      <w:pPr>
        <w:pStyle w:val="CM178"/>
        <w:spacing w:after="1397" w:line="296" w:lineRule="atLeast"/>
        <w:jc w:val="both"/>
        <w:rPr>
          <w:rFonts w:ascii="Palatino" w:hAnsi="Palatino" w:cs="Palatino"/>
          <w:sz w:val="20"/>
          <w:szCs w:val="20"/>
        </w:rPr>
      </w:pPr>
      <w:r>
        <w:rPr>
          <w:rFonts w:ascii="Palatino" w:hAnsi="Palatino" w:cs="Palatino"/>
          <w:sz w:val="20"/>
          <w:szCs w:val="20"/>
        </w:rPr>
        <w:t xml:space="preserve">The central part of the figure above illustrates the five steps in the risk management process. In addition the figure suggests a consultation and reporting element throughout the process. </w:t>
      </w:r>
    </w:p>
    <w:p w14:paraId="28CFC82B" w14:textId="77777777" w:rsidR="00541A14" w:rsidRDefault="00DD420F">
      <w:pPr>
        <w:pStyle w:val="Default"/>
        <w:framePr w:w="10739" w:wrap="auto" w:vAnchor="page" w:hAnchor="page" w:x="1434" w:y="16278"/>
        <w:rPr>
          <w:rFonts w:ascii="Palatino" w:hAnsi="Palatino" w:cs="Palatino"/>
          <w:color w:val="auto"/>
          <w:sz w:val="20"/>
          <w:szCs w:val="20"/>
        </w:rPr>
      </w:pPr>
      <w:r>
        <w:rPr>
          <w:rFonts w:ascii="Palatino" w:hAnsi="Palatino" w:cs="Palatino"/>
          <w:noProof/>
          <w:color w:val="auto"/>
          <w:sz w:val="20"/>
          <w:szCs w:val="20"/>
        </w:rPr>
        <w:drawing>
          <wp:inline distT="0" distB="0" distL="0" distR="0" wp14:anchorId="6B58DE27" wp14:editId="4B4F73A8">
            <wp:extent cx="7542530" cy="420370"/>
            <wp:effectExtent l="0" t="0" r="1270" b="1143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463EE5C9" w14:textId="77777777" w:rsidR="00541A14" w:rsidRDefault="00DD420F">
      <w:pPr>
        <w:pStyle w:val="Default"/>
        <w:pageBreakBefore/>
        <w:framePr w:w="24782" w:wrap="auto" w:vAnchor="page" w:hAnchor="page" w:x="101" w:y="1"/>
        <w:spacing w:after="780"/>
        <w:rPr>
          <w:rFonts w:ascii="Palatino" w:hAnsi="Palatino" w:cs="Palatino"/>
          <w:color w:val="auto"/>
          <w:sz w:val="20"/>
          <w:szCs w:val="20"/>
        </w:rPr>
      </w:pPr>
      <w:r>
        <w:rPr>
          <w:rFonts w:ascii="Palatino" w:hAnsi="Palatino" w:cs="Palatino"/>
          <w:noProof/>
          <w:color w:val="auto"/>
          <w:sz w:val="20"/>
          <w:szCs w:val="20"/>
        </w:rPr>
        <w:drawing>
          <wp:inline distT="0" distB="0" distL="0" distR="0" wp14:anchorId="4214C6AD" wp14:editId="3216C21A">
            <wp:extent cx="7553960" cy="106743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76022F23" w14:textId="77777777" w:rsidR="00541A14" w:rsidRDefault="00A450E1">
      <w:pPr>
        <w:pStyle w:val="CM2"/>
        <w:ind w:right="107"/>
        <w:rPr>
          <w:rFonts w:ascii="Palatino" w:hAnsi="Palatino" w:cs="Palatino"/>
          <w:sz w:val="20"/>
          <w:szCs w:val="20"/>
        </w:rPr>
      </w:pPr>
      <w:r>
        <w:rPr>
          <w:rFonts w:ascii="Palatino" w:hAnsi="Palatino" w:cs="Palatino"/>
          <w:sz w:val="20"/>
          <w:szCs w:val="20"/>
        </w:rPr>
        <w:t xml:space="preserve">Stakeholders including practitioners and users shall be consulted and receive feed back continuously to ensure the best possible input to the decision makers, to validate decisions and to ensure ownership of the results and actions taken. The monitoring and review part in the right </w:t>
      </w:r>
    </w:p>
    <w:p w14:paraId="4CD75570" w14:textId="77777777" w:rsidR="00541A14" w:rsidRDefault="00A450E1">
      <w:pPr>
        <w:pStyle w:val="CM4"/>
        <w:rPr>
          <w:rFonts w:ascii="Palatino" w:hAnsi="Palatino" w:cs="Palatino"/>
          <w:sz w:val="20"/>
          <w:szCs w:val="20"/>
        </w:rPr>
      </w:pPr>
      <w:r>
        <w:rPr>
          <w:rFonts w:ascii="Palatino" w:hAnsi="Palatino" w:cs="Palatino"/>
          <w:sz w:val="20"/>
          <w:szCs w:val="20"/>
        </w:rPr>
        <w:t xml:space="preserve">side of the model is vital to ensure a verification of the decisions, to check if initial conditions have </w:t>
      </w:r>
    </w:p>
    <w:p w14:paraId="7BF5901C"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changed and to constantly monitor if control measures are implemented effectively. </w:t>
      </w:r>
    </w:p>
    <w:p w14:paraId="16A68DFE" w14:textId="77777777" w:rsidR="00541A14" w:rsidRDefault="00A450E1">
      <w:pPr>
        <w:pStyle w:val="CM26"/>
        <w:ind w:right="177"/>
        <w:rPr>
          <w:rFonts w:ascii="Palatino" w:hAnsi="Palatino" w:cs="Palatino"/>
          <w:sz w:val="20"/>
          <w:szCs w:val="20"/>
        </w:rPr>
      </w:pPr>
      <w:r>
        <w:rPr>
          <w:rFonts w:ascii="Palatino" w:hAnsi="Palatino" w:cs="Palatino"/>
          <w:sz w:val="20"/>
          <w:szCs w:val="20"/>
        </w:rPr>
        <w:t xml:space="preserve">Human Factors are one of the most important contributory aspects to the cause and avoidance of incidents. Human Factors issues should be systematically treated within the risk management framework, associating them directly with the occurrence of incidents, underlying causes or </w:t>
      </w:r>
    </w:p>
    <w:p w14:paraId="0EA1FAA8"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influences. Appropriate techniques for incorporating human factors should be used. </w:t>
      </w:r>
    </w:p>
    <w:p w14:paraId="7719A70A"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Some of the most common techniques used are listed below: </w:t>
      </w:r>
    </w:p>
    <w:p w14:paraId="2E2A2AB0" w14:textId="77777777" w:rsidR="00541A14" w:rsidRDefault="00A450E1">
      <w:pPr>
        <w:pStyle w:val="Default"/>
        <w:numPr>
          <w:ilvl w:val="0"/>
          <w:numId w:val="160"/>
        </w:numPr>
        <w:rPr>
          <w:rFonts w:ascii="Palatino" w:hAnsi="Palatino" w:cs="Palatino"/>
          <w:color w:val="auto"/>
          <w:sz w:val="20"/>
          <w:szCs w:val="20"/>
        </w:rPr>
      </w:pPr>
      <w:r>
        <w:rPr>
          <w:rFonts w:ascii="Palatino" w:hAnsi="Palatino" w:cs="Palatino"/>
          <w:color w:val="auto"/>
          <w:sz w:val="20"/>
          <w:szCs w:val="20"/>
        </w:rPr>
        <w:t xml:space="preserve">Questionnaires. </w:t>
      </w:r>
    </w:p>
    <w:p w14:paraId="22B465C0" w14:textId="77777777" w:rsidR="00541A14" w:rsidRDefault="00A450E1">
      <w:pPr>
        <w:pStyle w:val="Default"/>
        <w:numPr>
          <w:ilvl w:val="0"/>
          <w:numId w:val="160"/>
        </w:numPr>
        <w:rPr>
          <w:rFonts w:ascii="Palatino" w:hAnsi="Palatino" w:cs="Palatino"/>
          <w:color w:val="auto"/>
          <w:sz w:val="20"/>
          <w:szCs w:val="20"/>
        </w:rPr>
      </w:pPr>
      <w:r>
        <w:rPr>
          <w:rFonts w:ascii="Palatino" w:hAnsi="Palatino" w:cs="Palatino"/>
          <w:color w:val="auto"/>
          <w:sz w:val="20"/>
          <w:szCs w:val="20"/>
        </w:rPr>
        <w:t xml:space="preserve">Observations. </w:t>
      </w:r>
    </w:p>
    <w:p w14:paraId="7DB038FC" w14:textId="77777777" w:rsidR="00541A14" w:rsidRDefault="00A450E1">
      <w:pPr>
        <w:pStyle w:val="Default"/>
        <w:numPr>
          <w:ilvl w:val="0"/>
          <w:numId w:val="160"/>
        </w:numPr>
        <w:rPr>
          <w:rFonts w:ascii="Palatino" w:hAnsi="Palatino" w:cs="Palatino"/>
          <w:color w:val="auto"/>
          <w:sz w:val="20"/>
          <w:szCs w:val="20"/>
        </w:rPr>
      </w:pPr>
      <w:r>
        <w:rPr>
          <w:rFonts w:ascii="Palatino" w:hAnsi="Palatino" w:cs="Palatino"/>
          <w:color w:val="auto"/>
          <w:sz w:val="20"/>
          <w:szCs w:val="20"/>
        </w:rPr>
        <w:t xml:space="preserve">Interviews. </w:t>
      </w:r>
    </w:p>
    <w:p w14:paraId="6C870B43" w14:textId="77777777" w:rsidR="00541A14" w:rsidRDefault="00A450E1">
      <w:pPr>
        <w:pStyle w:val="Default"/>
        <w:numPr>
          <w:ilvl w:val="0"/>
          <w:numId w:val="160"/>
        </w:numPr>
        <w:rPr>
          <w:rFonts w:ascii="Palatino" w:hAnsi="Palatino" w:cs="Palatino"/>
          <w:color w:val="auto"/>
          <w:sz w:val="20"/>
          <w:szCs w:val="20"/>
        </w:rPr>
      </w:pPr>
      <w:r>
        <w:rPr>
          <w:rFonts w:ascii="Palatino" w:hAnsi="Palatino" w:cs="Palatino"/>
          <w:color w:val="auto"/>
          <w:sz w:val="20"/>
          <w:szCs w:val="20"/>
        </w:rPr>
        <w:t xml:space="preserve">Simulation studies. </w:t>
      </w:r>
    </w:p>
    <w:p w14:paraId="13C802F4" w14:textId="77777777" w:rsidR="00541A14" w:rsidRDefault="00A450E1">
      <w:pPr>
        <w:pStyle w:val="Default"/>
        <w:numPr>
          <w:ilvl w:val="0"/>
          <w:numId w:val="160"/>
        </w:numPr>
        <w:rPr>
          <w:rFonts w:ascii="Palatino" w:hAnsi="Palatino" w:cs="Palatino"/>
          <w:color w:val="auto"/>
          <w:sz w:val="20"/>
          <w:szCs w:val="20"/>
        </w:rPr>
      </w:pPr>
      <w:r>
        <w:rPr>
          <w:rFonts w:ascii="Palatino" w:hAnsi="Palatino" w:cs="Palatino"/>
          <w:color w:val="auto"/>
          <w:sz w:val="20"/>
          <w:szCs w:val="20"/>
        </w:rPr>
        <w:t xml:space="preserve">Hierarchical Task Analysis. </w:t>
      </w:r>
    </w:p>
    <w:p w14:paraId="7B25F69F" w14:textId="77777777" w:rsidR="00541A14" w:rsidRDefault="00A450E1">
      <w:pPr>
        <w:pStyle w:val="Default"/>
        <w:numPr>
          <w:ilvl w:val="0"/>
          <w:numId w:val="160"/>
        </w:numPr>
        <w:rPr>
          <w:rFonts w:ascii="Palatino" w:hAnsi="Palatino" w:cs="Palatino"/>
          <w:color w:val="auto"/>
          <w:sz w:val="20"/>
          <w:szCs w:val="20"/>
        </w:rPr>
      </w:pPr>
      <w:r>
        <w:rPr>
          <w:rFonts w:ascii="Palatino" w:hAnsi="Palatino" w:cs="Palatino"/>
          <w:color w:val="auto"/>
          <w:sz w:val="20"/>
          <w:szCs w:val="20"/>
        </w:rPr>
        <w:t xml:space="preserve">Cognitive Walk-Through. </w:t>
      </w:r>
    </w:p>
    <w:p w14:paraId="7A732380" w14:textId="77777777" w:rsidR="00541A14" w:rsidRDefault="00A450E1">
      <w:pPr>
        <w:pStyle w:val="Default"/>
        <w:numPr>
          <w:ilvl w:val="0"/>
          <w:numId w:val="160"/>
        </w:numPr>
        <w:rPr>
          <w:rFonts w:ascii="Palatino" w:hAnsi="Palatino" w:cs="Palatino"/>
          <w:color w:val="auto"/>
          <w:sz w:val="20"/>
          <w:szCs w:val="20"/>
        </w:rPr>
      </w:pPr>
      <w:r>
        <w:rPr>
          <w:rFonts w:ascii="Palatino" w:hAnsi="Palatino" w:cs="Palatino"/>
          <w:color w:val="auto"/>
          <w:sz w:val="20"/>
          <w:szCs w:val="20"/>
        </w:rPr>
        <w:t xml:space="preserve">Cognitive Task Analysis. </w:t>
      </w:r>
    </w:p>
    <w:p w14:paraId="2E25DB83" w14:textId="77777777" w:rsidR="00541A14" w:rsidRDefault="00A450E1">
      <w:pPr>
        <w:pStyle w:val="Default"/>
        <w:numPr>
          <w:ilvl w:val="0"/>
          <w:numId w:val="160"/>
        </w:numPr>
        <w:rPr>
          <w:rFonts w:ascii="Palatino" w:hAnsi="Palatino" w:cs="Palatino"/>
          <w:color w:val="auto"/>
          <w:sz w:val="20"/>
          <w:szCs w:val="20"/>
        </w:rPr>
      </w:pPr>
      <w:r>
        <w:rPr>
          <w:rFonts w:ascii="Palatino" w:hAnsi="Palatino" w:cs="Palatino"/>
          <w:color w:val="auto"/>
          <w:sz w:val="20"/>
          <w:szCs w:val="20"/>
        </w:rPr>
        <w:t xml:space="preserve">Expert Judgment / Expert Evaluation. </w:t>
      </w:r>
    </w:p>
    <w:p w14:paraId="7D630DB9" w14:textId="77777777" w:rsidR="00541A14" w:rsidRDefault="00A450E1">
      <w:pPr>
        <w:pStyle w:val="Default"/>
        <w:numPr>
          <w:ilvl w:val="0"/>
          <w:numId w:val="160"/>
        </w:numPr>
        <w:rPr>
          <w:rFonts w:ascii="Palatino" w:hAnsi="Palatino" w:cs="Palatino"/>
          <w:color w:val="auto"/>
          <w:sz w:val="20"/>
          <w:szCs w:val="20"/>
        </w:rPr>
      </w:pPr>
      <w:r>
        <w:rPr>
          <w:rFonts w:ascii="Palatino" w:hAnsi="Palatino" w:cs="Palatino"/>
          <w:color w:val="auto"/>
          <w:sz w:val="20"/>
          <w:szCs w:val="20"/>
        </w:rPr>
        <w:t xml:space="preserve">Human Reliability Assessment. </w:t>
      </w:r>
    </w:p>
    <w:p w14:paraId="5C1269F1" w14:textId="77777777" w:rsidR="00541A14" w:rsidRDefault="00541A14">
      <w:pPr>
        <w:pStyle w:val="Default"/>
        <w:rPr>
          <w:rFonts w:ascii="Palatino" w:hAnsi="Palatino" w:cs="Palatino"/>
          <w:color w:val="auto"/>
          <w:sz w:val="20"/>
          <w:szCs w:val="20"/>
        </w:rPr>
      </w:pPr>
    </w:p>
    <w:p w14:paraId="49772694" w14:textId="77777777" w:rsidR="00541A14" w:rsidRDefault="00A450E1">
      <w:pPr>
        <w:pStyle w:val="CM4"/>
        <w:rPr>
          <w:rFonts w:ascii="Palatino" w:hAnsi="Palatino" w:cs="Palatino"/>
          <w:sz w:val="20"/>
          <w:szCs w:val="20"/>
        </w:rPr>
      </w:pPr>
      <w:r>
        <w:rPr>
          <w:rFonts w:ascii="Palatino" w:hAnsi="Palatino" w:cs="Palatino"/>
          <w:sz w:val="20"/>
          <w:szCs w:val="20"/>
        </w:rPr>
        <w:t xml:space="preserve">Without the application of Human Factors based techniques and taking Human Factors aspects </w:t>
      </w:r>
    </w:p>
    <w:p w14:paraId="7B0FE869" w14:textId="77777777" w:rsidR="00541A14" w:rsidRDefault="00A450E1">
      <w:pPr>
        <w:pStyle w:val="CM4"/>
        <w:rPr>
          <w:rFonts w:ascii="Palatino" w:hAnsi="Palatino" w:cs="Palatino"/>
          <w:sz w:val="20"/>
          <w:szCs w:val="20"/>
        </w:rPr>
      </w:pPr>
      <w:r>
        <w:rPr>
          <w:rFonts w:ascii="Palatino" w:hAnsi="Palatino" w:cs="Palatino"/>
          <w:sz w:val="20"/>
          <w:szCs w:val="20"/>
        </w:rPr>
        <w:t xml:space="preserve">into consideration in any of the five steps in the risk management there is a great risk that vital </w:t>
      </w:r>
    </w:p>
    <w:p w14:paraId="2C53EC85"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elements will be inadequately carried out. </w:t>
      </w:r>
    </w:p>
    <w:p w14:paraId="2AA58535"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If the human factor elements are missing, it is also likely that the result of a risk assessment related to any incident, accident, near miss or observations of undesired conditions, will fail as e.g. the root causes may be completely missed. </w:t>
      </w:r>
    </w:p>
    <w:p w14:paraId="2AF40265" w14:textId="77777777" w:rsidR="00541A14" w:rsidRDefault="00A450E1">
      <w:pPr>
        <w:pStyle w:val="CM173"/>
        <w:spacing w:after="340" w:line="291" w:lineRule="atLeast"/>
        <w:rPr>
          <w:rFonts w:ascii="Palatino" w:hAnsi="Palatino" w:cs="Palatino"/>
          <w:sz w:val="20"/>
          <w:szCs w:val="20"/>
        </w:rPr>
      </w:pPr>
      <w:r>
        <w:rPr>
          <w:rFonts w:ascii="Palatino" w:hAnsi="Palatino" w:cs="Palatino"/>
          <w:sz w:val="20"/>
          <w:szCs w:val="20"/>
        </w:rPr>
        <w:t xml:space="preserve">To understand the concept of human factors in a socio-technical system and what it includes reference can be made to the Septigon Model shown in Figure 30. The model describes seven basic areas to be considered as well as the interaction between any of the elements. The model can be used as a checklist in identifying hazards. </w:t>
      </w:r>
    </w:p>
    <w:p w14:paraId="6E0CA2BF"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8.3.3 Levels of Risk </w:t>
      </w:r>
    </w:p>
    <w:p w14:paraId="75CC7338" w14:textId="77777777" w:rsidR="00541A14" w:rsidRDefault="00A450E1">
      <w:pPr>
        <w:pStyle w:val="CM3"/>
        <w:ind w:right="402"/>
        <w:rPr>
          <w:rFonts w:ascii="Palatino" w:hAnsi="Palatino" w:cs="Palatino"/>
          <w:color w:val="000000"/>
          <w:sz w:val="20"/>
          <w:szCs w:val="20"/>
        </w:rPr>
      </w:pPr>
      <w:r>
        <w:rPr>
          <w:rFonts w:ascii="Palatino" w:hAnsi="Palatino" w:cs="Palatino"/>
          <w:color w:val="000000"/>
          <w:sz w:val="20"/>
          <w:szCs w:val="20"/>
        </w:rPr>
        <w:t xml:space="preserve">Once the risks have been identified it is generally useful to rank them in order of consequence. Resources can then be assigned to treating the most serious risks first. The matrix at Figure 31 </w:t>
      </w:r>
    </w:p>
    <w:p w14:paraId="3F6D12AC" w14:textId="77777777" w:rsidR="00541A14" w:rsidRDefault="00A450E1">
      <w:pPr>
        <w:pStyle w:val="CM201"/>
        <w:spacing w:after="2517" w:line="291" w:lineRule="atLeast"/>
        <w:rPr>
          <w:rFonts w:ascii="Palatino" w:hAnsi="Palatino" w:cs="Palatino"/>
          <w:color w:val="000000"/>
          <w:sz w:val="20"/>
          <w:szCs w:val="20"/>
        </w:rPr>
      </w:pPr>
      <w:r>
        <w:rPr>
          <w:rFonts w:ascii="Palatino" w:hAnsi="Palatino" w:cs="Palatino"/>
          <w:color w:val="000000"/>
          <w:sz w:val="20"/>
          <w:szCs w:val="20"/>
        </w:rPr>
        <w:t xml:space="preserve">provides a basis for prioritising risks. </w:t>
      </w:r>
    </w:p>
    <w:p w14:paraId="5672168B"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2E211E76" wp14:editId="479A657D">
            <wp:extent cx="7553960" cy="420370"/>
            <wp:effectExtent l="0" t="0" r="0" b="1143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71D7A5F7" w14:textId="77777777" w:rsidR="00541A14" w:rsidRDefault="00DD420F">
      <w:pPr>
        <w:pStyle w:val="Default"/>
        <w:pageBreakBefore/>
        <w:framePr w:w="12876" w:wrap="auto" w:vAnchor="page" w:hAnchor="page" w:x="101" w:y="1"/>
        <w:spacing w:after="960"/>
        <w:rPr>
          <w:rFonts w:ascii="Palatino" w:hAnsi="Palatino" w:cs="Palatino"/>
          <w:sz w:val="20"/>
          <w:szCs w:val="20"/>
        </w:rPr>
      </w:pPr>
      <w:r>
        <w:rPr>
          <w:rFonts w:ascii="Palatino" w:hAnsi="Palatino" w:cs="Palatino"/>
          <w:noProof/>
          <w:sz w:val="20"/>
          <w:szCs w:val="20"/>
        </w:rPr>
        <w:drawing>
          <wp:inline distT="0" distB="0" distL="0" distR="0" wp14:anchorId="09345756" wp14:editId="38073970">
            <wp:extent cx="7553960" cy="1056640"/>
            <wp:effectExtent l="0" t="0" r="0" b="1016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7906DBE7" w14:textId="77777777" w:rsidR="00541A14" w:rsidRDefault="00DD420F">
      <w:pPr>
        <w:pStyle w:val="Default"/>
        <w:framePr w:w="9890" w:wrap="auto" w:vAnchor="page" w:hAnchor="page" w:x="1384" w:y="2610"/>
        <w:spacing w:after="200"/>
        <w:rPr>
          <w:rFonts w:ascii="Palatino" w:hAnsi="Palatino" w:cs="Palatino"/>
          <w:sz w:val="20"/>
          <w:szCs w:val="20"/>
        </w:rPr>
      </w:pPr>
      <w:r>
        <w:rPr>
          <w:rFonts w:ascii="Palatino" w:hAnsi="Palatino" w:cs="Palatino"/>
          <w:noProof/>
          <w:sz w:val="20"/>
          <w:szCs w:val="20"/>
        </w:rPr>
        <w:drawing>
          <wp:inline distT="0" distB="0" distL="0" distR="0" wp14:anchorId="08334433" wp14:editId="31CC0915">
            <wp:extent cx="4736465" cy="5764530"/>
            <wp:effectExtent l="0" t="0" r="0" b="127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4736465" cy="5764530"/>
                    </a:xfrm>
                    <a:prstGeom prst="rect">
                      <a:avLst/>
                    </a:prstGeom>
                    <a:noFill/>
                    <a:ln>
                      <a:noFill/>
                    </a:ln>
                  </pic:spPr>
                </pic:pic>
              </a:graphicData>
            </a:graphic>
          </wp:inline>
        </w:drawing>
      </w:r>
      <w:r w:rsidR="00A450E1">
        <w:rPr>
          <w:rFonts w:ascii="Palatino" w:hAnsi="Palatino" w:cs="Palatino"/>
          <w:i/>
          <w:iCs/>
          <w:sz w:val="20"/>
          <w:szCs w:val="20"/>
        </w:rPr>
        <w:t xml:space="preserve">management process. </w:t>
      </w:r>
    </w:p>
    <w:p w14:paraId="172F31C5"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89984" behindDoc="0" locked="0" layoutInCell="0" allowOverlap="1" wp14:anchorId="7B853913" wp14:editId="40EB94EC">
                <wp:simplePos x="0" y="0"/>
                <wp:positionH relativeFrom="page">
                  <wp:posOffset>1979295</wp:posOffset>
                </wp:positionH>
                <wp:positionV relativeFrom="page">
                  <wp:posOffset>6844665</wp:posOffset>
                </wp:positionV>
                <wp:extent cx="3467735" cy="1931670"/>
                <wp:effectExtent l="0" t="0" r="0" b="0"/>
                <wp:wrapThrough wrapText="bothSides">
                  <wp:wrapPolygon edited="0">
                    <wp:start x="0" y="0"/>
                    <wp:lineTo x="21600" y="0"/>
                    <wp:lineTo x="21600" y="21600"/>
                    <wp:lineTo x="0" y="21600"/>
                    <wp:lineTo x="0" y="0"/>
                  </wp:wrapPolygon>
                </wp:wrapThrough>
                <wp:docPr id="525"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735" cy="1931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930"/>
                              <w:gridCol w:w="952"/>
                              <w:gridCol w:w="907"/>
                              <w:gridCol w:w="965"/>
                              <w:gridCol w:w="907"/>
                            </w:tblGrid>
                            <w:tr w:rsidR="00541A14" w14:paraId="3DDBBC4B" w14:textId="77777777">
                              <w:trPr>
                                <w:trHeight w:val="361"/>
                              </w:trPr>
                              <w:tc>
                                <w:tcPr>
                                  <w:tcW w:w="930" w:type="dxa"/>
                                  <w:vMerge w:val="restart"/>
                                  <w:tcBorders>
                                    <w:top w:val="single" w:sz="4" w:space="0" w:color="180804"/>
                                    <w:left w:val="single" w:sz="4" w:space="0" w:color="000000"/>
                                    <w:bottom w:val="single" w:sz="4" w:space="0" w:color="000000"/>
                                    <w:right w:val="single" w:sz="4" w:space="0" w:color="000000"/>
                                  </w:tcBorders>
                                  <w:shd w:val="clear" w:color="auto" w:fill="FBF3CF"/>
                                  <w:vAlign w:val="center"/>
                                </w:tcPr>
                                <w:p w14:paraId="440E334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Impact </w:t>
                                  </w:r>
                                </w:p>
                              </w:tc>
                              <w:tc>
                                <w:tcPr>
                                  <w:tcW w:w="952" w:type="dxa"/>
                                  <w:tcBorders>
                                    <w:top w:val="single" w:sz="4" w:space="0" w:color="180804"/>
                                    <w:left w:val="single" w:sz="4" w:space="0" w:color="000000"/>
                                    <w:bottom w:val="single" w:sz="4" w:space="0" w:color="2C160C"/>
                                    <w:right w:val="single" w:sz="4" w:space="0" w:color="091007"/>
                                  </w:tcBorders>
                                  <w:shd w:val="clear" w:color="auto" w:fill="FDF8E3"/>
                                  <w:vAlign w:val="center"/>
                                </w:tcPr>
                                <w:p w14:paraId="6FD21CA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High </w:t>
                                  </w:r>
                                </w:p>
                              </w:tc>
                              <w:tc>
                                <w:tcPr>
                                  <w:tcW w:w="907" w:type="dxa"/>
                                  <w:tcBorders>
                                    <w:top w:val="single" w:sz="4" w:space="0" w:color="180804"/>
                                    <w:left w:val="single" w:sz="4" w:space="0" w:color="091007"/>
                                    <w:bottom w:val="single" w:sz="4" w:space="0" w:color="2C160C"/>
                                    <w:right w:val="single" w:sz="4" w:space="0" w:color="1C1D0F"/>
                                  </w:tcBorders>
                                  <w:shd w:val="clear" w:color="auto" w:fill="E49A22"/>
                                </w:tcPr>
                                <w:p w14:paraId="6AA34302" w14:textId="77777777" w:rsidR="00541A14" w:rsidRDefault="00541A14">
                                  <w:pPr>
                                    <w:pStyle w:val="Default"/>
                                    <w:rPr>
                                      <w:rFonts w:cs="Times New Roman"/>
                                      <w:color w:val="auto"/>
                                    </w:rPr>
                                  </w:pPr>
                                </w:p>
                              </w:tc>
                              <w:tc>
                                <w:tcPr>
                                  <w:tcW w:w="965" w:type="dxa"/>
                                  <w:tcBorders>
                                    <w:top w:val="single" w:sz="4" w:space="0" w:color="180804"/>
                                    <w:left w:val="single" w:sz="4" w:space="0" w:color="1C1D0F"/>
                                    <w:bottom w:val="single" w:sz="4" w:space="0" w:color="2C160C"/>
                                    <w:right w:val="single" w:sz="4" w:space="0" w:color="31190D"/>
                                  </w:tcBorders>
                                  <w:shd w:val="clear" w:color="auto" w:fill="EF3C40"/>
                                </w:tcPr>
                                <w:p w14:paraId="144E910D" w14:textId="77777777" w:rsidR="00541A14" w:rsidRDefault="00541A14">
                                  <w:pPr>
                                    <w:pStyle w:val="Default"/>
                                    <w:jc w:val="center"/>
                                    <w:rPr>
                                      <w:rFonts w:cs="Times New Roman"/>
                                      <w:color w:val="auto"/>
                                    </w:rPr>
                                  </w:pPr>
                                </w:p>
                              </w:tc>
                              <w:tc>
                                <w:tcPr>
                                  <w:tcW w:w="907" w:type="dxa"/>
                                  <w:tcBorders>
                                    <w:top w:val="single" w:sz="4" w:space="0" w:color="180804"/>
                                    <w:left w:val="single" w:sz="4" w:space="0" w:color="31190D"/>
                                    <w:bottom w:val="single" w:sz="4" w:space="0" w:color="2C160C"/>
                                    <w:right w:val="single" w:sz="4" w:space="0" w:color="1D0B06"/>
                                  </w:tcBorders>
                                  <w:shd w:val="clear" w:color="auto" w:fill="EF3C40"/>
                                </w:tcPr>
                                <w:p w14:paraId="251F53BA" w14:textId="77777777" w:rsidR="00541A14" w:rsidRDefault="00541A14">
                                  <w:pPr>
                                    <w:pStyle w:val="Default"/>
                                    <w:rPr>
                                      <w:rFonts w:cs="Times New Roman"/>
                                      <w:color w:val="auto"/>
                                    </w:rPr>
                                  </w:pPr>
                                </w:p>
                              </w:tc>
                            </w:tr>
                            <w:tr w:rsidR="00541A14" w14:paraId="621F57EC" w14:textId="77777777">
                              <w:trPr>
                                <w:trHeight w:val="353"/>
                              </w:trPr>
                              <w:tc>
                                <w:tcPr>
                                  <w:tcW w:w="930" w:type="dxa"/>
                                  <w:vMerge/>
                                  <w:tcBorders>
                                    <w:top w:val="single" w:sz="4" w:space="0" w:color="180804"/>
                                    <w:left w:val="single" w:sz="4" w:space="0" w:color="000000"/>
                                    <w:bottom w:val="single" w:sz="4" w:space="0" w:color="000000"/>
                                    <w:right w:val="single" w:sz="4" w:space="0" w:color="000000"/>
                                  </w:tcBorders>
                                  <w:shd w:val="clear" w:color="auto" w:fill="FBF3CF"/>
                                  <w:vAlign w:val="center"/>
                                </w:tcPr>
                                <w:p w14:paraId="31D36C27" w14:textId="77777777" w:rsidR="00541A14" w:rsidRDefault="00541A14">
                                  <w:pPr>
                                    <w:pStyle w:val="Default"/>
                                    <w:jc w:val="center"/>
                                    <w:rPr>
                                      <w:rFonts w:cs="Times New Roman"/>
                                      <w:color w:val="auto"/>
                                    </w:rPr>
                                  </w:pPr>
                                </w:p>
                              </w:tc>
                              <w:tc>
                                <w:tcPr>
                                  <w:tcW w:w="952" w:type="dxa"/>
                                  <w:tcBorders>
                                    <w:top w:val="single" w:sz="4" w:space="0" w:color="2C160C"/>
                                    <w:left w:val="single" w:sz="4" w:space="0" w:color="000000"/>
                                    <w:bottom w:val="single" w:sz="4" w:space="0" w:color="191A0D"/>
                                    <w:right w:val="single" w:sz="4" w:space="0" w:color="091007"/>
                                  </w:tcBorders>
                                  <w:shd w:val="clear" w:color="auto" w:fill="FDF8E3"/>
                                  <w:vAlign w:val="center"/>
                                </w:tcPr>
                                <w:p w14:paraId="16E8E50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Medium </w:t>
                                  </w:r>
                                </w:p>
                              </w:tc>
                              <w:tc>
                                <w:tcPr>
                                  <w:tcW w:w="907" w:type="dxa"/>
                                  <w:tcBorders>
                                    <w:top w:val="single" w:sz="4" w:space="0" w:color="2C160C"/>
                                    <w:left w:val="single" w:sz="4" w:space="0" w:color="091007"/>
                                    <w:bottom w:val="single" w:sz="4" w:space="0" w:color="191A0D"/>
                                    <w:right w:val="single" w:sz="4" w:space="0" w:color="1C1D0F"/>
                                  </w:tcBorders>
                                  <w:shd w:val="clear" w:color="auto" w:fill="007452"/>
                                </w:tcPr>
                                <w:p w14:paraId="7FA6A3EA" w14:textId="77777777" w:rsidR="00541A14" w:rsidRDefault="00541A14">
                                  <w:pPr>
                                    <w:pStyle w:val="Default"/>
                                    <w:jc w:val="center"/>
                                    <w:rPr>
                                      <w:rFonts w:cs="Times New Roman"/>
                                      <w:color w:val="auto"/>
                                    </w:rPr>
                                  </w:pPr>
                                </w:p>
                              </w:tc>
                              <w:tc>
                                <w:tcPr>
                                  <w:tcW w:w="965" w:type="dxa"/>
                                  <w:tcBorders>
                                    <w:top w:val="single" w:sz="4" w:space="0" w:color="2C160C"/>
                                    <w:left w:val="single" w:sz="4" w:space="0" w:color="1C1D0F"/>
                                    <w:bottom w:val="single" w:sz="4" w:space="0" w:color="191A0D"/>
                                    <w:right w:val="single" w:sz="4" w:space="0" w:color="31190D"/>
                                  </w:tcBorders>
                                  <w:shd w:val="clear" w:color="auto" w:fill="E49A22"/>
                                </w:tcPr>
                                <w:p w14:paraId="36EB4391" w14:textId="77777777" w:rsidR="00541A14" w:rsidRDefault="00541A14">
                                  <w:pPr>
                                    <w:pStyle w:val="Default"/>
                                    <w:rPr>
                                      <w:rFonts w:cs="Times New Roman"/>
                                      <w:color w:val="auto"/>
                                    </w:rPr>
                                  </w:pPr>
                                </w:p>
                              </w:tc>
                              <w:tc>
                                <w:tcPr>
                                  <w:tcW w:w="907" w:type="dxa"/>
                                  <w:tcBorders>
                                    <w:top w:val="single" w:sz="4" w:space="0" w:color="2C160C"/>
                                    <w:left w:val="single" w:sz="4" w:space="0" w:color="31190D"/>
                                    <w:bottom w:val="single" w:sz="4" w:space="0" w:color="191A0D"/>
                                    <w:right w:val="single" w:sz="4" w:space="0" w:color="1D0B06"/>
                                  </w:tcBorders>
                                  <w:shd w:val="clear" w:color="auto" w:fill="EF3C40"/>
                                </w:tcPr>
                                <w:p w14:paraId="7A8BD961" w14:textId="77777777" w:rsidR="00541A14" w:rsidRDefault="00541A14">
                                  <w:pPr>
                                    <w:pStyle w:val="Default"/>
                                    <w:jc w:val="center"/>
                                    <w:rPr>
                                      <w:rFonts w:cs="Times New Roman"/>
                                      <w:color w:val="auto"/>
                                    </w:rPr>
                                  </w:pPr>
                                </w:p>
                              </w:tc>
                            </w:tr>
                            <w:tr w:rsidR="00541A14" w14:paraId="0646C3D9" w14:textId="77777777">
                              <w:trPr>
                                <w:trHeight w:val="355"/>
                              </w:trPr>
                              <w:tc>
                                <w:tcPr>
                                  <w:tcW w:w="930" w:type="dxa"/>
                                  <w:vMerge/>
                                  <w:tcBorders>
                                    <w:top w:val="single" w:sz="4" w:space="0" w:color="180804"/>
                                    <w:left w:val="single" w:sz="4" w:space="0" w:color="000000"/>
                                    <w:bottom w:val="single" w:sz="4" w:space="0" w:color="000000"/>
                                    <w:right w:val="single" w:sz="4" w:space="0" w:color="000000"/>
                                  </w:tcBorders>
                                  <w:shd w:val="clear" w:color="auto" w:fill="FBF3CF"/>
                                  <w:vAlign w:val="center"/>
                                </w:tcPr>
                                <w:p w14:paraId="677CD1F9" w14:textId="77777777" w:rsidR="00541A14" w:rsidRDefault="00541A14">
                                  <w:pPr>
                                    <w:pStyle w:val="Default"/>
                                    <w:jc w:val="center"/>
                                    <w:rPr>
                                      <w:rFonts w:cs="Times New Roman"/>
                                      <w:color w:val="auto"/>
                                    </w:rPr>
                                  </w:pPr>
                                </w:p>
                              </w:tc>
                              <w:tc>
                                <w:tcPr>
                                  <w:tcW w:w="952" w:type="dxa"/>
                                  <w:tcBorders>
                                    <w:top w:val="single" w:sz="4" w:space="0" w:color="191A0D"/>
                                    <w:left w:val="single" w:sz="4" w:space="0" w:color="000000"/>
                                    <w:bottom w:val="single" w:sz="4" w:space="0" w:color="080F07"/>
                                    <w:right w:val="single" w:sz="4" w:space="0" w:color="091007"/>
                                  </w:tcBorders>
                                  <w:shd w:val="clear" w:color="auto" w:fill="FDF8E3"/>
                                  <w:vAlign w:val="center"/>
                                </w:tcPr>
                                <w:p w14:paraId="3A90241C"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Low </w:t>
                                  </w:r>
                                </w:p>
                              </w:tc>
                              <w:tc>
                                <w:tcPr>
                                  <w:tcW w:w="907" w:type="dxa"/>
                                  <w:tcBorders>
                                    <w:top w:val="single" w:sz="4" w:space="0" w:color="191A0D"/>
                                    <w:left w:val="single" w:sz="4" w:space="0" w:color="091007"/>
                                    <w:bottom w:val="single" w:sz="4" w:space="0" w:color="080F07"/>
                                    <w:right w:val="single" w:sz="4" w:space="0" w:color="1C1D0F"/>
                                  </w:tcBorders>
                                  <w:shd w:val="clear" w:color="auto" w:fill="007452"/>
                                </w:tcPr>
                                <w:p w14:paraId="46C61A2B" w14:textId="77777777" w:rsidR="00541A14" w:rsidRDefault="00541A14">
                                  <w:pPr>
                                    <w:pStyle w:val="Default"/>
                                    <w:jc w:val="center"/>
                                    <w:rPr>
                                      <w:rFonts w:cs="Times New Roman"/>
                                      <w:color w:val="auto"/>
                                    </w:rPr>
                                  </w:pPr>
                                </w:p>
                              </w:tc>
                              <w:tc>
                                <w:tcPr>
                                  <w:tcW w:w="965" w:type="dxa"/>
                                  <w:tcBorders>
                                    <w:top w:val="single" w:sz="4" w:space="0" w:color="191A0D"/>
                                    <w:left w:val="single" w:sz="4" w:space="0" w:color="1C1D0F"/>
                                    <w:bottom w:val="single" w:sz="4" w:space="0" w:color="080F07"/>
                                    <w:right w:val="single" w:sz="4" w:space="0" w:color="31190D"/>
                                  </w:tcBorders>
                                  <w:shd w:val="clear" w:color="auto" w:fill="007452"/>
                                </w:tcPr>
                                <w:p w14:paraId="38E6AEDA" w14:textId="77777777" w:rsidR="00541A14" w:rsidRDefault="00541A14">
                                  <w:pPr>
                                    <w:pStyle w:val="Default"/>
                                    <w:rPr>
                                      <w:rFonts w:cs="Times New Roman"/>
                                      <w:color w:val="auto"/>
                                    </w:rPr>
                                  </w:pPr>
                                </w:p>
                              </w:tc>
                              <w:tc>
                                <w:tcPr>
                                  <w:tcW w:w="907" w:type="dxa"/>
                                  <w:tcBorders>
                                    <w:top w:val="single" w:sz="4" w:space="0" w:color="191A0D"/>
                                    <w:left w:val="single" w:sz="4" w:space="0" w:color="31190D"/>
                                    <w:bottom w:val="single" w:sz="4" w:space="0" w:color="080F07"/>
                                    <w:right w:val="single" w:sz="4" w:space="0" w:color="1D0B06"/>
                                  </w:tcBorders>
                                  <w:shd w:val="clear" w:color="auto" w:fill="E49A22"/>
                                </w:tcPr>
                                <w:p w14:paraId="04CEA2C3" w14:textId="77777777" w:rsidR="00541A14" w:rsidRDefault="00541A14">
                                  <w:pPr>
                                    <w:pStyle w:val="Default"/>
                                    <w:jc w:val="center"/>
                                    <w:rPr>
                                      <w:rFonts w:cs="Times New Roman"/>
                                      <w:color w:val="auto"/>
                                    </w:rPr>
                                  </w:pPr>
                                </w:p>
                              </w:tc>
                            </w:tr>
                            <w:tr w:rsidR="00541A14" w14:paraId="00467110" w14:textId="77777777">
                              <w:trPr>
                                <w:trHeight w:val="183"/>
                              </w:trPr>
                              <w:tc>
                                <w:tcPr>
                                  <w:tcW w:w="930" w:type="dxa"/>
                                  <w:vMerge/>
                                  <w:tcBorders>
                                    <w:top w:val="single" w:sz="4" w:space="0" w:color="180804"/>
                                    <w:left w:val="single" w:sz="4" w:space="0" w:color="000000"/>
                                    <w:bottom w:val="single" w:sz="4" w:space="0" w:color="000000"/>
                                    <w:right w:val="single" w:sz="4" w:space="0" w:color="000000"/>
                                  </w:tcBorders>
                                  <w:shd w:val="clear" w:color="auto" w:fill="FBF3CF"/>
                                  <w:vAlign w:val="center"/>
                                </w:tcPr>
                                <w:p w14:paraId="63D4075D" w14:textId="77777777" w:rsidR="00541A14" w:rsidRDefault="00541A14">
                                  <w:pPr>
                                    <w:pStyle w:val="Default"/>
                                    <w:jc w:val="center"/>
                                    <w:rPr>
                                      <w:rFonts w:cs="Times New Roman"/>
                                      <w:color w:val="auto"/>
                                    </w:rPr>
                                  </w:pPr>
                                </w:p>
                              </w:tc>
                              <w:tc>
                                <w:tcPr>
                                  <w:tcW w:w="952" w:type="dxa"/>
                                  <w:tcBorders>
                                    <w:top w:val="single" w:sz="4" w:space="0" w:color="080F07"/>
                                    <w:left w:val="single" w:sz="4" w:space="0" w:color="000000"/>
                                    <w:bottom w:val="single" w:sz="4" w:space="0" w:color="000000"/>
                                    <w:right w:val="single" w:sz="4" w:space="0" w:color="091007"/>
                                  </w:tcBorders>
                                  <w:shd w:val="clear" w:color="auto" w:fill="FDF8E3"/>
                                </w:tcPr>
                                <w:p w14:paraId="582B6914" w14:textId="77777777" w:rsidR="00541A14" w:rsidRDefault="00541A14">
                                  <w:pPr>
                                    <w:pStyle w:val="Default"/>
                                    <w:jc w:val="center"/>
                                    <w:rPr>
                                      <w:rFonts w:cs="Times New Roman"/>
                                      <w:color w:val="auto"/>
                                    </w:rPr>
                                  </w:pPr>
                                </w:p>
                              </w:tc>
                              <w:tc>
                                <w:tcPr>
                                  <w:tcW w:w="907" w:type="dxa"/>
                                  <w:tcBorders>
                                    <w:top w:val="single" w:sz="4" w:space="0" w:color="080F07"/>
                                    <w:left w:val="single" w:sz="4" w:space="0" w:color="091007"/>
                                    <w:bottom w:val="single" w:sz="4" w:space="0" w:color="000000"/>
                                    <w:right w:val="single" w:sz="4" w:space="0" w:color="1C1D0F"/>
                                  </w:tcBorders>
                                  <w:shd w:val="clear" w:color="auto" w:fill="FDF8E3"/>
                                  <w:vAlign w:val="center"/>
                                </w:tcPr>
                                <w:p w14:paraId="146B0C7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Low </w:t>
                                  </w:r>
                                </w:p>
                              </w:tc>
                              <w:tc>
                                <w:tcPr>
                                  <w:tcW w:w="965" w:type="dxa"/>
                                  <w:tcBorders>
                                    <w:top w:val="single" w:sz="4" w:space="0" w:color="080F07"/>
                                    <w:left w:val="single" w:sz="4" w:space="0" w:color="1C1D0F"/>
                                    <w:bottom w:val="single" w:sz="4" w:space="0" w:color="000000"/>
                                    <w:right w:val="single" w:sz="4" w:space="0" w:color="31190D"/>
                                  </w:tcBorders>
                                  <w:shd w:val="clear" w:color="auto" w:fill="FDF8E3"/>
                                  <w:vAlign w:val="center"/>
                                </w:tcPr>
                                <w:p w14:paraId="69CB0AA6"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Medium </w:t>
                                  </w:r>
                                </w:p>
                              </w:tc>
                              <w:tc>
                                <w:tcPr>
                                  <w:tcW w:w="907" w:type="dxa"/>
                                  <w:tcBorders>
                                    <w:top w:val="single" w:sz="4" w:space="0" w:color="080F07"/>
                                    <w:left w:val="single" w:sz="4" w:space="0" w:color="31190D"/>
                                    <w:bottom w:val="single" w:sz="4" w:space="0" w:color="000000"/>
                                    <w:right w:val="single" w:sz="4" w:space="0" w:color="1D0B06"/>
                                  </w:tcBorders>
                                  <w:shd w:val="clear" w:color="auto" w:fill="FDF8E3"/>
                                  <w:vAlign w:val="center"/>
                                </w:tcPr>
                                <w:p w14:paraId="2D646A15"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High </w:t>
                                  </w:r>
                                </w:p>
                              </w:tc>
                            </w:tr>
                            <w:tr w:rsidR="00541A14" w14:paraId="0DBAF213" w14:textId="77777777">
                              <w:trPr>
                                <w:trHeight w:val="185"/>
                              </w:trPr>
                              <w:tc>
                                <w:tcPr>
                                  <w:tcW w:w="930" w:type="dxa"/>
                                  <w:vMerge/>
                                  <w:tcBorders>
                                    <w:top w:val="single" w:sz="4" w:space="0" w:color="180804"/>
                                    <w:left w:val="single" w:sz="4" w:space="0" w:color="000000"/>
                                    <w:bottom w:val="single" w:sz="4" w:space="0" w:color="000000"/>
                                    <w:right w:val="single" w:sz="4" w:space="0" w:color="000000"/>
                                  </w:tcBorders>
                                  <w:shd w:val="clear" w:color="auto" w:fill="FBF3CF"/>
                                  <w:vAlign w:val="center"/>
                                </w:tcPr>
                                <w:p w14:paraId="296C2697" w14:textId="77777777" w:rsidR="00541A14" w:rsidRDefault="00541A14">
                                  <w:pPr>
                                    <w:pStyle w:val="Default"/>
                                    <w:jc w:val="center"/>
                                    <w:rPr>
                                      <w:rFonts w:cs="Times New Roman"/>
                                      <w:color w:val="auto"/>
                                    </w:rPr>
                                  </w:pPr>
                                </w:p>
                              </w:tc>
                              <w:tc>
                                <w:tcPr>
                                  <w:tcW w:w="952" w:type="dxa"/>
                                  <w:tcBorders>
                                    <w:top w:val="single" w:sz="4" w:space="0" w:color="000000"/>
                                    <w:left w:val="single" w:sz="4" w:space="0" w:color="000000"/>
                                    <w:bottom w:val="single" w:sz="4" w:space="0" w:color="000000"/>
                                    <w:right w:val="single" w:sz="4" w:space="0" w:color="091007"/>
                                  </w:tcBorders>
                                  <w:shd w:val="clear" w:color="auto" w:fill="FBF3CF"/>
                                </w:tcPr>
                                <w:p w14:paraId="3511360A" w14:textId="77777777" w:rsidR="00541A14" w:rsidRDefault="00541A14">
                                  <w:pPr>
                                    <w:pStyle w:val="Default"/>
                                    <w:jc w:val="center"/>
                                    <w:rPr>
                                      <w:rFonts w:cs="Times New Roman"/>
                                      <w:color w:val="auto"/>
                                    </w:rPr>
                                  </w:pPr>
                                </w:p>
                              </w:tc>
                              <w:tc>
                                <w:tcPr>
                                  <w:tcW w:w="907" w:type="dxa"/>
                                  <w:tcBorders>
                                    <w:top w:val="single" w:sz="4" w:space="0" w:color="000000"/>
                                    <w:left w:val="single" w:sz="4" w:space="0" w:color="091007"/>
                                    <w:bottom w:val="single" w:sz="4" w:space="0" w:color="000000"/>
                                  </w:tcBorders>
                                  <w:shd w:val="clear" w:color="auto" w:fill="FBF3CF"/>
                                </w:tcPr>
                                <w:p w14:paraId="7052F4EC" w14:textId="77777777" w:rsidR="00541A14" w:rsidRDefault="00541A14">
                                  <w:pPr>
                                    <w:pStyle w:val="Default"/>
                                    <w:jc w:val="center"/>
                                    <w:rPr>
                                      <w:rFonts w:cs="Times New Roman"/>
                                      <w:color w:val="auto"/>
                                    </w:rPr>
                                  </w:pPr>
                                </w:p>
                              </w:tc>
                              <w:tc>
                                <w:tcPr>
                                  <w:tcW w:w="965" w:type="dxa"/>
                                  <w:tcBorders>
                                    <w:top w:val="single" w:sz="4" w:space="0" w:color="000000"/>
                                    <w:bottom w:val="single" w:sz="4" w:space="0" w:color="000000"/>
                                  </w:tcBorders>
                                  <w:shd w:val="clear" w:color="auto" w:fill="FBF3CF"/>
                                  <w:vAlign w:val="center"/>
                                </w:tcPr>
                                <w:p w14:paraId="398AF30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Likelihood </w:t>
                                  </w:r>
                                </w:p>
                              </w:tc>
                              <w:tc>
                                <w:tcPr>
                                  <w:tcW w:w="907" w:type="dxa"/>
                                  <w:tcBorders>
                                    <w:top w:val="single" w:sz="4" w:space="0" w:color="000000"/>
                                    <w:bottom w:val="single" w:sz="4" w:space="0" w:color="000000"/>
                                    <w:right w:val="single" w:sz="4" w:space="0" w:color="1D0B06"/>
                                  </w:tcBorders>
                                  <w:shd w:val="clear" w:color="auto" w:fill="FBF3CF"/>
                                </w:tcPr>
                                <w:p w14:paraId="229A1F99" w14:textId="77777777" w:rsidR="00541A14" w:rsidRDefault="00541A14">
                                  <w:pPr>
                                    <w:pStyle w:val="Default"/>
                                    <w:jc w:val="center"/>
                                    <w:rPr>
                                      <w:rFonts w:cs="Times New Roman"/>
                                      <w:color w:val="auto"/>
                                    </w:rPr>
                                  </w:pPr>
                                </w:p>
                              </w:tc>
                            </w:tr>
                          </w:tbl>
                          <w:p w14:paraId="0D5A2526"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57" type="#_x0000_t202" style="position:absolute;margin-left:155.85pt;margin-top:538.95pt;width:273.05pt;height:152.1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930"/>
                        <w:gridCol w:w="157"/>
                        <w:gridCol w:w="33"/>
                        <w:gridCol w:w="302"/>
                        <w:gridCol w:w="33"/>
                        <w:gridCol w:w="312"/>
                        <w:gridCol w:w="125"/>
                        <w:gridCol w:w="55"/>
                        <w:gridCol w:w="20"/>
                        <w:gridCol w:w="50"/>
                        <w:gridCol w:w="168"/>
                        <w:gridCol w:w="97"/>
                        <w:gridCol w:w="33"/>
                        <w:gridCol w:w="372"/>
                        <w:gridCol w:w="112"/>
                        <w:gridCol w:w="730"/>
                        <w:gridCol w:w="237"/>
                        <w:gridCol w:w="38"/>
                        <w:gridCol w:w="90"/>
                        <w:gridCol w:w="370"/>
                        <w:gridCol w:w="5"/>
                        <w:gridCol w:w="5"/>
                        <w:gridCol w:w="12"/>
                        <w:gridCol w:w="47"/>
                        <w:gridCol w:w="168"/>
                        <w:gridCol w:w="174"/>
                        <w:gridCol w:w="108"/>
                        <w:gridCol w:w="550"/>
                        <w:gridCol w:w="355"/>
                        <w:gridCol w:w="10"/>
                        <w:gridCol w:w="371"/>
                        <w:gridCol w:w="692"/>
                        <w:gridCol w:w="2232"/>
                        <w:gridCol w:w="77"/>
                        <w:gridCol w:w="15"/>
                        <w:gridCol w:w="8"/>
                      </w:tblGrid>
                      <w:tr w:rsidR="00000000" w14:paraId="3DDBBC4B" w14:textId="77777777">
                        <w:tblPrEx>
                          <w:tblCellMar>
                            <w:top w:w="0" w:type="dxa"/>
                            <w:bottom w:w="0" w:type="dxa"/>
                          </w:tblCellMar>
                        </w:tblPrEx>
                        <w:trPr>
                          <w:gridAfter w:val="10"/>
                          <w:wAfter w:w="2213" w:type="dxa"/>
                          <w:trHeight w:val="361"/>
                        </w:trPr>
                        <w:tc>
                          <w:tcPr>
                            <w:tcW w:w="930" w:type="dxa"/>
                            <w:vMerge w:val="restart"/>
                            <w:tcBorders>
                              <w:top w:val="single" w:sz="4" w:space="0" w:color="180804"/>
                              <w:left w:val="single" w:sz="4" w:space="0" w:color="000000"/>
                              <w:bottom w:val="single" w:sz="4" w:space="0" w:color="000000"/>
                              <w:right w:val="single" w:sz="4" w:space="0" w:color="000000"/>
                            </w:tcBorders>
                            <w:shd w:val="clear" w:color="auto" w:fill="FBF3CF"/>
                            <w:vAlign w:val="center"/>
                          </w:tcPr>
                          <w:p w14:paraId="440E334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Impact </w:t>
                            </w:r>
                          </w:p>
                        </w:tc>
                        <w:tc>
                          <w:tcPr>
                            <w:tcW w:w="952" w:type="dxa"/>
                            <w:gridSpan w:val="6"/>
                            <w:tcBorders>
                              <w:top w:val="single" w:sz="4" w:space="0" w:color="180804"/>
                              <w:left w:val="single" w:sz="4" w:space="0" w:color="000000"/>
                              <w:bottom w:val="single" w:sz="4" w:space="0" w:color="2C160C"/>
                              <w:right w:val="single" w:sz="4" w:space="0" w:color="091007"/>
                            </w:tcBorders>
                            <w:shd w:val="clear" w:color="auto" w:fill="FDF8E3"/>
                            <w:vAlign w:val="center"/>
                          </w:tcPr>
                          <w:p w14:paraId="6FD21CA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High </w:t>
                            </w:r>
                          </w:p>
                        </w:tc>
                        <w:tc>
                          <w:tcPr>
                            <w:tcW w:w="907" w:type="dxa"/>
                            <w:gridSpan w:val="8"/>
                            <w:tcBorders>
                              <w:top w:val="single" w:sz="4" w:space="0" w:color="180804"/>
                              <w:left w:val="single" w:sz="4" w:space="0" w:color="091007"/>
                              <w:bottom w:val="single" w:sz="4" w:space="0" w:color="2C160C"/>
                              <w:right w:val="single" w:sz="4" w:space="0" w:color="1C1D0F"/>
                            </w:tcBorders>
                            <w:shd w:val="clear" w:color="auto" w:fill="E49A22"/>
                          </w:tcPr>
                          <w:p w14:paraId="6AA34302" w14:textId="77777777" w:rsidR="00000000" w:rsidRDefault="00A450E1">
                            <w:pPr>
                              <w:pStyle w:val="Default"/>
                              <w:rPr>
                                <w:rFonts w:cs="Times New Roman"/>
                                <w:color w:val="auto"/>
                              </w:rPr>
                            </w:pPr>
                          </w:p>
                        </w:tc>
                        <w:tc>
                          <w:tcPr>
                            <w:tcW w:w="965" w:type="dxa"/>
                            <w:gridSpan w:val="2"/>
                            <w:tcBorders>
                              <w:top w:val="single" w:sz="4" w:space="0" w:color="180804"/>
                              <w:left w:val="single" w:sz="4" w:space="0" w:color="1C1D0F"/>
                              <w:bottom w:val="single" w:sz="4" w:space="0" w:color="2C160C"/>
                              <w:right w:val="single" w:sz="4" w:space="0" w:color="31190D"/>
                            </w:tcBorders>
                            <w:shd w:val="clear" w:color="auto" w:fill="EF3C40"/>
                          </w:tcPr>
                          <w:p w14:paraId="144E910D" w14:textId="77777777" w:rsidR="00000000" w:rsidRDefault="00A450E1">
                            <w:pPr>
                              <w:pStyle w:val="Default"/>
                              <w:jc w:val="center"/>
                              <w:rPr>
                                <w:rFonts w:cs="Times New Roman"/>
                                <w:color w:val="auto"/>
                              </w:rPr>
                            </w:pPr>
                          </w:p>
                        </w:tc>
                        <w:tc>
                          <w:tcPr>
                            <w:tcW w:w="907" w:type="dxa"/>
                            <w:gridSpan w:val="9"/>
                            <w:tcBorders>
                              <w:top w:val="single" w:sz="4" w:space="0" w:color="180804"/>
                              <w:left w:val="single" w:sz="4" w:space="0" w:color="31190D"/>
                              <w:bottom w:val="single" w:sz="4" w:space="0" w:color="2C160C"/>
                              <w:right w:val="single" w:sz="4" w:space="0" w:color="1D0B06"/>
                            </w:tcBorders>
                            <w:shd w:val="clear" w:color="auto" w:fill="EF3C40"/>
                          </w:tcPr>
                          <w:p w14:paraId="251F53BA" w14:textId="77777777" w:rsidR="00000000" w:rsidRDefault="00A450E1">
                            <w:pPr>
                              <w:pStyle w:val="Default"/>
                              <w:rPr>
                                <w:rFonts w:cs="Times New Roman"/>
                                <w:color w:val="auto"/>
                              </w:rPr>
                            </w:pPr>
                          </w:p>
                        </w:tc>
                      </w:tr>
                      <w:tr w:rsidR="00000000" w14:paraId="621F57EC" w14:textId="77777777">
                        <w:tblPrEx>
                          <w:tblCellMar>
                            <w:top w:w="0" w:type="dxa"/>
                            <w:bottom w:w="0" w:type="dxa"/>
                          </w:tblCellMar>
                        </w:tblPrEx>
                        <w:trPr>
                          <w:gridAfter w:val="10"/>
                          <w:wAfter w:w="2213" w:type="dxa"/>
                          <w:trHeight w:val="353"/>
                        </w:trPr>
                        <w:tc>
                          <w:tcPr>
                            <w:tcW w:w="930" w:type="dxa"/>
                            <w:vMerge/>
                            <w:tcBorders>
                              <w:top w:val="single" w:sz="4" w:space="0" w:color="180804"/>
                              <w:left w:val="single" w:sz="4" w:space="0" w:color="000000"/>
                              <w:bottom w:val="single" w:sz="4" w:space="0" w:color="000000"/>
                              <w:right w:val="single" w:sz="4" w:space="0" w:color="000000"/>
                            </w:tcBorders>
                            <w:shd w:val="clear" w:color="auto" w:fill="FBF3CF"/>
                            <w:vAlign w:val="center"/>
                          </w:tcPr>
                          <w:p w14:paraId="31D36C27" w14:textId="77777777" w:rsidR="00000000" w:rsidRDefault="00A450E1">
                            <w:pPr>
                              <w:pStyle w:val="Default"/>
                              <w:jc w:val="center"/>
                              <w:rPr>
                                <w:rFonts w:cs="Times New Roman"/>
                                <w:color w:val="auto"/>
                              </w:rPr>
                            </w:pPr>
                          </w:p>
                        </w:tc>
                        <w:tc>
                          <w:tcPr>
                            <w:tcW w:w="952" w:type="dxa"/>
                            <w:gridSpan w:val="6"/>
                            <w:tcBorders>
                              <w:top w:val="single" w:sz="4" w:space="0" w:color="2C160C"/>
                              <w:left w:val="single" w:sz="4" w:space="0" w:color="000000"/>
                              <w:bottom w:val="single" w:sz="4" w:space="0" w:color="191A0D"/>
                              <w:right w:val="single" w:sz="4" w:space="0" w:color="091007"/>
                            </w:tcBorders>
                            <w:shd w:val="clear" w:color="auto" w:fill="FDF8E3"/>
                            <w:vAlign w:val="center"/>
                          </w:tcPr>
                          <w:p w14:paraId="16E8E50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Medium </w:t>
                            </w:r>
                          </w:p>
                        </w:tc>
                        <w:tc>
                          <w:tcPr>
                            <w:tcW w:w="907" w:type="dxa"/>
                            <w:gridSpan w:val="8"/>
                            <w:tcBorders>
                              <w:top w:val="single" w:sz="4" w:space="0" w:color="2C160C"/>
                              <w:left w:val="single" w:sz="4" w:space="0" w:color="091007"/>
                              <w:bottom w:val="single" w:sz="4" w:space="0" w:color="191A0D"/>
                              <w:right w:val="single" w:sz="4" w:space="0" w:color="1C1D0F"/>
                            </w:tcBorders>
                            <w:shd w:val="clear" w:color="auto" w:fill="007452"/>
                          </w:tcPr>
                          <w:p w14:paraId="7FA6A3EA" w14:textId="77777777" w:rsidR="00000000" w:rsidRDefault="00A450E1">
                            <w:pPr>
                              <w:pStyle w:val="Default"/>
                              <w:jc w:val="center"/>
                              <w:rPr>
                                <w:rFonts w:cs="Times New Roman"/>
                                <w:color w:val="auto"/>
                              </w:rPr>
                            </w:pPr>
                          </w:p>
                        </w:tc>
                        <w:tc>
                          <w:tcPr>
                            <w:tcW w:w="965" w:type="dxa"/>
                            <w:gridSpan w:val="2"/>
                            <w:tcBorders>
                              <w:top w:val="single" w:sz="4" w:space="0" w:color="2C160C"/>
                              <w:left w:val="single" w:sz="4" w:space="0" w:color="1C1D0F"/>
                              <w:bottom w:val="single" w:sz="4" w:space="0" w:color="191A0D"/>
                              <w:right w:val="single" w:sz="4" w:space="0" w:color="31190D"/>
                            </w:tcBorders>
                            <w:shd w:val="clear" w:color="auto" w:fill="E49A22"/>
                          </w:tcPr>
                          <w:p w14:paraId="36EB4391" w14:textId="77777777" w:rsidR="00000000" w:rsidRDefault="00A450E1">
                            <w:pPr>
                              <w:pStyle w:val="Default"/>
                              <w:rPr>
                                <w:rFonts w:cs="Times New Roman"/>
                                <w:color w:val="auto"/>
                              </w:rPr>
                            </w:pPr>
                          </w:p>
                        </w:tc>
                        <w:tc>
                          <w:tcPr>
                            <w:tcW w:w="907" w:type="dxa"/>
                            <w:gridSpan w:val="9"/>
                            <w:tcBorders>
                              <w:top w:val="single" w:sz="4" w:space="0" w:color="2C160C"/>
                              <w:left w:val="single" w:sz="4" w:space="0" w:color="31190D"/>
                              <w:bottom w:val="single" w:sz="4" w:space="0" w:color="191A0D"/>
                              <w:right w:val="single" w:sz="4" w:space="0" w:color="1D0B06"/>
                            </w:tcBorders>
                            <w:shd w:val="clear" w:color="auto" w:fill="EF3C40"/>
                          </w:tcPr>
                          <w:p w14:paraId="7A8BD961" w14:textId="77777777" w:rsidR="00000000" w:rsidRDefault="00A450E1">
                            <w:pPr>
                              <w:pStyle w:val="Default"/>
                              <w:jc w:val="center"/>
                              <w:rPr>
                                <w:rFonts w:cs="Times New Roman"/>
                                <w:color w:val="auto"/>
                              </w:rPr>
                            </w:pPr>
                          </w:p>
                        </w:tc>
                      </w:tr>
                      <w:tr w:rsidR="00000000" w14:paraId="0646C3D9" w14:textId="77777777">
                        <w:tblPrEx>
                          <w:tblCellMar>
                            <w:top w:w="0" w:type="dxa"/>
                            <w:bottom w:w="0" w:type="dxa"/>
                          </w:tblCellMar>
                        </w:tblPrEx>
                        <w:trPr>
                          <w:gridAfter w:val="10"/>
                          <w:wAfter w:w="2213" w:type="dxa"/>
                          <w:trHeight w:val="355"/>
                        </w:trPr>
                        <w:tc>
                          <w:tcPr>
                            <w:tcW w:w="930" w:type="dxa"/>
                            <w:vMerge/>
                            <w:tcBorders>
                              <w:top w:val="single" w:sz="4" w:space="0" w:color="180804"/>
                              <w:left w:val="single" w:sz="4" w:space="0" w:color="000000"/>
                              <w:bottom w:val="single" w:sz="4" w:space="0" w:color="000000"/>
                              <w:right w:val="single" w:sz="4" w:space="0" w:color="000000"/>
                            </w:tcBorders>
                            <w:shd w:val="clear" w:color="auto" w:fill="FBF3CF"/>
                            <w:vAlign w:val="center"/>
                          </w:tcPr>
                          <w:p w14:paraId="677CD1F9" w14:textId="77777777" w:rsidR="00000000" w:rsidRDefault="00A450E1">
                            <w:pPr>
                              <w:pStyle w:val="Default"/>
                              <w:jc w:val="center"/>
                              <w:rPr>
                                <w:rFonts w:cs="Times New Roman"/>
                                <w:color w:val="auto"/>
                              </w:rPr>
                            </w:pPr>
                          </w:p>
                        </w:tc>
                        <w:tc>
                          <w:tcPr>
                            <w:tcW w:w="952" w:type="dxa"/>
                            <w:gridSpan w:val="6"/>
                            <w:tcBorders>
                              <w:top w:val="single" w:sz="4" w:space="0" w:color="191A0D"/>
                              <w:left w:val="single" w:sz="4" w:space="0" w:color="000000"/>
                              <w:bottom w:val="single" w:sz="4" w:space="0" w:color="080F07"/>
                              <w:right w:val="single" w:sz="4" w:space="0" w:color="091007"/>
                            </w:tcBorders>
                            <w:shd w:val="clear" w:color="auto" w:fill="FDF8E3"/>
                            <w:vAlign w:val="center"/>
                          </w:tcPr>
                          <w:p w14:paraId="3A90241C"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Low </w:t>
                            </w:r>
                          </w:p>
                        </w:tc>
                        <w:tc>
                          <w:tcPr>
                            <w:tcW w:w="907" w:type="dxa"/>
                            <w:gridSpan w:val="8"/>
                            <w:tcBorders>
                              <w:top w:val="single" w:sz="4" w:space="0" w:color="191A0D"/>
                              <w:left w:val="single" w:sz="4" w:space="0" w:color="091007"/>
                              <w:bottom w:val="single" w:sz="4" w:space="0" w:color="080F07"/>
                              <w:right w:val="single" w:sz="4" w:space="0" w:color="1C1D0F"/>
                            </w:tcBorders>
                            <w:shd w:val="clear" w:color="auto" w:fill="007452"/>
                          </w:tcPr>
                          <w:p w14:paraId="46C61A2B" w14:textId="77777777" w:rsidR="00000000" w:rsidRDefault="00A450E1">
                            <w:pPr>
                              <w:pStyle w:val="Default"/>
                              <w:jc w:val="center"/>
                              <w:rPr>
                                <w:rFonts w:cs="Times New Roman"/>
                                <w:color w:val="auto"/>
                              </w:rPr>
                            </w:pPr>
                          </w:p>
                        </w:tc>
                        <w:tc>
                          <w:tcPr>
                            <w:tcW w:w="965" w:type="dxa"/>
                            <w:gridSpan w:val="2"/>
                            <w:tcBorders>
                              <w:top w:val="single" w:sz="4" w:space="0" w:color="191A0D"/>
                              <w:left w:val="single" w:sz="4" w:space="0" w:color="1C1D0F"/>
                              <w:bottom w:val="single" w:sz="4" w:space="0" w:color="080F07"/>
                              <w:right w:val="single" w:sz="4" w:space="0" w:color="31190D"/>
                            </w:tcBorders>
                            <w:shd w:val="clear" w:color="auto" w:fill="007452"/>
                          </w:tcPr>
                          <w:p w14:paraId="38E6AEDA" w14:textId="77777777" w:rsidR="00000000" w:rsidRDefault="00A450E1">
                            <w:pPr>
                              <w:pStyle w:val="Default"/>
                              <w:rPr>
                                <w:rFonts w:cs="Times New Roman"/>
                                <w:color w:val="auto"/>
                              </w:rPr>
                            </w:pPr>
                          </w:p>
                        </w:tc>
                        <w:tc>
                          <w:tcPr>
                            <w:tcW w:w="907" w:type="dxa"/>
                            <w:gridSpan w:val="9"/>
                            <w:tcBorders>
                              <w:top w:val="single" w:sz="4" w:space="0" w:color="191A0D"/>
                              <w:left w:val="single" w:sz="4" w:space="0" w:color="31190D"/>
                              <w:bottom w:val="single" w:sz="4" w:space="0" w:color="080F07"/>
                              <w:right w:val="single" w:sz="4" w:space="0" w:color="1D0B06"/>
                            </w:tcBorders>
                            <w:shd w:val="clear" w:color="auto" w:fill="E49A22"/>
                          </w:tcPr>
                          <w:p w14:paraId="04CEA2C3" w14:textId="77777777" w:rsidR="00000000" w:rsidRDefault="00A450E1">
                            <w:pPr>
                              <w:pStyle w:val="Default"/>
                              <w:jc w:val="center"/>
                              <w:rPr>
                                <w:rFonts w:cs="Times New Roman"/>
                                <w:color w:val="auto"/>
                              </w:rPr>
                            </w:pPr>
                          </w:p>
                        </w:tc>
                      </w:tr>
                      <w:tr w:rsidR="00000000" w14:paraId="00467110" w14:textId="77777777">
                        <w:tblPrEx>
                          <w:tblCellMar>
                            <w:top w:w="0" w:type="dxa"/>
                            <w:bottom w:w="0" w:type="dxa"/>
                          </w:tblCellMar>
                        </w:tblPrEx>
                        <w:trPr>
                          <w:gridAfter w:val="10"/>
                          <w:wAfter w:w="2213" w:type="dxa"/>
                          <w:trHeight w:val="183"/>
                        </w:trPr>
                        <w:tc>
                          <w:tcPr>
                            <w:tcW w:w="930" w:type="dxa"/>
                            <w:vMerge/>
                            <w:tcBorders>
                              <w:top w:val="single" w:sz="4" w:space="0" w:color="180804"/>
                              <w:left w:val="single" w:sz="4" w:space="0" w:color="000000"/>
                              <w:bottom w:val="single" w:sz="4" w:space="0" w:color="000000"/>
                              <w:right w:val="single" w:sz="4" w:space="0" w:color="000000"/>
                            </w:tcBorders>
                            <w:shd w:val="clear" w:color="auto" w:fill="FBF3CF"/>
                            <w:vAlign w:val="center"/>
                          </w:tcPr>
                          <w:p w14:paraId="63D4075D" w14:textId="77777777" w:rsidR="00000000" w:rsidRDefault="00A450E1">
                            <w:pPr>
                              <w:pStyle w:val="Default"/>
                              <w:jc w:val="center"/>
                              <w:rPr>
                                <w:rFonts w:cs="Times New Roman"/>
                                <w:color w:val="auto"/>
                              </w:rPr>
                            </w:pPr>
                          </w:p>
                        </w:tc>
                        <w:tc>
                          <w:tcPr>
                            <w:tcW w:w="952" w:type="dxa"/>
                            <w:gridSpan w:val="6"/>
                            <w:tcBorders>
                              <w:top w:val="single" w:sz="4" w:space="0" w:color="080F07"/>
                              <w:left w:val="single" w:sz="4" w:space="0" w:color="000000"/>
                              <w:bottom w:val="single" w:sz="4" w:space="0" w:color="000000"/>
                              <w:right w:val="single" w:sz="4" w:space="0" w:color="091007"/>
                            </w:tcBorders>
                            <w:shd w:val="clear" w:color="auto" w:fill="FDF8E3"/>
                          </w:tcPr>
                          <w:p w14:paraId="582B6914" w14:textId="77777777" w:rsidR="00000000" w:rsidRDefault="00A450E1">
                            <w:pPr>
                              <w:pStyle w:val="Default"/>
                              <w:jc w:val="center"/>
                              <w:rPr>
                                <w:rFonts w:cs="Times New Roman"/>
                                <w:color w:val="auto"/>
                              </w:rPr>
                            </w:pPr>
                          </w:p>
                        </w:tc>
                        <w:tc>
                          <w:tcPr>
                            <w:tcW w:w="907" w:type="dxa"/>
                            <w:gridSpan w:val="8"/>
                            <w:tcBorders>
                              <w:top w:val="single" w:sz="4" w:space="0" w:color="080F07"/>
                              <w:left w:val="single" w:sz="4" w:space="0" w:color="091007"/>
                              <w:bottom w:val="single" w:sz="4" w:space="0" w:color="000000"/>
                              <w:right w:val="single" w:sz="4" w:space="0" w:color="1C1D0F"/>
                            </w:tcBorders>
                            <w:shd w:val="clear" w:color="auto" w:fill="FDF8E3"/>
                            <w:vAlign w:val="center"/>
                          </w:tcPr>
                          <w:p w14:paraId="146B0C7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Low </w:t>
                            </w:r>
                          </w:p>
                        </w:tc>
                        <w:tc>
                          <w:tcPr>
                            <w:tcW w:w="965" w:type="dxa"/>
                            <w:gridSpan w:val="2"/>
                            <w:tcBorders>
                              <w:top w:val="single" w:sz="4" w:space="0" w:color="080F07"/>
                              <w:left w:val="single" w:sz="4" w:space="0" w:color="1C1D0F"/>
                              <w:bottom w:val="single" w:sz="4" w:space="0" w:color="000000"/>
                              <w:right w:val="single" w:sz="4" w:space="0" w:color="31190D"/>
                            </w:tcBorders>
                            <w:shd w:val="clear" w:color="auto" w:fill="FDF8E3"/>
                            <w:vAlign w:val="center"/>
                          </w:tcPr>
                          <w:p w14:paraId="69CB0AA6"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Medium </w:t>
                            </w:r>
                          </w:p>
                        </w:tc>
                        <w:tc>
                          <w:tcPr>
                            <w:tcW w:w="907" w:type="dxa"/>
                            <w:gridSpan w:val="9"/>
                            <w:tcBorders>
                              <w:top w:val="single" w:sz="4" w:space="0" w:color="080F07"/>
                              <w:left w:val="single" w:sz="4" w:space="0" w:color="31190D"/>
                              <w:bottom w:val="single" w:sz="4" w:space="0" w:color="000000"/>
                              <w:right w:val="single" w:sz="4" w:space="0" w:color="1D0B06"/>
                            </w:tcBorders>
                            <w:shd w:val="clear" w:color="auto" w:fill="FDF8E3"/>
                            <w:vAlign w:val="center"/>
                          </w:tcPr>
                          <w:p w14:paraId="2D646A15"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High </w:t>
                            </w:r>
                          </w:p>
                        </w:tc>
                      </w:tr>
                      <w:tr w:rsidR="00000000" w14:paraId="0DBAF213" w14:textId="77777777">
                        <w:tblPrEx>
                          <w:tblCellMar>
                            <w:top w:w="0" w:type="dxa"/>
                            <w:bottom w:w="0" w:type="dxa"/>
                          </w:tblCellMar>
                        </w:tblPrEx>
                        <w:trPr>
                          <w:gridAfter w:val="10"/>
                          <w:wAfter w:w="2213" w:type="dxa"/>
                          <w:trHeight w:val="185"/>
                        </w:trPr>
                        <w:tc>
                          <w:tcPr>
                            <w:tcW w:w="930" w:type="dxa"/>
                            <w:vMerge/>
                            <w:tcBorders>
                              <w:top w:val="single" w:sz="4" w:space="0" w:color="180804"/>
                              <w:left w:val="single" w:sz="4" w:space="0" w:color="000000"/>
                              <w:bottom w:val="single" w:sz="4" w:space="0" w:color="000000"/>
                              <w:right w:val="single" w:sz="4" w:space="0" w:color="000000"/>
                            </w:tcBorders>
                            <w:shd w:val="clear" w:color="auto" w:fill="FBF3CF"/>
                            <w:vAlign w:val="center"/>
                          </w:tcPr>
                          <w:p w14:paraId="296C2697" w14:textId="77777777" w:rsidR="00000000" w:rsidRDefault="00A450E1">
                            <w:pPr>
                              <w:pStyle w:val="Default"/>
                              <w:jc w:val="center"/>
                              <w:rPr>
                                <w:rFonts w:cs="Times New Roman"/>
                                <w:color w:val="auto"/>
                              </w:rPr>
                            </w:pPr>
                          </w:p>
                        </w:tc>
                        <w:tc>
                          <w:tcPr>
                            <w:tcW w:w="952" w:type="dxa"/>
                            <w:gridSpan w:val="6"/>
                            <w:tcBorders>
                              <w:top w:val="single" w:sz="4" w:space="0" w:color="000000"/>
                              <w:left w:val="single" w:sz="4" w:space="0" w:color="000000"/>
                              <w:bottom w:val="single" w:sz="4" w:space="0" w:color="000000"/>
                              <w:right w:val="single" w:sz="4" w:space="0" w:color="091007"/>
                            </w:tcBorders>
                            <w:shd w:val="clear" w:color="auto" w:fill="FBF3CF"/>
                          </w:tcPr>
                          <w:p w14:paraId="3511360A" w14:textId="77777777" w:rsidR="00000000" w:rsidRDefault="00A450E1">
                            <w:pPr>
                              <w:pStyle w:val="Default"/>
                              <w:jc w:val="center"/>
                              <w:rPr>
                                <w:rFonts w:cs="Times New Roman"/>
                                <w:color w:val="auto"/>
                              </w:rPr>
                            </w:pPr>
                          </w:p>
                        </w:tc>
                        <w:tc>
                          <w:tcPr>
                            <w:tcW w:w="907" w:type="dxa"/>
                            <w:gridSpan w:val="8"/>
                            <w:tcBorders>
                              <w:top w:val="single" w:sz="4" w:space="0" w:color="000000"/>
                              <w:left w:val="single" w:sz="4" w:space="0" w:color="091007"/>
                              <w:bottom w:val="single" w:sz="4" w:space="0" w:color="000000"/>
                            </w:tcBorders>
                            <w:shd w:val="clear" w:color="auto" w:fill="FBF3CF"/>
                          </w:tcPr>
                          <w:p w14:paraId="7052F4EC" w14:textId="77777777" w:rsidR="00000000" w:rsidRDefault="00A450E1">
                            <w:pPr>
                              <w:pStyle w:val="Default"/>
                              <w:jc w:val="center"/>
                              <w:rPr>
                                <w:rFonts w:cs="Times New Roman"/>
                                <w:color w:val="auto"/>
                              </w:rPr>
                            </w:pPr>
                          </w:p>
                        </w:tc>
                        <w:tc>
                          <w:tcPr>
                            <w:tcW w:w="965" w:type="dxa"/>
                            <w:gridSpan w:val="2"/>
                            <w:tcBorders>
                              <w:top w:val="single" w:sz="4" w:space="0" w:color="000000"/>
                              <w:bottom w:val="single" w:sz="4" w:space="0" w:color="000000"/>
                            </w:tcBorders>
                            <w:shd w:val="clear" w:color="auto" w:fill="FBF3CF"/>
                            <w:vAlign w:val="center"/>
                          </w:tcPr>
                          <w:p w14:paraId="398AF30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Likelihood </w:t>
                            </w:r>
                          </w:p>
                        </w:tc>
                        <w:tc>
                          <w:tcPr>
                            <w:tcW w:w="907" w:type="dxa"/>
                            <w:gridSpan w:val="9"/>
                            <w:tcBorders>
                              <w:top w:val="single" w:sz="4" w:space="0" w:color="000000"/>
                              <w:bottom w:val="single" w:sz="4" w:space="0" w:color="000000"/>
                              <w:right w:val="single" w:sz="4" w:space="0" w:color="1D0B06"/>
                            </w:tcBorders>
                            <w:shd w:val="clear" w:color="auto" w:fill="FBF3CF"/>
                          </w:tcPr>
                          <w:p w14:paraId="229A1F99" w14:textId="77777777" w:rsidR="00000000" w:rsidRDefault="00A450E1">
                            <w:pPr>
                              <w:pStyle w:val="Default"/>
                              <w:jc w:val="center"/>
                              <w:rPr>
                                <w:rFonts w:cs="Times New Roman"/>
                                <w:color w:val="auto"/>
                              </w:rPr>
                            </w:pPr>
                          </w:p>
                        </w:tc>
                      </w:tr>
                    </w:tbl>
                  </w:txbxContent>
                </v:textbox>
                <w10:wrap type="through" anchorx="page" anchory="page"/>
              </v:shape>
            </w:pict>
          </mc:Fallback>
        </mc:AlternateContent>
      </w:r>
    </w:p>
    <w:p w14:paraId="089507FE" w14:textId="77777777" w:rsidR="00541A14" w:rsidRDefault="00DD420F">
      <w:pPr>
        <w:pStyle w:val="Default"/>
        <w:framePr w:w="1036" w:wrap="auto" w:vAnchor="page" w:hAnchor="page" w:x="3147" w:y="13877"/>
        <w:spacing w:after="640"/>
        <w:rPr>
          <w:rFonts w:cs="Times New Roman"/>
          <w:color w:val="auto"/>
        </w:rPr>
      </w:pPr>
      <w:r>
        <w:rPr>
          <w:rFonts w:cs="Times New Roman"/>
          <w:noProof/>
          <w:color w:val="auto"/>
        </w:rPr>
        <w:drawing>
          <wp:inline distT="0" distB="0" distL="0" distR="0" wp14:anchorId="28BD07DD" wp14:editId="76E372DD">
            <wp:extent cx="142240" cy="584835"/>
            <wp:effectExtent l="0" t="0" r="1016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42240" cy="584835"/>
                    </a:xfrm>
                    <a:prstGeom prst="rect">
                      <a:avLst/>
                    </a:prstGeom>
                    <a:noFill/>
                    <a:ln>
                      <a:noFill/>
                    </a:ln>
                  </pic:spPr>
                </pic:pic>
              </a:graphicData>
            </a:graphic>
          </wp:inline>
        </w:drawing>
      </w:r>
    </w:p>
    <w:p w14:paraId="5860624E" w14:textId="77777777" w:rsidR="00541A14" w:rsidRDefault="00A450E1">
      <w:pPr>
        <w:pStyle w:val="CM172"/>
        <w:spacing w:after="202" w:line="346" w:lineRule="atLeast"/>
        <w:rPr>
          <w:sz w:val="18"/>
          <w:szCs w:val="18"/>
        </w:rPr>
      </w:pPr>
      <w:r>
        <w:rPr>
          <w:sz w:val="18"/>
          <w:szCs w:val="18"/>
        </w:rPr>
        <w:t xml:space="preserve">High Level of Risk Medium Level of Risk with Caution Low Level of Risk </w:t>
      </w:r>
    </w:p>
    <w:p w14:paraId="04A82BAC" w14:textId="77777777" w:rsidR="00541A14" w:rsidRDefault="00A450E1">
      <w:pPr>
        <w:pStyle w:val="CM190"/>
        <w:spacing w:after="1020"/>
        <w:ind w:left="1087"/>
        <w:rPr>
          <w:rFonts w:ascii="Palatino" w:hAnsi="Palatino" w:cs="Palatino"/>
          <w:sz w:val="20"/>
          <w:szCs w:val="20"/>
        </w:rPr>
      </w:pPr>
      <w:r>
        <w:rPr>
          <w:rFonts w:ascii="Palatino" w:hAnsi="Palatino" w:cs="Palatino"/>
          <w:i/>
          <w:iCs/>
          <w:sz w:val="20"/>
          <w:szCs w:val="20"/>
        </w:rPr>
        <w:t xml:space="preserve">Figure 31 – Risk matrix </w:t>
      </w:r>
    </w:p>
    <w:p w14:paraId="42A01716" w14:textId="77777777" w:rsidR="00541A14" w:rsidRDefault="00DD420F">
      <w:pPr>
        <w:pStyle w:val="Default"/>
        <w:framePr w:w="10739" w:wrap="auto" w:vAnchor="page" w:hAnchor="page" w:x="1434" w:y="16278"/>
        <w:rPr>
          <w:rFonts w:ascii="Palatino" w:hAnsi="Palatino" w:cs="Palatino"/>
          <w:color w:val="auto"/>
          <w:sz w:val="20"/>
          <w:szCs w:val="20"/>
        </w:rPr>
      </w:pPr>
      <w:r>
        <w:rPr>
          <w:rFonts w:ascii="Palatino" w:hAnsi="Palatino" w:cs="Palatino"/>
          <w:noProof/>
          <w:color w:val="auto"/>
          <w:sz w:val="20"/>
          <w:szCs w:val="20"/>
        </w:rPr>
        <w:drawing>
          <wp:inline distT="0" distB="0" distL="0" distR="0" wp14:anchorId="0EBA705D" wp14:editId="21755ECD">
            <wp:extent cx="7542530" cy="420370"/>
            <wp:effectExtent l="0" t="0" r="1270" b="1143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12A28A46" w14:textId="77777777" w:rsidR="00541A14" w:rsidRDefault="00DD420F">
      <w:pPr>
        <w:pStyle w:val="Default"/>
        <w:pageBreakBefore/>
        <w:framePr w:w="24782" w:wrap="auto" w:vAnchor="page" w:hAnchor="page" w:x="101" w:y="1"/>
        <w:spacing w:after="560"/>
        <w:rPr>
          <w:rFonts w:ascii="Palatino" w:hAnsi="Palatino" w:cs="Palatino"/>
          <w:color w:val="auto"/>
          <w:sz w:val="20"/>
          <w:szCs w:val="20"/>
        </w:rPr>
      </w:pPr>
      <w:r>
        <w:rPr>
          <w:rFonts w:ascii="Palatino" w:hAnsi="Palatino" w:cs="Palatino"/>
          <w:noProof/>
          <w:color w:val="auto"/>
          <w:sz w:val="20"/>
          <w:szCs w:val="20"/>
        </w:rPr>
        <w:drawing>
          <wp:inline distT="0" distB="0" distL="0" distR="0" wp14:anchorId="2EC2AF19" wp14:editId="7DC416A3">
            <wp:extent cx="7553960" cy="106743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009F6CC3"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8.4 Availability Objectives </w:t>
      </w:r>
    </w:p>
    <w:p w14:paraId="7F1C135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Members of IALA became interested in the concept of availability around 1975 when significant </w:t>
      </w:r>
    </w:p>
    <w:p w14:paraId="731EA14F"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numbers of lighthouses were being automated and destaffed. The measurement of ‘Availability’ provided a quantitative measure of performance (or service to the mariner) that was independent of whether an aid to navigation was manned or not. </w:t>
      </w:r>
    </w:p>
    <w:p w14:paraId="791F3B9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‘Availability’ is a useful indicator of the level of service provided by individual or defined groups </w:t>
      </w:r>
    </w:p>
    <w:p w14:paraId="3E3F4091"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of aids to navigation because it is representative of all the considerations, within the control of the Authority, that have gone into providing and maintaining the facility. These include: </w:t>
      </w:r>
    </w:p>
    <w:p w14:paraId="1B9CD39E" w14:textId="77777777" w:rsidR="00541A14" w:rsidRDefault="00A450E1">
      <w:pPr>
        <w:pStyle w:val="Default"/>
        <w:numPr>
          <w:ilvl w:val="0"/>
          <w:numId w:val="161"/>
        </w:numPr>
        <w:rPr>
          <w:rFonts w:ascii="Palatino" w:hAnsi="Palatino" w:cs="Palatino"/>
          <w:sz w:val="20"/>
          <w:szCs w:val="20"/>
        </w:rPr>
      </w:pPr>
      <w:r>
        <w:rPr>
          <w:rFonts w:ascii="Palatino" w:hAnsi="Palatino" w:cs="Palatino"/>
          <w:sz w:val="20"/>
          <w:szCs w:val="20"/>
        </w:rPr>
        <w:t xml:space="preserve">quality assurance procedures; </w:t>
      </w:r>
    </w:p>
    <w:p w14:paraId="6A6F1F2D" w14:textId="77777777" w:rsidR="00541A14" w:rsidRDefault="00A450E1">
      <w:pPr>
        <w:pStyle w:val="Default"/>
        <w:numPr>
          <w:ilvl w:val="0"/>
          <w:numId w:val="161"/>
        </w:numPr>
        <w:rPr>
          <w:rFonts w:ascii="Palatino" w:hAnsi="Palatino" w:cs="Palatino"/>
          <w:sz w:val="20"/>
          <w:szCs w:val="20"/>
        </w:rPr>
      </w:pPr>
      <w:r>
        <w:rPr>
          <w:rFonts w:ascii="Palatino" w:hAnsi="Palatino" w:cs="Palatino"/>
          <w:sz w:val="20"/>
          <w:szCs w:val="20"/>
        </w:rPr>
        <w:t xml:space="preserve">design and systems engineering; </w:t>
      </w:r>
    </w:p>
    <w:p w14:paraId="440BE5D4" w14:textId="77777777" w:rsidR="00541A14" w:rsidRDefault="00A450E1">
      <w:pPr>
        <w:pStyle w:val="Default"/>
        <w:numPr>
          <w:ilvl w:val="0"/>
          <w:numId w:val="161"/>
        </w:numPr>
        <w:rPr>
          <w:rFonts w:ascii="Palatino" w:hAnsi="Palatino" w:cs="Palatino"/>
          <w:sz w:val="20"/>
          <w:szCs w:val="20"/>
        </w:rPr>
      </w:pPr>
      <w:r>
        <w:rPr>
          <w:rFonts w:ascii="Palatino" w:hAnsi="Palatino" w:cs="Palatino"/>
          <w:sz w:val="20"/>
          <w:szCs w:val="20"/>
        </w:rPr>
        <w:t xml:space="preserve">procurement; </w:t>
      </w:r>
    </w:p>
    <w:p w14:paraId="177CBFBF" w14:textId="77777777" w:rsidR="00541A14" w:rsidRDefault="00A450E1">
      <w:pPr>
        <w:pStyle w:val="Default"/>
        <w:numPr>
          <w:ilvl w:val="0"/>
          <w:numId w:val="161"/>
        </w:numPr>
        <w:rPr>
          <w:rFonts w:ascii="Palatino" w:hAnsi="Palatino" w:cs="Palatino"/>
          <w:sz w:val="20"/>
          <w:szCs w:val="20"/>
        </w:rPr>
      </w:pPr>
      <w:r>
        <w:rPr>
          <w:rFonts w:ascii="Palatino" w:hAnsi="Palatino" w:cs="Palatino"/>
          <w:sz w:val="20"/>
          <w:szCs w:val="20"/>
        </w:rPr>
        <w:t xml:space="preserve">installation; </w:t>
      </w:r>
    </w:p>
    <w:p w14:paraId="27D4D20A" w14:textId="77777777" w:rsidR="00541A14" w:rsidRDefault="00A450E1">
      <w:pPr>
        <w:pStyle w:val="Default"/>
        <w:numPr>
          <w:ilvl w:val="0"/>
          <w:numId w:val="161"/>
        </w:numPr>
        <w:rPr>
          <w:rFonts w:ascii="Palatino" w:hAnsi="Palatino" w:cs="Palatino"/>
          <w:sz w:val="20"/>
          <w:szCs w:val="20"/>
        </w:rPr>
      </w:pPr>
      <w:r>
        <w:rPr>
          <w:rFonts w:ascii="Palatino" w:hAnsi="Palatino" w:cs="Palatino"/>
          <w:sz w:val="20"/>
          <w:szCs w:val="20"/>
        </w:rPr>
        <w:t xml:space="preserve">maintenance procedures; </w:t>
      </w:r>
    </w:p>
    <w:p w14:paraId="2A8A8055" w14:textId="77777777" w:rsidR="00541A14" w:rsidRDefault="00A450E1">
      <w:pPr>
        <w:pStyle w:val="Default"/>
        <w:numPr>
          <w:ilvl w:val="0"/>
          <w:numId w:val="161"/>
        </w:numPr>
        <w:rPr>
          <w:rFonts w:ascii="Palatino" w:hAnsi="Palatino" w:cs="Palatino"/>
          <w:sz w:val="20"/>
          <w:szCs w:val="20"/>
        </w:rPr>
      </w:pPr>
      <w:r>
        <w:rPr>
          <w:rFonts w:ascii="Palatino" w:hAnsi="Palatino" w:cs="Palatino"/>
          <w:sz w:val="20"/>
          <w:szCs w:val="20"/>
        </w:rPr>
        <w:t xml:space="preserve">failure response; </w:t>
      </w:r>
    </w:p>
    <w:p w14:paraId="1E6A0749" w14:textId="77777777" w:rsidR="00541A14" w:rsidRDefault="00A450E1">
      <w:pPr>
        <w:pStyle w:val="Default"/>
        <w:numPr>
          <w:ilvl w:val="0"/>
          <w:numId w:val="161"/>
        </w:numPr>
        <w:rPr>
          <w:rFonts w:ascii="Palatino" w:hAnsi="Palatino" w:cs="Palatino"/>
          <w:sz w:val="20"/>
          <w:szCs w:val="20"/>
        </w:rPr>
      </w:pPr>
      <w:r>
        <w:rPr>
          <w:rFonts w:ascii="Palatino" w:hAnsi="Palatino" w:cs="Palatino"/>
          <w:sz w:val="20"/>
          <w:szCs w:val="20"/>
        </w:rPr>
        <w:t xml:space="preserve">logistical arrangements. </w:t>
      </w:r>
    </w:p>
    <w:p w14:paraId="64A63D28" w14:textId="77777777" w:rsidR="00541A14" w:rsidRDefault="00541A14">
      <w:pPr>
        <w:pStyle w:val="Default"/>
        <w:rPr>
          <w:rFonts w:ascii="Palatino" w:hAnsi="Palatino" w:cs="Palatino"/>
          <w:sz w:val="20"/>
          <w:szCs w:val="20"/>
        </w:rPr>
      </w:pPr>
    </w:p>
    <w:p w14:paraId="588505DD"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In developing the concept of Availability, IALA considered it necessary to measure the long-term performance of an aid to navigation. To achieve this it was recommended that the calculations should use a time interval greater than 2 years. The original examples developed for the three availability categories of lights were based on a 1000 day time interval (most likely to simplify the conceptual calculations). </w:t>
      </w:r>
    </w:p>
    <w:p w14:paraId="023EE36E"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8.4.1 Calculation of Availability </w:t>
      </w:r>
    </w:p>
    <w:p w14:paraId="41A794E7"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The availability of an aid to navigation may be calculated using one of the following equations, and is usually expressed as a percentage: </w:t>
      </w:r>
    </w:p>
    <w:p w14:paraId="5508469F" w14:textId="77777777" w:rsidR="00541A14" w:rsidRDefault="00A450E1">
      <w:pPr>
        <w:pStyle w:val="CM194"/>
        <w:spacing w:after="138"/>
        <w:ind w:left="2272"/>
        <w:rPr>
          <w:rFonts w:ascii="Palatino" w:hAnsi="Palatino" w:cs="Palatino"/>
          <w:color w:val="000000"/>
          <w:sz w:val="29"/>
          <w:szCs w:val="29"/>
        </w:rPr>
      </w:pPr>
      <w:r>
        <w:rPr>
          <w:rFonts w:ascii="Palatino" w:hAnsi="Palatino" w:cs="Palatino"/>
          <w:color w:val="000000"/>
          <w:sz w:val="29"/>
          <w:szCs w:val="29"/>
          <w:u w:val="single"/>
        </w:rPr>
        <w:t>(MTB</w:t>
      </w:r>
      <w:r>
        <w:rPr>
          <w:rFonts w:ascii="Times New Roman" w:hAnsi="Times New Roman"/>
          <w:i/>
          <w:iCs/>
          <w:color w:val="000000"/>
          <w:sz w:val="22"/>
          <w:szCs w:val="22"/>
          <w:u w:val="single"/>
        </w:rPr>
        <w:t xml:space="preserve">F </w:t>
      </w:r>
      <w:r>
        <w:rPr>
          <w:rFonts w:ascii="Times New Roman" w:hAnsi="Times New Roman"/>
          <w:color w:val="000000"/>
          <w:sz w:val="29"/>
          <w:szCs w:val="29"/>
          <w:u w:val="single"/>
        </w:rPr>
        <w:t>) U</w:t>
      </w:r>
      <w:r>
        <w:rPr>
          <w:rFonts w:ascii="Times New Roman" w:hAnsi="Times New Roman"/>
          <w:i/>
          <w:iCs/>
          <w:color w:val="000000"/>
          <w:sz w:val="22"/>
          <w:szCs w:val="22"/>
          <w:u w:val="single"/>
        </w:rPr>
        <w:t xml:space="preserve">p </w:t>
      </w:r>
      <w:r>
        <w:rPr>
          <w:rFonts w:ascii="Times New Roman" w:hAnsi="Times New Roman"/>
          <w:color w:val="000000"/>
          <w:sz w:val="22"/>
          <w:szCs w:val="22"/>
          <w:u w:val="single"/>
        </w:rPr>
        <w:t>tim</w:t>
      </w:r>
      <w:r>
        <w:rPr>
          <w:rFonts w:ascii="Times New Roman" w:hAnsi="Times New Roman"/>
          <w:i/>
          <w:iCs/>
          <w:color w:val="000000"/>
          <w:sz w:val="22"/>
          <w:szCs w:val="22"/>
          <w:u w:val="single"/>
        </w:rPr>
        <w:t xml:space="preserve">e </w:t>
      </w:r>
      <w:r>
        <w:rPr>
          <w:rFonts w:ascii="Times New Roman" w:hAnsi="Times New Roman"/>
          <w:color w:val="000000"/>
          <w:sz w:val="22"/>
          <w:szCs w:val="22"/>
          <w:u w:val="single"/>
        </w:rPr>
        <w:t>(Tota</w:t>
      </w:r>
      <w:r>
        <w:rPr>
          <w:rFonts w:ascii="Times New Roman" w:hAnsi="Times New Roman"/>
          <w:i/>
          <w:iCs/>
          <w:color w:val="000000"/>
          <w:sz w:val="22"/>
          <w:szCs w:val="22"/>
          <w:u w:val="single"/>
        </w:rPr>
        <w:t xml:space="preserve">l </w:t>
      </w:r>
      <w:r>
        <w:rPr>
          <w:rFonts w:ascii="Times New Roman" w:hAnsi="Times New Roman"/>
          <w:color w:val="000000"/>
          <w:sz w:val="22"/>
          <w:szCs w:val="22"/>
          <w:u w:val="single"/>
        </w:rPr>
        <w:t>tim</w:t>
      </w:r>
      <w:r>
        <w:rPr>
          <w:rFonts w:ascii="Times New Roman" w:hAnsi="Times New Roman"/>
          <w:i/>
          <w:iCs/>
          <w:color w:val="000000"/>
          <w:sz w:val="22"/>
          <w:szCs w:val="22"/>
          <w:u w:val="single"/>
        </w:rPr>
        <w:t xml:space="preserve">e </w:t>
      </w:r>
      <w:r>
        <w:rPr>
          <w:rFonts w:ascii="Times New Roman" w:hAnsi="Times New Roman"/>
          <w:color w:val="000000"/>
          <w:sz w:val="22"/>
          <w:szCs w:val="22"/>
          <w:u w:val="single"/>
        </w:rPr>
        <w:t>− Dow</w:t>
      </w:r>
      <w:r>
        <w:rPr>
          <w:rFonts w:ascii="Times New Roman" w:hAnsi="Times New Roman"/>
          <w:i/>
          <w:iCs/>
          <w:color w:val="000000"/>
          <w:sz w:val="22"/>
          <w:szCs w:val="22"/>
          <w:u w:val="single"/>
        </w:rPr>
        <w:t xml:space="preserve">n </w:t>
      </w:r>
      <w:r>
        <w:rPr>
          <w:rFonts w:ascii="Times New Roman" w:hAnsi="Times New Roman"/>
          <w:color w:val="000000"/>
          <w:sz w:val="22"/>
          <w:szCs w:val="22"/>
          <w:u w:val="single"/>
        </w:rPr>
        <w:t>Time)</w:t>
      </w:r>
    </w:p>
    <w:p w14:paraId="398A3766" w14:textId="77777777" w:rsidR="00541A14" w:rsidRDefault="00A450E1">
      <w:pPr>
        <w:pStyle w:val="CM169"/>
        <w:spacing w:after="65"/>
        <w:ind w:left="3732" w:hanging="3188"/>
        <w:rPr>
          <w:rFonts w:ascii="Times New Roman" w:hAnsi="Times New Roman"/>
          <w:color w:val="000000"/>
          <w:sz w:val="22"/>
          <w:szCs w:val="22"/>
        </w:rPr>
      </w:pPr>
      <w:r>
        <w:rPr>
          <w:rFonts w:ascii="Times New Roman" w:hAnsi="Times New Roman"/>
          <w:i/>
          <w:iCs/>
          <w:color w:val="000000"/>
          <w:sz w:val="22"/>
          <w:szCs w:val="22"/>
        </w:rPr>
        <w:t xml:space="preserve">Availability </w:t>
      </w:r>
      <w:r>
        <w:rPr>
          <w:rFonts w:ascii="Times New Roman" w:hAnsi="Times New Roman"/>
          <w:color w:val="000000"/>
          <w:sz w:val="22"/>
          <w:szCs w:val="22"/>
        </w:rPr>
        <w:t xml:space="preserve">= </w:t>
      </w:r>
      <w:r>
        <w:rPr>
          <w:rFonts w:ascii="Times New Roman" w:hAnsi="Times New Roman"/>
          <w:i/>
          <w:iCs/>
          <w:color w:val="000000"/>
          <w:sz w:val="22"/>
          <w:szCs w:val="22"/>
        </w:rPr>
        <w:t>or or</w:t>
      </w:r>
    </w:p>
    <w:p w14:paraId="067C24A4" w14:textId="77777777" w:rsidR="00541A14" w:rsidRDefault="00A450E1">
      <w:pPr>
        <w:pStyle w:val="CM173"/>
        <w:spacing w:after="340"/>
        <w:jc w:val="center"/>
        <w:rPr>
          <w:rFonts w:ascii="Times New Roman" w:hAnsi="Times New Roman"/>
          <w:color w:val="000000"/>
          <w:sz w:val="22"/>
          <w:szCs w:val="22"/>
        </w:rPr>
      </w:pPr>
      <w:r>
        <w:rPr>
          <w:rFonts w:ascii="Times New Roman" w:hAnsi="Times New Roman"/>
          <w:color w:val="000000"/>
          <w:sz w:val="29"/>
          <w:szCs w:val="29"/>
        </w:rPr>
        <w:t>(MTB</w:t>
      </w:r>
      <w:r>
        <w:rPr>
          <w:rFonts w:ascii="Times New Roman" w:hAnsi="Times New Roman"/>
          <w:i/>
          <w:iCs/>
          <w:color w:val="000000"/>
          <w:sz w:val="22"/>
          <w:szCs w:val="22"/>
        </w:rPr>
        <w:t xml:space="preserve">F </w:t>
      </w:r>
      <w:r>
        <w:rPr>
          <w:rFonts w:ascii="Times New Roman" w:hAnsi="Times New Roman"/>
          <w:color w:val="000000"/>
          <w:sz w:val="22"/>
          <w:szCs w:val="22"/>
        </w:rPr>
        <w:t xml:space="preserve">+ </w:t>
      </w:r>
      <w:r>
        <w:rPr>
          <w:rFonts w:ascii="Times New Roman" w:hAnsi="Times New Roman"/>
          <w:i/>
          <w:iCs/>
          <w:color w:val="000000"/>
          <w:sz w:val="22"/>
          <w:szCs w:val="22"/>
        </w:rPr>
        <w:t>MTTR</w:t>
      </w:r>
      <w:r>
        <w:rPr>
          <w:rFonts w:ascii="Times New Roman" w:hAnsi="Times New Roman"/>
          <w:color w:val="000000"/>
          <w:sz w:val="29"/>
          <w:szCs w:val="29"/>
        </w:rPr>
        <w:t xml:space="preserve">) </w:t>
      </w:r>
      <w:r>
        <w:rPr>
          <w:rFonts w:ascii="Times New Roman" w:hAnsi="Times New Roman"/>
          <w:i/>
          <w:iCs/>
          <w:color w:val="000000"/>
          <w:sz w:val="22"/>
          <w:szCs w:val="22"/>
        </w:rPr>
        <w:t xml:space="preserve">Total Time Total Time </w:t>
      </w:r>
    </w:p>
    <w:p w14:paraId="63966039" w14:textId="77777777" w:rsidR="00541A14" w:rsidRDefault="00A450E1">
      <w:pPr>
        <w:pStyle w:val="CM172"/>
        <w:spacing w:after="202"/>
        <w:rPr>
          <w:rFonts w:ascii="Futura Book" w:hAnsi="Futura Book" w:cs="Futura Book"/>
          <w:color w:val="2C5062"/>
          <w:sz w:val="22"/>
          <w:szCs w:val="22"/>
        </w:rPr>
      </w:pPr>
      <w:r>
        <w:rPr>
          <w:rFonts w:ascii="Futura Book" w:hAnsi="Futura Book" w:cs="Futura Book"/>
          <w:b/>
          <w:bCs/>
          <w:color w:val="2C5062"/>
          <w:sz w:val="22"/>
          <w:szCs w:val="22"/>
        </w:rPr>
        <w:t xml:space="preserve">8.4.2 Definition and Comments on Terms </w:t>
      </w:r>
    </w:p>
    <w:p w14:paraId="1AF650D6"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Reliability </w:t>
      </w:r>
    </w:p>
    <w:p w14:paraId="7687EB52" w14:textId="77777777" w:rsidR="00541A14" w:rsidRDefault="00A450E1">
      <w:pPr>
        <w:pStyle w:val="CM175"/>
        <w:spacing w:after="267" w:line="293" w:lineRule="atLeast"/>
        <w:ind w:right="245"/>
        <w:rPr>
          <w:rFonts w:ascii="Palatino" w:hAnsi="Palatino" w:cs="Palatino"/>
          <w:color w:val="000000"/>
          <w:sz w:val="20"/>
          <w:szCs w:val="20"/>
        </w:rPr>
      </w:pPr>
      <w:r>
        <w:rPr>
          <w:rFonts w:ascii="Palatino" w:hAnsi="Palatino" w:cs="Palatino"/>
          <w:color w:val="000000"/>
          <w:sz w:val="20"/>
          <w:szCs w:val="20"/>
        </w:rPr>
        <w:t>This is the probability that an aid to navigation</w:t>
      </w:r>
      <w:r>
        <w:rPr>
          <w:rFonts w:ascii="Palatino" w:hAnsi="Palatino" w:cs="Palatino"/>
          <w:color w:val="000000"/>
          <w:position w:val="7"/>
          <w:sz w:val="11"/>
          <w:szCs w:val="11"/>
          <w:vertAlign w:val="superscript"/>
        </w:rPr>
        <w:t>45</w:t>
      </w:r>
      <w:r>
        <w:rPr>
          <w:rFonts w:ascii="Palatino" w:hAnsi="Palatino" w:cs="Palatino"/>
          <w:color w:val="000000"/>
          <w:sz w:val="20"/>
          <w:szCs w:val="20"/>
        </w:rPr>
        <w:t xml:space="preserve">, when it is available, performs a specified function without failure under given conditions for a specified time. </w:t>
      </w:r>
    </w:p>
    <w:p w14:paraId="575B90DD"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Availability </w:t>
      </w:r>
    </w:p>
    <w:p w14:paraId="6ED153A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This is the probability that an aid to navigation or system is performing its specified function at any </w:t>
      </w:r>
    </w:p>
    <w:p w14:paraId="6F83716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randomly chosen time: </w:t>
      </w:r>
    </w:p>
    <w:p w14:paraId="20A1812A" w14:textId="77777777" w:rsidR="00541A14" w:rsidRDefault="00A450E1">
      <w:pPr>
        <w:pStyle w:val="Default"/>
        <w:numPr>
          <w:ilvl w:val="0"/>
          <w:numId w:val="162"/>
        </w:numPr>
        <w:rPr>
          <w:rFonts w:ascii="Palatino" w:hAnsi="Palatino" w:cs="Palatino"/>
          <w:sz w:val="20"/>
          <w:szCs w:val="20"/>
        </w:rPr>
      </w:pPr>
      <w:r>
        <w:rPr>
          <w:rFonts w:ascii="Palatino" w:hAnsi="Palatino" w:cs="Palatino"/>
          <w:sz w:val="20"/>
          <w:szCs w:val="20"/>
        </w:rPr>
        <w:t xml:space="preserve">IALA generally uses the term as a historical measure of the percentage of time that an aid to navigation was performing its specified function. </w:t>
      </w:r>
    </w:p>
    <w:p w14:paraId="6EE4E386" w14:textId="77777777" w:rsidR="00541A14" w:rsidRDefault="00A450E1">
      <w:pPr>
        <w:pStyle w:val="Default"/>
        <w:numPr>
          <w:ilvl w:val="0"/>
          <w:numId w:val="162"/>
        </w:numPr>
        <w:rPr>
          <w:rFonts w:ascii="Palatino" w:hAnsi="Palatino" w:cs="Palatino"/>
          <w:sz w:val="20"/>
          <w:szCs w:val="20"/>
        </w:rPr>
      </w:pPr>
      <w:r>
        <w:rPr>
          <w:rFonts w:ascii="Palatino" w:hAnsi="Palatino" w:cs="Palatino"/>
          <w:sz w:val="20"/>
          <w:szCs w:val="20"/>
        </w:rPr>
        <w:t xml:space="preserve">The non-availability can be caused by scheduled and/or unscheduled interruptions. </w:t>
      </w:r>
    </w:p>
    <w:p w14:paraId="5DF97F84" w14:textId="77777777" w:rsidR="00541A14" w:rsidRDefault="00541A14">
      <w:pPr>
        <w:pStyle w:val="Default"/>
        <w:rPr>
          <w:rFonts w:ascii="Palatino" w:hAnsi="Palatino" w:cs="Palatino"/>
          <w:sz w:val="20"/>
          <w:szCs w:val="20"/>
        </w:rPr>
      </w:pPr>
    </w:p>
    <w:p w14:paraId="479DE443" w14:textId="77777777" w:rsidR="00541A14" w:rsidRDefault="00A450E1">
      <w:pPr>
        <w:pStyle w:val="CM163"/>
        <w:spacing w:after="642"/>
        <w:rPr>
          <w:rFonts w:ascii="Palatino" w:hAnsi="Palatino" w:cs="Palatino"/>
          <w:color w:val="000000"/>
          <w:sz w:val="20"/>
          <w:szCs w:val="20"/>
        </w:rPr>
      </w:pPr>
      <w:r>
        <w:rPr>
          <w:rFonts w:ascii="Palatino" w:hAnsi="Palatino" w:cs="Palatino"/>
          <w:color w:val="000000"/>
          <w:position w:val="6"/>
          <w:sz w:val="20"/>
          <w:szCs w:val="20"/>
          <w:vertAlign w:val="superscript"/>
        </w:rPr>
        <w:t>45</w:t>
      </w:r>
      <w:r>
        <w:rPr>
          <w:rFonts w:ascii="Palatino" w:hAnsi="Palatino" w:cs="Palatino"/>
          <w:color w:val="000000"/>
          <w:sz w:val="20"/>
          <w:szCs w:val="20"/>
        </w:rPr>
        <w:t xml:space="preserve">Or any nominated system or component. </w:t>
      </w:r>
    </w:p>
    <w:p w14:paraId="0F4ABB1B"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66A57322" wp14:editId="743ECC5F">
            <wp:extent cx="7553960" cy="420370"/>
            <wp:effectExtent l="0" t="0" r="0" b="1143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40F8A957" w14:textId="77777777" w:rsidR="00541A14" w:rsidRDefault="00DD420F">
      <w:pPr>
        <w:pStyle w:val="Default"/>
        <w:pageBreakBefore/>
        <w:framePr w:w="12876" w:wrap="auto" w:vAnchor="page" w:hAnchor="page" w:x="101" w:y="1"/>
        <w:spacing w:after="560"/>
        <w:rPr>
          <w:rFonts w:ascii="Palatino" w:hAnsi="Palatino" w:cs="Palatino"/>
          <w:sz w:val="20"/>
          <w:szCs w:val="20"/>
        </w:rPr>
      </w:pPr>
      <w:r>
        <w:rPr>
          <w:rFonts w:ascii="Palatino" w:hAnsi="Palatino" w:cs="Palatino"/>
          <w:noProof/>
          <w:sz w:val="20"/>
          <w:szCs w:val="20"/>
        </w:rPr>
        <w:drawing>
          <wp:inline distT="0" distB="0" distL="0" distR="0" wp14:anchorId="28333D5E" wp14:editId="50C60581">
            <wp:extent cx="7553960" cy="1056640"/>
            <wp:effectExtent l="0" t="0" r="0" b="1016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1E8540BB" w14:textId="77777777" w:rsidR="00541A14" w:rsidRDefault="00A450E1">
      <w:pPr>
        <w:pStyle w:val="CM165"/>
        <w:spacing w:after="85" w:line="296"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Continuity </w:t>
      </w:r>
    </w:p>
    <w:p w14:paraId="7910FC67" w14:textId="77777777" w:rsidR="00541A14" w:rsidRDefault="00A450E1">
      <w:pPr>
        <w:pStyle w:val="CM165"/>
        <w:spacing w:after="85" w:line="300" w:lineRule="atLeast"/>
        <w:ind w:right="145"/>
        <w:jc w:val="both"/>
        <w:rPr>
          <w:rFonts w:ascii="Palatino" w:hAnsi="Palatino" w:cs="Palatino"/>
          <w:color w:val="000000"/>
          <w:sz w:val="20"/>
          <w:szCs w:val="20"/>
        </w:rPr>
      </w:pPr>
      <w:r>
        <w:rPr>
          <w:rFonts w:ascii="Palatino" w:hAnsi="Palatino" w:cs="Palatino"/>
          <w:color w:val="000000"/>
          <w:sz w:val="20"/>
          <w:szCs w:val="20"/>
        </w:rPr>
        <w:t xml:space="preserve">This is the probability that an aid to navigation or system will perform its specified function without interruption during a specified time: </w:t>
      </w:r>
    </w:p>
    <w:p w14:paraId="1BAFFDA5"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 for example, if a DGPS station is functioning correctly when a vessel is about to make its </w:t>
      </w:r>
    </w:p>
    <w:p w14:paraId="49A27117" w14:textId="77777777" w:rsidR="00541A14" w:rsidRDefault="00A450E1">
      <w:pPr>
        <w:pStyle w:val="CM165"/>
        <w:spacing w:after="85" w:line="260" w:lineRule="atLeast"/>
        <w:ind w:left="300" w:right="495"/>
        <w:jc w:val="both"/>
        <w:rPr>
          <w:rFonts w:ascii="Palatino" w:hAnsi="Palatino" w:cs="Palatino"/>
          <w:color w:val="000000"/>
          <w:sz w:val="20"/>
          <w:szCs w:val="20"/>
        </w:rPr>
      </w:pPr>
      <w:r>
        <w:rPr>
          <w:rFonts w:ascii="Palatino" w:hAnsi="Palatino" w:cs="Palatino"/>
          <w:color w:val="000000"/>
          <w:sz w:val="20"/>
          <w:szCs w:val="20"/>
        </w:rPr>
        <w:t xml:space="preserve">approach into a port, the continuity factor is the probability that the DGPS service will not be interrupted in the time it takes the vessel to reach its berth; </w:t>
      </w:r>
    </w:p>
    <w:p w14:paraId="77D96A80" w14:textId="77777777" w:rsidR="00541A14" w:rsidRDefault="00A450E1">
      <w:pPr>
        <w:pStyle w:val="CM57"/>
        <w:jc w:val="both"/>
        <w:rPr>
          <w:rFonts w:ascii="Palatino" w:hAnsi="Palatino" w:cs="Palatino"/>
          <w:color w:val="000000"/>
          <w:sz w:val="20"/>
          <w:szCs w:val="20"/>
        </w:rPr>
      </w:pPr>
      <w:r>
        <w:rPr>
          <w:rFonts w:ascii="Palatino" w:hAnsi="Palatino" w:cs="Palatino"/>
          <w:color w:val="000000"/>
          <w:sz w:val="20"/>
          <w:szCs w:val="20"/>
        </w:rPr>
        <w:t xml:space="preserve">• for GNSS systems, IALA has proposed that the time interval for continuity calculations be </w:t>
      </w:r>
    </w:p>
    <w:p w14:paraId="6AD7A6F6" w14:textId="77777777" w:rsidR="00541A14" w:rsidRDefault="00A450E1">
      <w:pPr>
        <w:pStyle w:val="CM175"/>
        <w:spacing w:after="267" w:line="248" w:lineRule="atLeast"/>
        <w:ind w:left="307"/>
        <w:jc w:val="both"/>
        <w:rPr>
          <w:rFonts w:ascii="Palatino" w:hAnsi="Palatino" w:cs="Palatino"/>
          <w:color w:val="000000"/>
          <w:sz w:val="20"/>
          <w:szCs w:val="20"/>
        </w:rPr>
      </w:pPr>
      <w:r>
        <w:rPr>
          <w:rFonts w:ascii="Palatino" w:hAnsi="Palatino" w:cs="Palatino"/>
          <w:color w:val="000000"/>
          <w:sz w:val="20"/>
          <w:szCs w:val="20"/>
        </w:rPr>
        <w:t xml:space="preserve">based on a three-hour time frame. </w:t>
      </w:r>
    </w:p>
    <w:p w14:paraId="6E2D0BF3"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Redundancy </w:t>
      </w:r>
    </w:p>
    <w:p w14:paraId="5130485C" w14:textId="77777777" w:rsidR="00541A14" w:rsidRDefault="00A450E1">
      <w:pPr>
        <w:pStyle w:val="CM173"/>
        <w:spacing w:after="340" w:line="251" w:lineRule="atLeast"/>
        <w:jc w:val="both"/>
        <w:rPr>
          <w:rFonts w:ascii="Palatino" w:hAnsi="Palatino" w:cs="Palatino"/>
          <w:color w:val="000000"/>
          <w:sz w:val="20"/>
          <w:szCs w:val="20"/>
        </w:rPr>
      </w:pPr>
      <w:r>
        <w:rPr>
          <w:rFonts w:ascii="Palatino" w:hAnsi="Palatino" w:cs="Palatino"/>
          <w:color w:val="000000"/>
          <w:sz w:val="20"/>
          <w:szCs w:val="20"/>
        </w:rPr>
        <w:t xml:space="preserve">This is the existence of more than one means, identical or otherwise for accomplishing a task or mission. </w:t>
      </w:r>
    </w:p>
    <w:p w14:paraId="4454DE98" w14:textId="77777777" w:rsidR="00541A14" w:rsidRDefault="00A450E1">
      <w:pPr>
        <w:pStyle w:val="CM165"/>
        <w:spacing w:after="85" w:line="251"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Integrity </w:t>
      </w:r>
    </w:p>
    <w:p w14:paraId="06EC39A6" w14:textId="77777777" w:rsidR="00541A14" w:rsidRDefault="00A450E1">
      <w:pPr>
        <w:pStyle w:val="CM165"/>
        <w:spacing w:after="85" w:line="251" w:lineRule="atLeast"/>
        <w:jc w:val="both"/>
        <w:rPr>
          <w:rFonts w:ascii="Palatino" w:hAnsi="Palatino" w:cs="Palatino"/>
          <w:color w:val="000000"/>
          <w:sz w:val="20"/>
          <w:szCs w:val="20"/>
        </w:rPr>
      </w:pPr>
      <w:r>
        <w:rPr>
          <w:rFonts w:ascii="Palatino" w:hAnsi="Palatino" w:cs="Palatino"/>
          <w:color w:val="000000"/>
          <w:sz w:val="20"/>
          <w:szCs w:val="20"/>
        </w:rPr>
        <w:t xml:space="preserve">This is the ability to provide users with warnings within a specified time when the system should not </w:t>
      </w:r>
    </w:p>
    <w:p w14:paraId="2F6C5346" w14:textId="77777777" w:rsidR="00541A14" w:rsidRDefault="00A450E1">
      <w:pPr>
        <w:pStyle w:val="CM173"/>
        <w:spacing w:after="340"/>
        <w:jc w:val="both"/>
        <w:rPr>
          <w:rFonts w:ascii="Palatino" w:hAnsi="Palatino" w:cs="Palatino"/>
          <w:color w:val="000000"/>
          <w:sz w:val="20"/>
          <w:szCs w:val="20"/>
        </w:rPr>
      </w:pPr>
      <w:r>
        <w:rPr>
          <w:rFonts w:ascii="Palatino" w:hAnsi="Palatino" w:cs="Palatino"/>
          <w:color w:val="000000"/>
          <w:sz w:val="20"/>
          <w:szCs w:val="20"/>
        </w:rPr>
        <w:t>be used for navigation</w:t>
      </w:r>
      <w:r>
        <w:rPr>
          <w:rFonts w:ascii="Palatino" w:hAnsi="Palatino" w:cs="Palatino"/>
          <w:color w:val="000000"/>
          <w:position w:val="7"/>
          <w:sz w:val="11"/>
          <w:szCs w:val="11"/>
          <w:vertAlign w:val="superscript"/>
        </w:rPr>
        <w:t>46</w:t>
      </w:r>
      <w:r>
        <w:rPr>
          <w:rFonts w:ascii="Palatino" w:hAnsi="Palatino" w:cs="Palatino"/>
          <w:color w:val="000000"/>
          <w:sz w:val="20"/>
          <w:szCs w:val="20"/>
        </w:rPr>
        <w:t xml:space="preserve">. </w:t>
      </w:r>
    </w:p>
    <w:p w14:paraId="69C36038" w14:textId="77777777" w:rsidR="00541A14" w:rsidRDefault="00A450E1">
      <w:pPr>
        <w:pStyle w:val="CM57"/>
        <w:jc w:val="both"/>
        <w:rPr>
          <w:rFonts w:ascii="Futura Book" w:hAnsi="Futura Book" w:cs="Futura Book"/>
          <w:color w:val="2C5062"/>
          <w:sz w:val="20"/>
          <w:szCs w:val="20"/>
        </w:rPr>
      </w:pPr>
      <w:r>
        <w:rPr>
          <w:rFonts w:ascii="Futura Book" w:hAnsi="Futura Book" w:cs="Futura Book"/>
          <w:b/>
          <w:bCs/>
          <w:color w:val="2C5062"/>
          <w:sz w:val="20"/>
          <w:szCs w:val="20"/>
        </w:rPr>
        <w:t xml:space="preserve">Failure </w:t>
      </w:r>
    </w:p>
    <w:p w14:paraId="074F429A" w14:textId="77777777" w:rsidR="00541A14" w:rsidRDefault="00A450E1">
      <w:pPr>
        <w:pStyle w:val="CM175"/>
        <w:spacing w:after="267" w:line="300" w:lineRule="atLeast"/>
        <w:ind w:right="585"/>
        <w:jc w:val="both"/>
        <w:rPr>
          <w:rFonts w:ascii="Palatino" w:hAnsi="Palatino" w:cs="Palatino"/>
          <w:color w:val="000000"/>
          <w:sz w:val="20"/>
          <w:szCs w:val="20"/>
        </w:rPr>
      </w:pPr>
      <w:r>
        <w:rPr>
          <w:rFonts w:ascii="Palatino" w:hAnsi="Palatino" w:cs="Palatino"/>
          <w:color w:val="000000"/>
          <w:sz w:val="20"/>
          <w:szCs w:val="20"/>
        </w:rPr>
        <w:t xml:space="preserve">This is the unintentional termination of the ability of a system or part of a system to perform its required function. </w:t>
      </w:r>
    </w:p>
    <w:p w14:paraId="06BAC3E6" w14:textId="77777777" w:rsidR="00541A14" w:rsidRDefault="00A450E1">
      <w:pPr>
        <w:pStyle w:val="CM11"/>
        <w:jc w:val="both"/>
        <w:rPr>
          <w:rFonts w:ascii="Futura Book" w:hAnsi="Futura Book" w:cs="Futura Book"/>
          <w:color w:val="2C5062"/>
          <w:sz w:val="20"/>
          <w:szCs w:val="20"/>
        </w:rPr>
      </w:pPr>
      <w:r>
        <w:rPr>
          <w:rFonts w:ascii="Futura Book" w:hAnsi="Futura Book" w:cs="Futura Book"/>
          <w:b/>
          <w:bCs/>
          <w:color w:val="2C5062"/>
          <w:sz w:val="20"/>
          <w:szCs w:val="20"/>
        </w:rPr>
        <w:t xml:space="preserve">Mean Time Between Failures (MTBF) </w:t>
      </w:r>
    </w:p>
    <w:p w14:paraId="45F9F9A3"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This is the average time between successive failures of a system or part of a system.  It is a measure of reliability.  </w:t>
      </w:r>
    </w:p>
    <w:p w14:paraId="21EACD11"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for components, such as lamps, it is usual to determine the MTBF (or life) statistically by testing</w:t>
      </w:r>
    </w:p>
    <w:p w14:paraId="47C9B967"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a representative sample of components to destruction; </w:t>
      </w:r>
    </w:p>
    <w:p w14:paraId="20DA6F0C"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 for a system such as a DGPS station the MTBF is determined from the number of failures that </w:t>
      </w:r>
    </w:p>
    <w:p w14:paraId="76E2F5E6" w14:textId="77777777" w:rsidR="00541A14" w:rsidRDefault="00A450E1">
      <w:pPr>
        <w:pStyle w:val="CM172"/>
        <w:spacing w:after="202" w:line="296" w:lineRule="atLeast"/>
        <w:ind w:left="305"/>
        <w:jc w:val="both"/>
        <w:rPr>
          <w:rFonts w:ascii="Palatino" w:hAnsi="Palatino" w:cs="Palatino"/>
          <w:color w:val="000000"/>
          <w:sz w:val="20"/>
          <w:szCs w:val="20"/>
        </w:rPr>
      </w:pPr>
      <w:r>
        <w:rPr>
          <w:rFonts w:ascii="Palatino" w:hAnsi="Palatino" w:cs="Palatino"/>
          <w:color w:val="000000"/>
          <w:sz w:val="20"/>
          <w:szCs w:val="20"/>
        </w:rPr>
        <w:t xml:space="preserve">have occurred within a given interval.  For example; if four failures occur over a two year interval, the MTBF would be 4380 hours (ie. =24*365*2/4). </w:t>
      </w:r>
    </w:p>
    <w:p w14:paraId="7C0070E3" w14:textId="77777777" w:rsidR="00541A14" w:rsidRDefault="00A450E1">
      <w:pPr>
        <w:pStyle w:val="CM11"/>
        <w:jc w:val="both"/>
        <w:rPr>
          <w:rFonts w:ascii="Futura Book" w:hAnsi="Futura Book" w:cs="Futura Book"/>
          <w:color w:val="2C5062"/>
          <w:sz w:val="20"/>
          <w:szCs w:val="20"/>
        </w:rPr>
      </w:pPr>
      <w:r>
        <w:rPr>
          <w:rFonts w:ascii="Futura Book" w:hAnsi="Futura Book" w:cs="Futura Book"/>
          <w:b/>
          <w:bCs/>
          <w:color w:val="2C5062"/>
          <w:sz w:val="20"/>
          <w:szCs w:val="20"/>
        </w:rPr>
        <w:t xml:space="preserve">Mean Time to Repair (MTTR) </w:t>
      </w:r>
    </w:p>
    <w:p w14:paraId="37F7A9E1"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This is a measure of an Authority’s administrative arrangements, resources and technical capability to rectify a failure: </w:t>
      </w:r>
    </w:p>
    <w:p w14:paraId="333CE87E" w14:textId="77777777" w:rsidR="00541A14" w:rsidRDefault="00A450E1">
      <w:pPr>
        <w:pStyle w:val="Default"/>
        <w:numPr>
          <w:ilvl w:val="0"/>
          <w:numId w:val="163"/>
        </w:numPr>
        <w:spacing w:after="22"/>
        <w:rPr>
          <w:rFonts w:ascii="Palatino" w:hAnsi="Palatino" w:cs="Palatino"/>
          <w:sz w:val="20"/>
          <w:szCs w:val="20"/>
        </w:rPr>
      </w:pPr>
      <w:r>
        <w:rPr>
          <w:rFonts w:ascii="Palatino" w:hAnsi="Palatino" w:cs="Palatino"/>
          <w:sz w:val="20"/>
          <w:szCs w:val="20"/>
        </w:rPr>
        <w:t xml:space="preserve">for a small port, the MTTR times might only be several hours; </w:t>
      </w:r>
    </w:p>
    <w:p w14:paraId="42AFF5C0" w14:textId="77777777" w:rsidR="00541A14" w:rsidRDefault="00A450E1">
      <w:pPr>
        <w:pStyle w:val="Default"/>
        <w:numPr>
          <w:ilvl w:val="0"/>
          <w:numId w:val="163"/>
        </w:numPr>
        <w:rPr>
          <w:rFonts w:ascii="Palatino" w:hAnsi="Palatino" w:cs="Palatino"/>
          <w:sz w:val="20"/>
          <w:szCs w:val="20"/>
        </w:rPr>
      </w:pPr>
      <w:r>
        <w:rPr>
          <w:rFonts w:ascii="Palatino" w:hAnsi="Palatino" w:cs="Palatino"/>
          <w:sz w:val="20"/>
          <w:szCs w:val="20"/>
        </w:rPr>
        <w:t xml:space="preserve">an Authority with a more distributed network of aids to navigation may have MTTR times </w:t>
      </w:r>
    </w:p>
    <w:p w14:paraId="7373A7A1" w14:textId="77777777" w:rsidR="00541A14" w:rsidRDefault="00541A14">
      <w:pPr>
        <w:pStyle w:val="Default"/>
        <w:rPr>
          <w:rFonts w:ascii="Palatino" w:hAnsi="Palatino" w:cs="Palatino"/>
          <w:sz w:val="20"/>
          <w:szCs w:val="20"/>
        </w:rPr>
      </w:pPr>
    </w:p>
    <w:p w14:paraId="36F2C65F" w14:textId="77777777" w:rsidR="00541A14" w:rsidRDefault="00A450E1">
      <w:pPr>
        <w:pStyle w:val="CM172"/>
        <w:spacing w:after="202" w:line="300" w:lineRule="atLeast"/>
        <w:ind w:left="300" w:right="697"/>
        <w:jc w:val="both"/>
        <w:rPr>
          <w:rFonts w:ascii="Palatino" w:hAnsi="Palatino" w:cs="Palatino"/>
          <w:color w:val="000000"/>
          <w:sz w:val="20"/>
          <w:szCs w:val="20"/>
        </w:rPr>
      </w:pPr>
      <w:r>
        <w:rPr>
          <w:rFonts w:ascii="Palatino" w:hAnsi="Palatino" w:cs="Palatino"/>
          <w:color w:val="000000"/>
          <w:sz w:val="20"/>
          <w:szCs w:val="20"/>
        </w:rPr>
        <w:t xml:space="preserve">equivalent to several days because of the distances and transport mobilisation limitations. </w:t>
      </w:r>
    </w:p>
    <w:p w14:paraId="1AB10028" w14:textId="77777777" w:rsidR="00541A14" w:rsidRDefault="00A450E1">
      <w:pPr>
        <w:pStyle w:val="CM165"/>
        <w:spacing w:after="85" w:line="296"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Failure Response Time </w:t>
      </w:r>
    </w:p>
    <w:p w14:paraId="135FC99D"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This is a sub-set of the MTTR and relates to the time it takes to be notified of a failure, to confirm the </w:t>
      </w:r>
    </w:p>
    <w:p w14:paraId="5CC63FA9" w14:textId="77777777" w:rsidR="00541A14" w:rsidRDefault="00A450E1">
      <w:pPr>
        <w:pStyle w:val="CM171"/>
        <w:spacing w:after="1167" w:line="296" w:lineRule="atLeast"/>
        <w:jc w:val="both"/>
        <w:rPr>
          <w:rFonts w:ascii="Palatino" w:hAnsi="Palatino" w:cs="Palatino"/>
          <w:color w:val="000000"/>
          <w:sz w:val="20"/>
          <w:szCs w:val="20"/>
        </w:rPr>
      </w:pPr>
      <w:r>
        <w:rPr>
          <w:rFonts w:ascii="Palatino" w:hAnsi="Palatino" w:cs="Palatino"/>
          <w:color w:val="000000"/>
          <w:sz w:val="20"/>
          <w:szCs w:val="20"/>
        </w:rPr>
        <w:t xml:space="preserve">details and mobilise personnel to depart for the aid to navigation. </w:t>
      </w:r>
    </w:p>
    <w:p w14:paraId="3C851601" w14:textId="77777777" w:rsidR="00541A14" w:rsidRDefault="00A450E1">
      <w:pPr>
        <w:pStyle w:val="CM188"/>
        <w:spacing w:after="600"/>
        <w:rPr>
          <w:rFonts w:ascii="Palatino" w:hAnsi="Palatino" w:cs="Palatino"/>
          <w:color w:val="000000"/>
          <w:sz w:val="20"/>
          <w:szCs w:val="20"/>
        </w:rPr>
      </w:pPr>
      <w:r>
        <w:rPr>
          <w:rFonts w:ascii="Palatino" w:hAnsi="Palatino" w:cs="Palatino"/>
          <w:color w:val="000000"/>
          <w:position w:val="6"/>
          <w:sz w:val="20"/>
          <w:szCs w:val="20"/>
          <w:vertAlign w:val="superscript"/>
        </w:rPr>
        <w:t>46</w:t>
      </w:r>
      <w:r>
        <w:rPr>
          <w:rFonts w:ascii="Palatino" w:hAnsi="Palatino" w:cs="Palatino"/>
          <w:color w:val="000000"/>
          <w:sz w:val="20"/>
          <w:szCs w:val="20"/>
        </w:rPr>
        <w:t xml:space="preserve">IMO Resolution A.915(22). </w:t>
      </w:r>
    </w:p>
    <w:p w14:paraId="58A9F582"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57CE1535" wp14:editId="181068F3">
            <wp:extent cx="7542530" cy="420370"/>
            <wp:effectExtent l="0" t="0" r="1270" b="1143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0B3C7191" w14:textId="77777777" w:rsidR="00541A14" w:rsidRDefault="00DD420F">
      <w:pPr>
        <w:pStyle w:val="Default"/>
        <w:pageBreakBefore/>
        <w:framePr w:w="24782" w:wrap="auto" w:vAnchor="page" w:hAnchor="page" w:x="101" w:y="1"/>
        <w:spacing w:after="640"/>
        <w:rPr>
          <w:rFonts w:ascii="Palatino" w:hAnsi="Palatino" w:cs="Palatino"/>
          <w:sz w:val="20"/>
          <w:szCs w:val="20"/>
        </w:rPr>
      </w:pPr>
      <w:r>
        <w:rPr>
          <w:rFonts w:ascii="Palatino" w:hAnsi="Palatino" w:cs="Palatino"/>
          <w:noProof/>
          <w:sz w:val="20"/>
          <w:szCs w:val="20"/>
        </w:rPr>
        <w:drawing>
          <wp:inline distT="0" distB="0" distL="0" distR="0" wp14:anchorId="4896EBD2" wp14:editId="60E1C44F">
            <wp:extent cx="7553960" cy="106743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28DD8C63"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8.4.3 IALA Categories for Traditional Aids to Navigation </w:t>
      </w:r>
    </w:p>
    <w:p w14:paraId="565F7B1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IALA provides a method to categorise and calculate aids to navigation availabilities for bothindividual aids to navigation and systems of aids to navigation as shown in Table 28. IALA the method does not take into account other aids to navigation considered in the mix of aids to navigation</w:t>
      </w:r>
    </w:p>
    <w:p w14:paraId="28022C5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such as radionavigation systems or Vessel traffic Services (VTS). It does provide guidance on suitable </w:t>
      </w:r>
    </w:p>
    <w:p w14:paraId="766C29FF" w14:textId="77777777" w:rsidR="00541A14" w:rsidRDefault="00A450E1">
      <w:pPr>
        <w:pStyle w:val="CM175"/>
        <w:spacing w:after="267" w:line="291" w:lineRule="atLeast"/>
        <w:rPr>
          <w:rFonts w:ascii="Palatino" w:hAnsi="Palatino" w:cs="Palatino"/>
          <w:color w:val="000000"/>
          <w:sz w:val="20"/>
          <w:szCs w:val="20"/>
        </w:rPr>
      </w:pPr>
      <w:r>
        <w:rPr>
          <w:rFonts w:ascii="Palatino" w:hAnsi="Palatino" w:cs="Palatino"/>
          <w:color w:val="000000"/>
          <w:sz w:val="20"/>
          <w:szCs w:val="20"/>
        </w:rPr>
        <w:t xml:space="preserve">and realistic levels of operational performance for members to adopt. </w:t>
      </w:r>
    </w:p>
    <w:p w14:paraId="2E940968" w14:textId="77777777" w:rsidR="00541A14" w:rsidRDefault="00A450E1">
      <w:pPr>
        <w:pStyle w:val="CM12"/>
        <w:jc w:val="both"/>
        <w:rPr>
          <w:rFonts w:ascii="Palatino" w:hAnsi="Palatino" w:cs="Palatino"/>
          <w:color w:val="000000"/>
          <w:sz w:val="20"/>
          <w:szCs w:val="20"/>
        </w:rPr>
      </w:pPr>
      <w:r>
        <w:rPr>
          <w:rFonts w:ascii="Palatino" w:hAnsi="Palatino" w:cs="Palatino"/>
          <w:b/>
          <w:bCs/>
          <w:color w:val="000000"/>
          <w:sz w:val="20"/>
          <w:szCs w:val="20"/>
        </w:rPr>
        <w:t xml:space="preserve">table 28 </w:t>
      </w:r>
    </w:p>
    <w:p w14:paraId="0039B8AC" w14:textId="77777777" w:rsidR="00541A14" w:rsidRDefault="00A450E1">
      <w:pPr>
        <w:pStyle w:val="CM12"/>
        <w:jc w:val="both"/>
        <w:rPr>
          <w:rFonts w:ascii="Palatino" w:hAnsi="Palatino" w:cs="Palatino"/>
          <w:color w:val="000000"/>
          <w:sz w:val="20"/>
          <w:szCs w:val="20"/>
        </w:rPr>
      </w:pPr>
      <w:r>
        <w:rPr>
          <w:rFonts w:ascii="Palatino" w:hAnsi="Palatino" w:cs="Palatino"/>
          <w:b/>
          <w:bCs/>
          <w:color w:val="000000"/>
          <w:sz w:val="20"/>
          <w:szCs w:val="20"/>
        </w:rPr>
        <w:t>Category /</w:t>
      </w:r>
    </w:p>
    <w:p w14:paraId="416E4273" w14:textId="77777777" w:rsidR="00541A14" w:rsidRDefault="00A450E1">
      <w:pPr>
        <w:pStyle w:val="CM162"/>
        <w:spacing w:after="552"/>
        <w:rPr>
          <w:rFonts w:ascii="Palatino" w:hAnsi="Palatino" w:cs="Palatino"/>
          <w:color w:val="000000"/>
          <w:sz w:val="20"/>
          <w:szCs w:val="20"/>
        </w:rPr>
      </w:pPr>
      <w:r>
        <w:rPr>
          <w:rFonts w:ascii="Palatino" w:hAnsi="Palatino" w:cs="Palatino"/>
          <w:b/>
          <w:bCs/>
          <w:color w:val="000000"/>
          <w:sz w:val="20"/>
          <w:szCs w:val="20"/>
        </w:rPr>
        <w:t xml:space="preserve">Availability table </w:t>
      </w:r>
    </w:p>
    <w:p w14:paraId="3DF816D0"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91008" behindDoc="0" locked="0" layoutInCell="0" allowOverlap="1" wp14:anchorId="5034EF8D" wp14:editId="19D6E0CC">
                <wp:simplePos x="0" y="0"/>
                <wp:positionH relativeFrom="page">
                  <wp:posOffset>2158365</wp:posOffset>
                </wp:positionH>
                <wp:positionV relativeFrom="page">
                  <wp:posOffset>2590800</wp:posOffset>
                </wp:positionV>
                <wp:extent cx="3542665" cy="1171575"/>
                <wp:effectExtent l="0" t="0" r="0" b="0"/>
                <wp:wrapThrough wrapText="bothSides">
                  <wp:wrapPolygon edited="0">
                    <wp:start x="0" y="0"/>
                    <wp:lineTo x="21600" y="0"/>
                    <wp:lineTo x="21600" y="21600"/>
                    <wp:lineTo x="0" y="21600"/>
                    <wp:lineTo x="0" y="0"/>
                  </wp:wrapPolygon>
                </wp:wrapThrough>
                <wp:docPr id="52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2665" cy="1171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087"/>
                              <w:gridCol w:w="1195"/>
                              <w:gridCol w:w="2497"/>
                            </w:tblGrid>
                            <w:tr w:rsidR="00541A14" w14:paraId="06C0FA66" w14:textId="77777777">
                              <w:trPr>
                                <w:trHeight w:val="305"/>
                              </w:trPr>
                              <w:tc>
                                <w:tcPr>
                                  <w:tcW w:w="1087" w:type="dxa"/>
                                  <w:tcBorders>
                                    <w:top w:val="single" w:sz="4" w:space="0" w:color="05090D"/>
                                    <w:left w:val="single" w:sz="4" w:space="0" w:color="010304"/>
                                    <w:bottom w:val="single" w:sz="4" w:space="0" w:color="05090D"/>
                                    <w:right w:val="single" w:sz="4" w:space="0" w:color="030709"/>
                                  </w:tcBorders>
                                  <w:shd w:val="clear" w:color="auto" w:fill="264056"/>
                                  <w:vAlign w:val="center"/>
                                </w:tcPr>
                                <w:p w14:paraId="17910935"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Category </w:t>
                                  </w:r>
                                </w:p>
                              </w:tc>
                              <w:tc>
                                <w:tcPr>
                                  <w:tcW w:w="1195" w:type="dxa"/>
                                  <w:tcBorders>
                                    <w:top w:val="single" w:sz="4" w:space="0" w:color="05090D"/>
                                    <w:left w:val="single" w:sz="4" w:space="0" w:color="030709"/>
                                    <w:bottom w:val="single" w:sz="4" w:space="0" w:color="05090D"/>
                                    <w:right w:val="single" w:sz="4" w:space="0" w:color="030709"/>
                                  </w:tcBorders>
                                  <w:shd w:val="clear" w:color="auto" w:fill="264056"/>
                                  <w:vAlign w:val="center"/>
                                </w:tcPr>
                                <w:p w14:paraId="321AFDD0"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Availability Objective </w:t>
                                  </w:r>
                                </w:p>
                              </w:tc>
                              <w:tc>
                                <w:tcPr>
                                  <w:tcW w:w="2497" w:type="dxa"/>
                                  <w:tcBorders>
                                    <w:top w:val="single" w:sz="4" w:space="0" w:color="05090D"/>
                                    <w:left w:val="single" w:sz="4" w:space="0" w:color="030709"/>
                                    <w:bottom w:val="single" w:sz="4" w:space="0" w:color="05090D"/>
                                    <w:right w:val="single" w:sz="4" w:space="0" w:color="010304"/>
                                  </w:tcBorders>
                                  <w:shd w:val="clear" w:color="auto" w:fill="264056"/>
                                  <w:vAlign w:val="center"/>
                                </w:tcPr>
                                <w:p w14:paraId="5087D9F2"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Calculation </w:t>
                                  </w:r>
                                </w:p>
                              </w:tc>
                            </w:tr>
                            <w:tr w:rsidR="00541A14" w14:paraId="3A3BF4E7" w14:textId="77777777">
                              <w:trPr>
                                <w:trHeight w:val="183"/>
                              </w:trPr>
                              <w:tc>
                                <w:tcPr>
                                  <w:tcW w:w="1087" w:type="dxa"/>
                                  <w:tcBorders>
                                    <w:top w:val="single" w:sz="4" w:space="0" w:color="05090D"/>
                                    <w:left w:val="single" w:sz="4" w:space="0" w:color="010304"/>
                                    <w:bottom w:val="single" w:sz="4" w:space="0" w:color="000000"/>
                                    <w:right w:val="single" w:sz="4" w:space="0" w:color="030709"/>
                                  </w:tcBorders>
                                  <w:vAlign w:val="center"/>
                                </w:tcPr>
                                <w:p w14:paraId="3452DA9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 </w:t>
                                  </w:r>
                                </w:p>
                              </w:tc>
                              <w:tc>
                                <w:tcPr>
                                  <w:tcW w:w="1195" w:type="dxa"/>
                                  <w:tcBorders>
                                    <w:top w:val="single" w:sz="4" w:space="0" w:color="05090D"/>
                                    <w:left w:val="single" w:sz="4" w:space="0" w:color="030709"/>
                                    <w:bottom w:val="single" w:sz="4" w:space="0" w:color="000000"/>
                                    <w:right w:val="single" w:sz="4" w:space="0" w:color="030709"/>
                                  </w:tcBorders>
                                  <w:vAlign w:val="center"/>
                                </w:tcPr>
                                <w:p w14:paraId="6998D44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99.8% </w:t>
                                  </w:r>
                                </w:p>
                              </w:tc>
                              <w:tc>
                                <w:tcPr>
                                  <w:tcW w:w="2497" w:type="dxa"/>
                                  <w:vMerge w:val="restart"/>
                                  <w:tcBorders>
                                    <w:top w:val="single" w:sz="4" w:space="0" w:color="05090D"/>
                                    <w:left w:val="single" w:sz="4" w:space="0" w:color="030709"/>
                                    <w:bottom w:val="single" w:sz="4" w:space="0" w:color="000000"/>
                                    <w:right w:val="single" w:sz="4" w:space="0" w:color="010304"/>
                                  </w:tcBorders>
                                  <w:vAlign w:val="center"/>
                                </w:tcPr>
                                <w:p w14:paraId="2713B60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Availability Objectives are calculated over a three-year continuous period, unless otherwise specified </w:t>
                                  </w:r>
                                </w:p>
                              </w:tc>
                            </w:tr>
                            <w:tr w:rsidR="00541A14" w14:paraId="7352D72E" w14:textId="77777777">
                              <w:trPr>
                                <w:trHeight w:val="185"/>
                              </w:trPr>
                              <w:tc>
                                <w:tcPr>
                                  <w:tcW w:w="1087" w:type="dxa"/>
                                  <w:tcBorders>
                                    <w:top w:val="single" w:sz="4" w:space="0" w:color="000000"/>
                                    <w:left w:val="single" w:sz="4" w:space="0" w:color="010304"/>
                                    <w:bottom w:val="single" w:sz="4" w:space="0" w:color="000000"/>
                                    <w:right w:val="single" w:sz="4" w:space="0" w:color="030709"/>
                                  </w:tcBorders>
                                  <w:shd w:val="clear" w:color="auto" w:fill="DCDCE0"/>
                                  <w:vAlign w:val="center"/>
                                </w:tcPr>
                                <w:p w14:paraId="292F1624"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 </w:t>
                                  </w:r>
                                </w:p>
                              </w:tc>
                              <w:tc>
                                <w:tcPr>
                                  <w:tcW w:w="1195" w:type="dxa"/>
                                  <w:tcBorders>
                                    <w:top w:val="single" w:sz="4" w:space="0" w:color="000000"/>
                                    <w:left w:val="single" w:sz="4" w:space="0" w:color="030709"/>
                                    <w:bottom w:val="single" w:sz="4" w:space="0" w:color="000000"/>
                                    <w:right w:val="single" w:sz="4" w:space="0" w:color="030709"/>
                                  </w:tcBorders>
                                  <w:shd w:val="clear" w:color="auto" w:fill="DCDCE0"/>
                                  <w:vAlign w:val="center"/>
                                </w:tcPr>
                                <w:p w14:paraId="0E711CDA"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99.0% </w:t>
                                  </w:r>
                                </w:p>
                              </w:tc>
                              <w:tc>
                                <w:tcPr>
                                  <w:tcW w:w="2497" w:type="dxa"/>
                                  <w:vMerge/>
                                  <w:tcBorders>
                                    <w:top w:val="single" w:sz="4" w:space="0" w:color="05090D"/>
                                    <w:left w:val="single" w:sz="4" w:space="0" w:color="030709"/>
                                    <w:bottom w:val="single" w:sz="4" w:space="0" w:color="000000"/>
                                    <w:right w:val="single" w:sz="4" w:space="0" w:color="010304"/>
                                  </w:tcBorders>
                                  <w:vAlign w:val="center"/>
                                </w:tcPr>
                                <w:p w14:paraId="246C8C65" w14:textId="77777777" w:rsidR="00541A14" w:rsidRDefault="00541A14">
                                  <w:pPr>
                                    <w:pStyle w:val="Default"/>
                                    <w:rPr>
                                      <w:rFonts w:cs="Times New Roman"/>
                                      <w:color w:val="auto"/>
                                    </w:rPr>
                                  </w:pPr>
                                </w:p>
                              </w:tc>
                            </w:tr>
                            <w:tr w:rsidR="00541A14" w14:paraId="39C6A917" w14:textId="77777777">
                              <w:trPr>
                                <w:trHeight w:val="185"/>
                              </w:trPr>
                              <w:tc>
                                <w:tcPr>
                                  <w:tcW w:w="1087" w:type="dxa"/>
                                  <w:tcBorders>
                                    <w:top w:val="single" w:sz="4" w:space="0" w:color="000000"/>
                                    <w:left w:val="single" w:sz="4" w:space="0" w:color="010304"/>
                                    <w:bottom w:val="single" w:sz="4" w:space="0" w:color="000000"/>
                                    <w:right w:val="single" w:sz="4" w:space="0" w:color="030709"/>
                                  </w:tcBorders>
                                  <w:vAlign w:val="center"/>
                                </w:tcPr>
                                <w:p w14:paraId="4C15ED68"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 </w:t>
                                  </w:r>
                                </w:p>
                              </w:tc>
                              <w:tc>
                                <w:tcPr>
                                  <w:tcW w:w="1195" w:type="dxa"/>
                                  <w:tcBorders>
                                    <w:top w:val="single" w:sz="4" w:space="0" w:color="000000"/>
                                    <w:left w:val="single" w:sz="4" w:space="0" w:color="030709"/>
                                    <w:bottom w:val="single" w:sz="4" w:space="0" w:color="000000"/>
                                    <w:right w:val="single" w:sz="4" w:space="0" w:color="030709"/>
                                  </w:tcBorders>
                                  <w:vAlign w:val="center"/>
                                </w:tcPr>
                                <w:p w14:paraId="004185A1"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97.0% </w:t>
                                  </w:r>
                                </w:p>
                              </w:tc>
                              <w:tc>
                                <w:tcPr>
                                  <w:tcW w:w="2497" w:type="dxa"/>
                                  <w:vMerge/>
                                  <w:tcBorders>
                                    <w:top w:val="single" w:sz="4" w:space="0" w:color="05090D"/>
                                    <w:left w:val="single" w:sz="4" w:space="0" w:color="030709"/>
                                    <w:bottom w:val="single" w:sz="4" w:space="0" w:color="000000"/>
                                    <w:right w:val="single" w:sz="4" w:space="0" w:color="010304"/>
                                  </w:tcBorders>
                                  <w:vAlign w:val="center"/>
                                </w:tcPr>
                                <w:p w14:paraId="6CB0129B" w14:textId="77777777" w:rsidR="00541A14" w:rsidRDefault="00541A14">
                                  <w:pPr>
                                    <w:pStyle w:val="Default"/>
                                    <w:rPr>
                                      <w:rFonts w:cs="Times New Roman"/>
                                      <w:color w:val="auto"/>
                                    </w:rPr>
                                  </w:pPr>
                                </w:p>
                              </w:tc>
                            </w:tr>
                          </w:tbl>
                          <w:p w14:paraId="4F74DE7C"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58" type="#_x0000_t202" style="position:absolute;margin-left:169.95pt;margin-top:204pt;width:278.95pt;height:92.25pt;z-index:251691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087"/>
                        <w:gridCol w:w="33"/>
                        <w:gridCol w:w="302"/>
                        <w:gridCol w:w="33"/>
                        <w:gridCol w:w="312"/>
                        <w:gridCol w:w="180"/>
                        <w:gridCol w:w="20"/>
                        <w:gridCol w:w="50"/>
                        <w:gridCol w:w="168"/>
                        <w:gridCol w:w="97"/>
                        <w:gridCol w:w="33"/>
                        <w:gridCol w:w="372"/>
                        <w:gridCol w:w="842"/>
                        <w:gridCol w:w="275"/>
                        <w:gridCol w:w="90"/>
                        <w:gridCol w:w="370"/>
                        <w:gridCol w:w="5"/>
                        <w:gridCol w:w="5"/>
                        <w:gridCol w:w="12"/>
                        <w:gridCol w:w="47"/>
                        <w:gridCol w:w="168"/>
                        <w:gridCol w:w="282"/>
                        <w:gridCol w:w="550"/>
                        <w:gridCol w:w="355"/>
                        <w:gridCol w:w="10"/>
                        <w:gridCol w:w="371"/>
                        <w:gridCol w:w="692"/>
                        <w:gridCol w:w="2232"/>
                        <w:gridCol w:w="77"/>
                        <w:gridCol w:w="15"/>
                        <w:gridCol w:w="8"/>
                      </w:tblGrid>
                      <w:tr w:rsidR="00000000" w14:paraId="06C0FA66" w14:textId="77777777">
                        <w:tblPrEx>
                          <w:tblCellMar>
                            <w:top w:w="0" w:type="dxa"/>
                            <w:bottom w:w="0" w:type="dxa"/>
                          </w:tblCellMar>
                        </w:tblPrEx>
                        <w:trPr>
                          <w:gridAfter w:val="9"/>
                          <w:wAfter w:w="2154" w:type="dxa"/>
                          <w:trHeight w:val="305"/>
                        </w:trPr>
                        <w:tc>
                          <w:tcPr>
                            <w:tcW w:w="1087" w:type="dxa"/>
                            <w:tcBorders>
                              <w:top w:val="single" w:sz="4" w:space="0" w:color="05090D"/>
                              <w:left w:val="single" w:sz="4" w:space="0" w:color="010304"/>
                              <w:bottom w:val="single" w:sz="4" w:space="0" w:color="05090D"/>
                              <w:right w:val="single" w:sz="4" w:space="0" w:color="030709"/>
                            </w:tcBorders>
                            <w:shd w:val="clear" w:color="auto" w:fill="264056"/>
                            <w:vAlign w:val="center"/>
                          </w:tcPr>
                          <w:p w14:paraId="17910935"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Category </w:t>
                            </w:r>
                          </w:p>
                        </w:tc>
                        <w:tc>
                          <w:tcPr>
                            <w:tcW w:w="1195" w:type="dxa"/>
                            <w:gridSpan w:val="9"/>
                            <w:tcBorders>
                              <w:top w:val="single" w:sz="4" w:space="0" w:color="05090D"/>
                              <w:left w:val="single" w:sz="4" w:space="0" w:color="030709"/>
                              <w:bottom w:val="single" w:sz="4" w:space="0" w:color="05090D"/>
                              <w:right w:val="single" w:sz="4" w:space="0" w:color="030709"/>
                            </w:tcBorders>
                            <w:shd w:val="clear" w:color="auto" w:fill="264056"/>
                            <w:vAlign w:val="center"/>
                          </w:tcPr>
                          <w:p w14:paraId="321AFDD0"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Availability Objective </w:t>
                            </w:r>
                          </w:p>
                        </w:tc>
                        <w:tc>
                          <w:tcPr>
                            <w:tcW w:w="2497" w:type="dxa"/>
                            <w:gridSpan w:val="12"/>
                            <w:tcBorders>
                              <w:top w:val="single" w:sz="4" w:space="0" w:color="05090D"/>
                              <w:left w:val="single" w:sz="4" w:space="0" w:color="030709"/>
                              <w:bottom w:val="single" w:sz="4" w:space="0" w:color="05090D"/>
                              <w:right w:val="single" w:sz="4" w:space="0" w:color="010304"/>
                            </w:tcBorders>
                            <w:shd w:val="clear" w:color="auto" w:fill="264056"/>
                            <w:vAlign w:val="center"/>
                          </w:tcPr>
                          <w:p w14:paraId="5087D9F2"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Calculation </w:t>
                            </w:r>
                          </w:p>
                        </w:tc>
                      </w:tr>
                      <w:tr w:rsidR="00000000" w14:paraId="3A3BF4E7" w14:textId="77777777">
                        <w:tblPrEx>
                          <w:tblCellMar>
                            <w:top w:w="0" w:type="dxa"/>
                            <w:bottom w:w="0" w:type="dxa"/>
                          </w:tblCellMar>
                        </w:tblPrEx>
                        <w:trPr>
                          <w:gridAfter w:val="9"/>
                          <w:wAfter w:w="2154" w:type="dxa"/>
                          <w:trHeight w:val="183"/>
                        </w:trPr>
                        <w:tc>
                          <w:tcPr>
                            <w:tcW w:w="1087" w:type="dxa"/>
                            <w:tcBorders>
                              <w:top w:val="single" w:sz="4" w:space="0" w:color="05090D"/>
                              <w:left w:val="single" w:sz="4" w:space="0" w:color="010304"/>
                              <w:bottom w:val="single" w:sz="4" w:space="0" w:color="000000"/>
                              <w:right w:val="single" w:sz="4" w:space="0" w:color="030709"/>
                            </w:tcBorders>
                            <w:vAlign w:val="center"/>
                          </w:tcPr>
                          <w:p w14:paraId="3452DA9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 </w:t>
                            </w:r>
                          </w:p>
                        </w:tc>
                        <w:tc>
                          <w:tcPr>
                            <w:tcW w:w="1195" w:type="dxa"/>
                            <w:gridSpan w:val="9"/>
                            <w:tcBorders>
                              <w:top w:val="single" w:sz="4" w:space="0" w:color="05090D"/>
                              <w:left w:val="single" w:sz="4" w:space="0" w:color="030709"/>
                              <w:bottom w:val="single" w:sz="4" w:space="0" w:color="000000"/>
                              <w:right w:val="single" w:sz="4" w:space="0" w:color="030709"/>
                            </w:tcBorders>
                            <w:vAlign w:val="center"/>
                          </w:tcPr>
                          <w:p w14:paraId="6998D44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99.8% </w:t>
                            </w:r>
                          </w:p>
                        </w:tc>
                        <w:tc>
                          <w:tcPr>
                            <w:tcW w:w="2497" w:type="dxa"/>
                            <w:gridSpan w:val="12"/>
                            <w:vMerge w:val="restart"/>
                            <w:tcBorders>
                              <w:top w:val="single" w:sz="4" w:space="0" w:color="05090D"/>
                              <w:left w:val="single" w:sz="4" w:space="0" w:color="030709"/>
                              <w:bottom w:val="single" w:sz="4" w:space="0" w:color="000000"/>
                              <w:right w:val="single" w:sz="4" w:space="0" w:color="010304"/>
                            </w:tcBorders>
                            <w:vAlign w:val="center"/>
                          </w:tcPr>
                          <w:p w14:paraId="2713B60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Availability Objectives are calculated over a three-year continuous period, unless otherwise specified </w:t>
                            </w:r>
                          </w:p>
                        </w:tc>
                      </w:tr>
                      <w:tr w:rsidR="00000000" w14:paraId="7352D72E" w14:textId="77777777">
                        <w:tblPrEx>
                          <w:tblCellMar>
                            <w:top w:w="0" w:type="dxa"/>
                            <w:bottom w:w="0" w:type="dxa"/>
                          </w:tblCellMar>
                        </w:tblPrEx>
                        <w:trPr>
                          <w:gridAfter w:val="9"/>
                          <w:wAfter w:w="2154" w:type="dxa"/>
                          <w:trHeight w:val="185"/>
                        </w:trPr>
                        <w:tc>
                          <w:tcPr>
                            <w:tcW w:w="1087" w:type="dxa"/>
                            <w:tcBorders>
                              <w:top w:val="single" w:sz="4" w:space="0" w:color="000000"/>
                              <w:left w:val="single" w:sz="4" w:space="0" w:color="010304"/>
                              <w:bottom w:val="single" w:sz="4" w:space="0" w:color="000000"/>
                              <w:right w:val="single" w:sz="4" w:space="0" w:color="030709"/>
                            </w:tcBorders>
                            <w:shd w:val="clear" w:color="auto" w:fill="DCDCE0"/>
                            <w:vAlign w:val="center"/>
                          </w:tcPr>
                          <w:p w14:paraId="292F1624"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2 </w:t>
                            </w:r>
                          </w:p>
                        </w:tc>
                        <w:tc>
                          <w:tcPr>
                            <w:tcW w:w="1195" w:type="dxa"/>
                            <w:gridSpan w:val="9"/>
                            <w:tcBorders>
                              <w:top w:val="single" w:sz="4" w:space="0" w:color="000000"/>
                              <w:left w:val="single" w:sz="4" w:space="0" w:color="030709"/>
                              <w:bottom w:val="single" w:sz="4" w:space="0" w:color="000000"/>
                              <w:right w:val="single" w:sz="4" w:space="0" w:color="030709"/>
                            </w:tcBorders>
                            <w:shd w:val="clear" w:color="auto" w:fill="DCDCE0"/>
                            <w:vAlign w:val="center"/>
                          </w:tcPr>
                          <w:p w14:paraId="0E711CDA"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99.0% </w:t>
                            </w:r>
                          </w:p>
                        </w:tc>
                        <w:tc>
                          <w:tcPr>
                            <w:tcW w:w="2497" w:type="dxa"/>
                            <w:gridSpan w:val="12"/>
                            <w:vMerge/>
                            <w:tcBorders>
                              <w:top w:val="single" w:sz="4" w:space="0" w:color="05090D"/>
                              <w:left w:val="single" w:sz="4" w:space="0" w:color="030709"/>
                              <w:bottom w:val="single" w:sz="4" w:space="0" w:color="000000"/>
                              <w:right w:val="single" w:sz="4" w:space="0" w:color="010304"/>
                            </w:tcBorders>
                            <w:vAlign w:val="center"/>
                          </w:tcPr>
                          <w:p w14:paraId="246C8C65" w14:textId="77777777" w:rsidR="00000000" w:rsidRDefault="00A450E1">
                            <w:pPr>
                              <w:pStyle w:val="Default"/>
                              <w:rPr>
                                <w:rFonts w:cs="Times New Roman"/>
                                <w:color w:val="auto"/>
                              </w:rPr>
                            </w:pPr>
                          </w:p>
                        </w:tc>
                      </w:tr>
                      <w:tr w:rsidR="00000000" w14:paraId="39C6A917" w14:textId="77777777">
                        <w:tblPrEx>
                          <w:tblCellMar>
                            <w:top w:w="0" w:type="dxa"/>
                            <w:bottom w:w="0" w:type="dxa"/>
                          </w:tblCellMar>
                        </w:tblPrEx>
                        <w:trPr>
                          <w:gridAfter w:val="9"/>
                          <w:wAfter w:w="2154" w:type="dxa"/>
                          <w:trHeight w:val="185"/>
                        </w:trPr>
                        <w:tc>
                          <w:tcPr>
                            <w:tcW w:w="1087" w:type="dxa"/>
                            <w:tcBorders>
                              <w:top w:val="single" w:sz="4" w:space="0" w:color="000000"/>
                              <w:left w:val="single" w:sz="4" w:space="0" w:color="010304"/>
                              <w:bottom w:val="single" w:sz="4" w:space="0" w:color="000000"/>
                              <w:right w:val="single" w:sz="4" w:space="0" w:color="030709"/>
                            </w:tcBorders>
                            <w:vAlign w:val="center"/>
                          </w:tcPr>
                          <w:p w14:paraId="4C15ED68"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3 </w:t>
                            </w:r>
                          </w:p>
                        </w:tc>
                        <w:tc>
                          <w:tcPr>
                            <w:tcW w:w="1195" w:type="dxa"/>
                            <w:gridSpan w:val="9"/>
                            <w:tcBorders>
                              <w:top w:val="single" w:sz="4" w:space="0" w:color="000000"/>
                              <w:left w:val="single" w:sz="4" w:space="0" w:color="030709"/>
                              <w:bottom w:val="single" w:sz="4" w:space="0" w:color="000000"/>
                              <w:right w:val="single" w:sz="4" w:space="0" w:color="030709"/>
                            </w:tcBorders>
                            <w:vAlign w:val="center"/>
                          </w:tcPr>
                          <w:p w14:paraId="004185A1"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97.0% </w:t>
                            </w:r>
                          </w:p>
                        </w:tc>
                        <w:tc>
                          <w:tcPr>
                            <w:tcW w:w="2497" w:type="dxa"/>
                            <w:gridSpan w:val="12"/>
                            <w:vMerge/>
                            <w:tcBorders>
                              <w:top w:val="single" w:sz="4" w:space="0" w:color="05090D"/>
                              <w:left w:val="single" w:sz="4" w:space="0" w:color="030709"/>
                              <w:bottom w:val="single" w:sz="4" w:space="0" w:color="000000"/>
                              <w:right w:val="single" w:sz="4" w:space="0" w:color="010304"/>
                            </w:tcBorders>
                            <w:vAlign w:val="center"/>
                          </w:tcPr>
                          <w:p w14:paraId="6CB0129B" w14:textId="77777777" w:rsidR="00000000" w:rsidRDefault="00A450E1">
                            <w:pPr>
                              <w:pStyle w:val="Default"/>
                              <w:rPr>
                                <w:rFonts w:cs="Times New Roman"/>
                                <w:color w:val="auto"/>
                              </w:rPr>
                            </w:pPr>
                          </w:p>
                        </w:tc>
                      </w:tr>
                    </w:tbl>
                  </w:txbxContent>
                </v:textbox>
                <w10:wrap type="through" anchorx="page" anchory="page"/>
              </v:shape>
            </w:pict>
          </mc:Fallback>
        </mc:AlternateContent>
      </w:r>
    </w:p>
    <w:p w14:paraId="718FF40A" w14:textId="77777777" w:rsidR="00541A14" w:rsidRDefault="00A450E1">
      <w:pPr>
        <w:pStyle w:val="Default"/>
        <w:rPr>
          <w:rFonts w:ascii="Palatino" w:hAnsi="Palatino" w:cs="Palatino"/>
          <w:color w:val="auto"/>
          <w:sz w:val="20"/>
          <w:szCs w:val="20"/>
        </w:rPr>
      </w:pPr>
      <w:r>
        <w:rPr>
          <w:rFonts w:ascii="Palatino" w:hAnsi="Palatino" w:cs="Palatino"/>
          <w:b/>
          <w:bCs/>
          <w:color w:val="auto"/>
          <w:sz w:val="20"/>
          <w:szCs w:val="20"/>
        </w:rPr>
        <w:t>Category 1</w:t>
      </w:r>
      <w:r>
        <w:rPr>
          <w:rFonts w:ascii="Palatino" w:hAnsi="Palatino" w:cs="Palatino"/>
          <w:color w:val="auto"/>
          <w:sz w:val="20"/>
          <w:szCs w:val="20"/>
        </w:rPr>
        <w:t>: An Aid to Navigation (AtoN) or system of AtoN that is considered by the Competent</w:t>
      </w:r>
    </w:p>
    <w:p w14:paraId="3A92129A" w14:textId="77777777" w:rsidR="00541A14" w:rsidRDefault="00A450E1">
      <w:pPr>
        <w:pStyle w:val="Default"/>
        <w:rPr>
          <w:rFonts w:ascii="Palatino" w:hAnsi="Palatino" w:cs="Palatino"/>
          <w:color w:val="auto"/>
          <w:sz w:val="20"/>
          <w:szCs w:val="20"/>
        </w:rPr>
      </w:pPr>
      <w:r>
        <w:rPr>
          <w:rFonts w:ascii="Palatino" w:hAnsi="Palatino" w:cs="Palatino"/>
          <w:color w:val="auto"/>
          <w:sz w:val="20"/>
          <w:szCs w:val="20"/>
        </w:rPr>
        <w:t>Authority to be of vital navigational significance. For example, lighted aids to navigation and racons</w:t>
      </w:r>
    </w:p>
    <w:p w14:paraId="10E0783D" w14:textId="77777777" w:rsidR="00541A14" w:rsidRDefault="00A450E1">
      <w:pPr>
        <w:pStyle w:val="CM165"/>
        <w:spacing w:after="85" w:line="271" w:lineRule="atLeast"/>
        <w:ind w:right="602"/>
        <w:rPr>
          <w:rFonts w:ascii="Palatino" w:hAnsi="Palatino" w:cs="Palatino"/>
          <w:sz w:val="20"/>
          <w:szCs w:val="20"/>
        </w:rPr>
      </w:pPr>
      <w:r>
        <w:rPr>
          <w:rFonts w:ascii="Palatino" w:hAnsi="Palatino" w:cs="Palatino"/>
          <w:sz w:val="20"/>
          <w:szCs w:val="20"/>
        </w:rPr>
        <w:t xml:space="preserve">that are considered essential for marking landfalls, primary routes, channels, waterways or newdangers or the protection of the marine environment. </w:t>
      </w:r>
    </w:p>
    <w:p w14:paraId="0E716AEB" w14:textId="77777777" w:rsidR="00541A14" w:rsidRDefault="00A450E1">
      <w:pPr>
        <w:pStyle w:val="CM4"/>
        <w:rPr>
          <w:rFonts w:ascii="Palatino" w:hAnsi="Palatino" w:cs="Palatino"/>
          <w:sz w:val="20"/>
          <w:szCs w:val="20"/>
        </w:rPr>
      </w:pPr>
      <w:r>
        <w:rPr>
          <w:rFonts w:ascii="Palatino" w:hAnsi="Palatino" w:cs="Palatino"/>
          <w:b/>
          <w:bCs/>
          <w:sz w:val="20"/>
          <w:szCs w:val="20"/>
        </w:rPr>
        <w:t>Category 2</w:t>
      </w:r>
      <w:r>
        <w:rPr>
          <w:rFonts w:ascii="Palatino" w:hAnsi="Palatino" w:cs="Palatino"/>
          <w:sz w:val="20"/>
          <w:szCs w:val="20"/>
        </w:rPr>
        <w:t>: An AtoN or system of AtoN that is considered by the Competent Authority to be of</w:t>
      </w:r>
    </w:p>
    <w:p w14:paraId="301F7A09" w14:textId="77777777" w:rsidR="00541A14" w:rsidRDefault="00A450E1">
      <w:pPr>
        <w:pStyle w:val="CM4"/>
        <w:rPr>
          <w:rFonts w:ascii="Palatino" w:hAnsi="Palatino" w:cs="Palatino"/>
          <w:sz w:val="20"/>
          <w:szCs w:val="20"/>
        </w:rPr>
      </w:pPr>
      <w:r>
        <w:rPr>
          <w:rFonts w:ascii="Palatino" w:hAnsi="Palatino" w:cs="Palatino"/>
          <w:sz w:val="20"/>
          <w:szCs w:val="20"/>
        </w:rPr>
        <w:t>important navigational significance. For example, it may include any lighted aids to navigation and</w:t>
      </w:r>
    </w:p>
    <w:p w14:paraId="42997BBE"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racons that mark secondary routes and those used to supplement the marking of primary routes. </w:t>
      </w:r>
    </w:p>
    <w:p w14:paraId="152D0503" w14:textId="77777777" w:rsidR="00541A14" w:rsidRDefault="00A450E1">
      <w:pPr>
        <w:pStyle w:val="CM4"/>
        <w:rPr>
          <w:rFonts w:ascii="Palatino" w:hAnsi="Palatino" w:cs="Palatino"/>
          <w:sz w:val="20"/>
          <w:szCs w:val="20"/>
        </w:rPr>
      </w:pPr>
      <w:r>
        <w:rPr>
          <w:rFonts w:ascii="Palatino" w:hAnsi="Palatino" w:cs="Palatino"/>
          <w:b/>
          <w:bCs/>
          <w:sz w:val="20"/>
          <w:szCs w:val="20"/>
        </w:rPr>
        <w:t>Category 3</w:t>
      </w:r>
      <w:r>
        <w:rPr>
          <w:rFonts w:ascii="Palatino" w:hAnsi="Palatino" w:cs="Palatino"/>
          <w:sz w:val="20"/>
          <w:szCs w:val="20"/>
        </w:rPr>
        <w:t>: An AtoN or system of AtoN that is considered by the Competent Authority to be of</w:t>
      </w:r>
    </w:p>
    <w:p w14:paraId="7B260786" w14:textId="77777777" w:rsidR="00541A14" w:rsidRDefault="00A450E1">
      <w:pPr>
        <w:pStyle w:val="CM165"/>
        <w:spacing w:after="85" w:line="291" w:lineRule="atLeast"/>
        <w:rPr>
          <w:rFonts w:ascii="Palatino" w:hAnsi="Palatino" w:cs="Palatino"/>
          <w:sz w:val="20"/>
          <w:szCs w:val="20"/>
        </w:rPr>
      </w:pPr>
      <w:r>
        <w:rPr>
          <w:rFonts w:ascii="Palatino" w:hAnsi="Palatino" w:cs="Palatino"/>
          <w:sz w:val="20"/>
          <w:szCs w:val="20"/>
        </w:rPr>
        <w:t xml:space="preserve">necessary navigational significance. </w:t>
      </w:r>
    </w:p>
    <w:p w14:paraId="7CFB8BCC" w14:textId="77777777" w:rsidR="00541A14" w:rsidRDefault="00A450E1">
      <w:pPr>
        <w:pStyle w:val="CM185"/>
        <w:spacing w:after="140" w:line="291" w:lineRule="atLeast"/>
        <w:rPr>
          <w:rFonts w:ascii="Palatino" w:hAnsi="Palatino" w:cs="Palatino"/>
          <w:sz w:val="20"/>
          <w:szCs w:val="20"/>
        </w:rPr>
      </w:pPr>
      <w:r>
        <w:rPr>
          <w:rFonts w:ascii="Palatino" w:hAnsi="Palatino" w:cs="Palatino"/>
          <w:sz w:val="20"/>
          <w:szCs w:val="20"/>
        </w:rPr>
        <w:t xml:space="preserve">The absolute minimum level of availability of an individual aid to navigation should be set at 95%. </w:t>
      </w:r>
    </w:p>
    <w:p w14:paraId="592F1582" w14:textId="77777777" w:rsidR="00541A14" w:rsidRDefault="00A450E1">
      <w:pPr>
        <w:pStyle w:val="CM114"/>
        <w:ind w:left="175"/>
        <w:rPr>
          <w:rFonts w:ascii="Palatino" w:hAnsi="Palatino" w:cs="Palatino"/>
          <w:sz w:val="20"/>
          <w:szCs w:val="20"/>
        </w:rPr>
      </w:pPr>
      <w:r>
        <w:rPr>
          <w:rFonts w:ascii="Palatino" w:hAnsi="Palatino" w:cs="Palatino"/>
          <w:b/>
          <w:bCs/>
          <w:sz w:val="20"/>
          <w:szCs w:val="20"/>
        </w:rPr>
        <w:t xml:space="preserve">Refer to IAlA publication: </w:t>
      </w:r>
    </w:p>
    <w:p w14:paraId="7E58F490" w14:textId="77777777" w:rsidR="00541A14" w:rsidRDefault="009E3F25">
      <w:pPr>
        <w:pStyle w:val="CM165"/>
        <w:spacing w:after="85" w:line="258" w:lineRule="atLeast"/>
        <w:ind w:left="175"/>
        <w:rPr>
          <w:rFonts w:ascii="Palatino" w:hAnsi="Palatino" w:cs="Palatino"/>
          <w:sz w:val="20"/>
          <w:szCs w:val="20"/>
        </w:rPr>
      </w:pPr>
      <w:hyperlink r:id="rId353" w:history="1">
        <w:r w:rsidR="00A450E1">
          <w:rPr>
            <w:rFonts w:ascii="Palatino" w:hAnsi="Palatino" w:cs="Palatino"/>
            <w:i/>
            <w:iCs/>
            <w:sz w:val="20"/>
            <w:szCs w:val="20"/>
          </w:rPr>
          <w:t xml:space="preserve">IALA Recommendation O-130 on Categorisation and Availability Objectives for Short Range Aids to Navigation. </w:t>
        </w:r>
      </w:hyperlink>
    </w:p>
    <w:p w14:paraId="35AB3E6F" w14:textId="77777777" w:rsidR="00541A14" w:rsidRDefault="009E3F25">
      <w:pPr>
        <w:pStyle w:val="CM173"/>
        <w:spacing w:after="340" w:line="258" w:lineRule="atLeast"/>
        <w:ind w:left="175"/>
        <w:rPr>
          <w:rFonts w:ascii="Palatino" w:hAnsi="Palatino" w:cs="Palatino"/>
          <w:sz w:val="20"/>
          <w:szCs w:val="20"/>
        </w:rPr>
      </w:pPr>
      <w:hyperlink r:id="rId354" w:history="1">
        <w:r w:rsidR="00A450E1">
          <w:rPr>
            <w:rFonts w:ascii="Palatino" w:hAnsi="Palatino" w:cs="Palatino"/>
            <w:i/>
            <w:iCs/>
            <w:sz w:val="20"/>
            <w:szCs w:val="20"/>
          </w:rPr>
          <w:t xml:space="preserve">IALA Guideline 1035 on Availability and Reliability of Aids to Navigation. </w:t>
        </w:r>
      </w:hyperlink>
    </w:p>
    <w:p w14:paraId="05870790"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8.4.4 Availability and Continuity of Radionavigation Services </w:t>
      </w:r>
    </w:p>
    <w:p w14:paraId="2839CD9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availability objectives for DGNSS (DGPS) services have been handled somewhat differently from </w:t>
      </w:r>
    </w:p>
    <w:p w14:paraId="4C9209F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traditional aids to navigation. This reflects the broader policy formulation process that includes the </w:t>
      </w:r>
    </w:p>
    <w:p w14:paraId="1995A506"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IMO Resolution A.815(19) for a World Wide Radionavigation System. </w:t>
      </w:r>
    </w:p>
    <w:p w14:paraId="1CE88B8F" w14:textId="77777777" w:rsidR="00541A14" w:rsidRDefault="00A450E1">
      <w:pPr>
        <w:pStyle w:val="CM77"/>
        <w:ind w:left="365"/>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203E9F27" w14:textId="77777777" w:rsidR="00541A14" w:rsidRDefault="009E3F25">
      <w:pPr>
        <w:pStyle w:val="CM77"/>
        <w:ind w:left="365"/>
        <w:rPr>
          <w:rFonts w:ascii="Palatino" w:hAnsi="Palatino" w:cs="Palatino"/>
          <w:color w:val="000000"/>
          <w:sz w:val="20"/>
          <w:szCs w:val="20"/>
        </w:rPr>
      </w:pPr>
      <w:hyperlink r:id="rId355" w:history="1">
        <w:r w:rsidR="00A450E1">
          <w:rPr>
            <w:rFonts w:ascii="Palatino" w:hAnsi="Palatino" w:cs="Palatino"/>
            <w:i/>
            <w:iCs/>
            <w:color w:val="000000"/>
            <w:sz w:val="20"/>
            <w:szCs w:val="20"/>
          </w:rPr>
          <w:t xml:space="preserve">IALA Recommendation R-121 on the Performance and Monitoring of DGNSS Services in the </w:t>
        </w:r>
      </w:hyperlink>
    </w:p>
    <w:p w14:paraId="1D6C6978" w14:textId="77777777" w:rsidR="00541A14" w:rsidRDefault="009E3F25">
      <w:pPr>
        <w:pStyle w:val="CM172"/>
        <w:spacing w:after="202" w:line="271" w:lineRule="atLeast"/>
        <w:ind w:left="365"/>
        <w:rPr>
          <w:rFonts w:ascii="Palatino" w:hAnsi="Palatino" w:cs="Palatino"/>
          <w:color w:val="000000"/>
          <w:sz w:val="20"/>
          <w:szCs w:val="20"/>
        </w:rPr>
      </w:pPr>
      <w:hyperlink r:id="rId356" w:history="1">
        <w:r w:rsidR="00A450E1">
          <w:rPr>
            <w:rFonts w:ascii="Palatino" w:hAnsi="Palatino" w:cs="Palatino"/>
            <w:i/>
            <w:iCs/>
            <w:color w:val="000000"/>
            <w:sz w:val="20"/>
            <w:szCs w:val="20"/>
          </w:rPr>
          <w:t xml:space="preserve">Frequency Band 283.5 – 325 kHz. </w:t>
        </w:r>
      </w:hyperlink>
    </w:p>
    <w:p w14:paraId="6316F350"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Recommendation R121 retains the original definition of availability, but adds a statement about “</w:t>
      </w:r>
      <w:r>
        <w:rPr>
          <w:rFonts w:ascii="Palatino" w:hAnsi="Palatino" w:cs="Palatino"/>
          <w:b/>
          <w:bCs/>
          <w:color w:val="000000"/>
          <w:sz w:val="20"/>
          <w:szCs w:val="20"/>
        </w:rPr>
        <w:t>non</w:t>
      </w:r>
      <w:r>
        <w:rPr>
          <w:rFonts w:ascii="Palatino" w:hAnsi="Palatino" w:cs="Palatino"/>
          <w:b/>
          <w:bCs/>
          <w:color w:val="000000"/>
          <w:sz w:val="20"/>
          <w:szCs w:val="20"/>
        </w:rPr>
        <w:softHyphen/>
        <w:t>availability</w:t>
      </w:r>
      <w:r>
        <w:rPr>
          <w:rFonts w:ascii="Palatino" w:hAnsi="Palatino" w:cs="Palatino"/>
          <w:color w:val="000000"/>
          <w:sz w:val="20"/>
          <w:szCs w:val="20"/>
        </w:rPr>
        <w:t xml:space="preserve">”: </w:t>
      </w:r>
    </w:p>
    <w:p w14:paraId="02813249" w14:textId="77777777" w:rsidR="00541A14" w:rsidRDefault="00A450E1">
      <w:pPr>
        <w:pStyle w:val="CM185"/>
        <w:spacing w:after="140" w:line="291" w:lineRule="atLeast"/>
        <w:rPr>
          <w:rFonts w:ascii="Palatino" w:hAnsi="Palatino" w:cs="Palatino"/>
          <w:color w:val="000000"/>
          <w:sz w:val="20"/>
          <w:szCs w:val="20"/>
        </w:rPr>
      </w:pPr>
      <w:r>
        <w:rPr>
          <w:rFonts w:ascii="Palatino" w:hAnsi="Palatino" w:cs="Palatino"/>
          <w:color w:val="000000"/>
          <w:sz w:val="20"/>
          <w:szCs w:val="20"/>
        </w:rPr>
        <w:t xml:space="preserve">Non-availability is equivalent to “down time” but as proposed includes both </w:t>
      </w:r>
      <w:r>
        <w:rPr>
          <w:rFonts w:ascii="Palatino" w:hAnsi="Palatino" w:cs="Palatino"/>
          <w:b/>
          <w:bCs/>
          <w:color w:val="000000"/>
          <w:sz w:val="20"/>
          <w:szCs w:val="20"/>
        </w:rPr>
        <w:t>scheduled</w:t>
      </w:r>
      <w:r>
        <w:rPr>
          <w:rFonts w:ascii="Palatino" w:hAnsi="Palatino" w:cs="Palatino"/>
          <w:color w:val="000000"/>
          <w:sz w:val="20"/>
          <w:szCs w:val="20"/>
        </w:rPr>
        <w:t xml:space="preserve"> and/or </w:t>
      </w:r>
      <w:r>
        <w:rPr>
          <w:rFonts w:ascii="Palatino" w:hAnsi="Palatino" w:cs="Palatino"/>
          <w:b/>
          <w:bCs/>
          <w:color w:val="000000"/>
          <w:sz w:val="20"/>
          <w:szCs w:val="20"/>
        </w:rPr>
        <w:t>unscheduled</w:t>
      </w:r>
      <w:r>
        <w:rPr>
          <w:rFonts w:ascii="Palatino" w:hAnsi="Palatino" w:cs="Palatino"/>
          <w:color w:val="000000"/>
          <w:sz w:val="20"/>
          <w:szCs w:val="20"/>
        </w:rPr>
        <w:t xml:space="preserve"> interruptions (ie. preventative and corrective maintenance). The revised equation becomes: </w:t>
      </w:r>
    </w:p>
    <w:p w14:paraId="3172D56A" w14:textId="77777777" w:rsidR="00541A14" w:rsidRDefault="00A450E1">
      <w:pPr>
        <w:pStyle w:val="CM1"/>
        <w:jc w:val="center"/>
        <w:rPr>
          <w:rFonts w:ascii="Palatino" w:hAnsi="Palatino" w:cs="Palatino"/>
          <w:color w:val="000000"/>
          <w:sz w:val="28"/>
          <w:szCs w:val="28"/>
        </w:rPr>
      </w:pPr>
      <w:r>
        <w:rPr>
          <w:rFonts w:ascii="Palatino" w:hAnsi="Palatino" w:cs="Palatino"/>
          <w:color w:val="000000"/>
          <w:sz w:val="28"/>
          <w:szCs w:val="28"/>
          <w:u w:val="single"/>
        </w:rPr>
        <w:t>(MTBO)</w:t>
      </w:r>
    </w:p>
    <w:p w14:paraId="1D721483" w14:textId="77777777" w:rsidR="00541A14" w:rsidRDefault="00A450E1">
      <w:pPr>
        <w:pStyle w:val="CM169"/>
        <w:spacing w:after="65"/>
        <w:ind w:left="2547"/>
        <w:rPr>
          <w:rFonts w:ascii="Times New Roman" w:hAnsi="Times New Roman"/>
          <w:color w:val="000000"/>
          <w:sz w:val="21"/>
          <w:szCs w:val="21"/>
        </w:rPr>
      </w:pPr>
      <w:r>
        <w:rPr>
          <w:rFonts w:ascii="Times New Roman" w:hAnsi="Times New Roman"/>
          <w:i/>
          <w:iCs/>
          <w:color w:val="000000"/>
          <w:sz w:val="21"/>
          <w:szCs w:val="21"/>
        </w:rPr>
        <w:t xml:space="preserve">Availability </w:t>
      </w:r>
      <w:r>
        <w:rPr>
          <w:rFonts w:ascii="Times New Roman" w:hAnsi="Times New Roman"/>
          <w:color w:val="000000"/>
          <w:sz w:val="21"/>
          <w:szCs w:val="21"/>
        </w:rPr>
        <w:t xml:space="preserve">= </w:t>
      </w:r>
    </w:p>
    <w:p w14:paraId="3C899745" w14:textId="77777777" w:rsidR="00541A14" w:rsidRDefault="00A450E1">
      <w:pPr>
        <w:pStyle w:val="CM165"/>
        <w:spacing w:after="85"/>
        <w:jc w:val="center"/>
        <w:rPr>
          <w:rFonts w:ascii="Times New Roman" w:hAnsi="Times New Roman"/>
          <w:color w:val="000000"/>
          <w:sz w:val="28"/>
          <w:szCs w:val="28"/>
        </w:rPr>
      </w:pPr>
      <w:r>
        <w:rPr>
          <w:rFonts w:ascii="Times New Roman" w:hAnsi="Times New Roman"/>
          <w:color w:val="000000"/>
          <w:sz w:val="28"/>
          <w:szCs w:val="28"/>
        </w:rPr>
        <w:t>(MTB</w:t>
      </w:r>
      <w:r>
        <w:rPr>
          <w:rFonts w:ascii="Times New Roman" w:hAnsi="Times New Roman"/>
          <w:i/>
          <w:iCs/>
          <w:color w:val="000000"/>
          <w:sz w:val="21"/>
          <w:szCs w:val="21"/>
        </w:rPr>
        <w:t xml:space="preserve">O </w:t>
      </w:r>
      <w:r>
        <w:rPr>
          <w:rFonts w:ascii="Times New Roman" w:hAnsi="Times New Roman"/>
          <w:color w:val="000000"/>
          <w:sz w:val="21"/>
          <w:szCs w:val="21"/>
        </w:rPr>
        <w:t xml:space="preserve">+ </w:t>
      </w:r>
      <w:r>
        <w:rPr>
          <w:rFonts w:ascii="Times New Roman" w:hAnsi="Times New Roman"/>
          <w:i/>
          <w:iCs/>
          <w:color w:val="000000"/>
          <w:sz w:val="21"/>
          <w:szCs w:val="21"/>
        </w:rPr>
        <w:t>MTSR</w:t>
      </w:r>
      <w:r>
        <w:rPr>
          <w:rFonts w:ascii="Times New Roman" w:hAnsi="Times New Roman"/>
          <w:color w:val="000000"/>
          <w:sz w:val="28"/>
          <w:szCs w:val="28"/>
        </w:rPr>
        <w:t xml:space="preserve">) </w:t>
      </w:r>
    </w:p>
    <w:p w14:paraId="057CF5F5" w14:textId="77777777" w:rsidR="00541A14" w:rsidRDefault="00A450E1">
      <w:pPr>
        <w:pStyle w:val="CM162"/>
        <w:spacing w:after="552" w:line="286" w:lineRule="atLeast"/>
        <w:ind w:left="720" w:hanging="720"/>
        <w:rPr>
          <w:rFonts w:ascii="Palatino" w:hAnsi="Palatino" w:cs="Palatino"/>
          <w:color w:val="000000"/>
          <w:sz w:val="20"/>
          <w:szCs w:val="20"/>
        </w:rPr>
      </w:pPr>
      <w:r>
        <w:rPr>
          <w:rFonts w:ascii="Palatino" w:hAnsi="Palatino" w:cs="Palatino"/>
          <w:color w:val="000000"/>
          <w:sz w:val="20"/>
          <w:szCs w:val="20"/>
        </w:rPr>
        <w:t xml:space="preserve">Where: MTBO = Mean time between outages; based on a 2 year averaging period (30 days ocean phase) MTSR = Mean time to service restoration; based on a 2 year averaging period (30 days ocean phase) </w:t>
      </w:r>
    </w:p>
    <w:p w14:paraId="25F45AD9"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637AAD27" wp14:editId="74519019">
            <wp:extent cx="7553960" cy="420370"/>
            <wp:effectExtent l="0" t="0" r="0" b="1143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2A4DFC11" w14:textId="77777777" w:rsidR="00541A14" w:rsidRDefault="00DD420F">
      <w:pPr>
        <w:pStyle w:val="Default"/>
        <w:pageBreakBefore/>
        <w:framePr w:w="12876" w:wrap="auto" w:vAnchor="page" w:hAnchor="page" w:x="101" w:y="1"/>
        <w:spacing w:after="660"/>
        <w:rPr>
          <w:rFonts w:ascii="Palatino" w:hAnsi="Palatino" w:cs="Palatino"/>
          <w:sz w:val="20"/>
          <w:szCs w:val="20"/>
        </w:rPr>
      </w:pPr>
      <w:r>
        <w:rPr>
          <w:rFonts w:ascii="Palatino" w:hAnsi="Palatino" w:cs="Palatino"/>
          <w:noProof/>
          <w:sz w:val="20"/>
          <w:szCs w:val="20"/>
        </w:rPr>
        <w:drawing>
          <wp:inline distT="0" distB="0" distL="0" distR="0" wp14:anchorId="7812149A" wp14:editId="68AD4C28">
            <wp:extent cx="7553960" cy="1056640"/>
            <wp:effectExtent l="0" t="0" r="0" b="1016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0CCBEBB9" w14:textId="77777777" w:rsidR="00541A14" w:rsidRDefault="00A450E1">
      <w:pPr>
        <w:pStyle w:val="CM172"/>
        <w:spacing w:after="202"/>
        <w:rPr>
          <w:rFonts w:ascii="Palatino" w:hAnsi="Palatino" w:cs="Palatino"/>
          <w:color w:val="000000"/>
          <w:sz w:val="20"/>
          <w:szCs w:val="20"/>
        </w:rPr>
      </w:pPr>
      <w:r>
        <w:rPr>
          <w:rFonts w:ascii="Palatino" w:hAnsi="Palatino" w:cs="Palatino"/>
          <w:b/>
          <w:bCs/>
          <w:color w:val="000000"/>
          <w:sz w:val="20"/>
          <w:szCs w:val="20"/>
        </w:rPr>
        <w:t xml:space="preserve">Example 1: </w:t>
      </w:r>
    </w:p>
    <w:p w14:paraId="061EDFFE" w14:textId="77777777" w:rsidR="00541A14" w:rsidRDefault="00A450E1">
      <w:pPr>
        <w:pStyle w:val="Default"/>
        <w:numPr>
          <w:ilvl w:val="0"/>
          <w:numId w:val="164"/>
        </w:numPr>
        <w:rPr>
          <w:rFonts w:ascii="Palatino" w:hAnsi="Palatino" w:cs="Palatino"/>
          <w:sz w:val="20"/>
          <w:szCs w:val="20"/>
        </w:rPr>
      </w:pPr>
      <w:r>
        <w:rPr>
          <w:rFonts w:ascii="Palatino" w:hAnsi="Palatino" w:cs="Palatino"/>
          <w:sz w:val="20"/>
          <w:szCs w:val="20"/>
        </w:rPr>
        <w:t xml:space="preserve">assuming a scheduled maintenance cycle of 6 months; </w:t>
      </w:r>
    </w:p>
    <w:p w14:paraId="6983C732" w14:textId="77777777" w:rsidR="00541A14" w:rsidRDefault="00A450E1">
      <w:pPr>
        <w:pStyle w:val="Default"/>
        <w:numPr>
          <w:ilvl w:val="0"/>
          <w:numId w:val="164"/>
        </w:numPr>
        <w:rPr>
          <w:rFonts w:ascii="Palatino" w:hAnsi="Palatino" w:cs="Palatino"/>
          <w:sz w:val="20"/>
          <w:szCs w:val="20"/>
        </w:rPr>
      </w:pPr>
      <w:r>
        <w:rPr>
          <w:rFonts w:ascii="Palatino" w:hAnsi="Palatino" w:cs="Palatino"/>
          <w:sz w:val="20"/>
          <w:szCs w:val="20"/>
        </w:rPr>
        <w:t xml:space="preserve">with a mean time between scheduled maintenance is 0.5 years; (i.e. 4 scheduled maintenance breaks </w:t>
      </w:r>
    </w:p>
    <w:p w14:paraId="7F7DC4A4" w14:textId="77777777" w:rsidR="00541A14" w:rsidRDefault="00541A14">
      <w:pPr>
        <w:pStyle w:val="Default"/>
        <w:rPr>
          <w:rFonts w:ascii="Palatino" w:hAnsi="Palatino" w:cs="Palatino"/>
          <w:sz w:val="20"/>
          <w:szCs w:val="20"/>
        </w:rPr>
      </w:pPr>
    </w:p>
    <w:p w14:paraId="16EDD4F8"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 xml:space="preserve">in 2 years); and </w:t>
      </w:r>
    </w:p>
    <w:p w14:paraId="3D0FFEA4"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assuming a MTBF of 2 years. </w:t>
      </w:r>
    </w:p>
    <w:p w14:paraId="29A8BD89"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The average number of failures over 2 years is expected to be approximately 1 giving a total of 5 outages over the two year period; mean time between outages is 2/5 years or approximately 3500 hours. </w:t>
      </w:r>
    </w:p>
    <w:p w14:paraId="497BF015"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If the average out of service time for scheduled maintenance is 6 hours; the total out of service time for scheduled maintenance over the two year period is 24 hours. </w:t>
      </w:r>
    </w:p>
    <w:p w14:paraId="32B64220"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Similarly, if the unscheduled maintenance period is 12 hours, and the total time out of service over the two year period is 36 hours. This covers 5 maintenance events. </w:t>
      </w:r>
    </w:p>
    <w:p w14:paraId="1513A01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mean time to service restoration is 36/5 hours or approximately 7 hours. </w:t>
      </w:r>
    </w:p>
    <w:p w14:paraId="2CF068D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overall availability over the two year period is (3500/(3500+7)) or 99.8%. </w:t>
      </w:r>
    </w:p>
    <w:p w14:paraId="1DF3EB6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Example 2: </w:t>
      </w:r>
    </w:p>
    <w:p w14:paraId="319BD28C" w14:textId="77777777" w:rsidR="00541A14" w:rsidRDefault="00A450E1">
      <w:pPr>
        <w:pStyle w:val="Default"/>
        <w:numPr>
          <w:ilvl w:val="0"/>
          <w:numId w:val="165"/>
        </w:numPr>
        <w:rPr>
          <w:rFonts w:ascii="Palatino" w:hAnsi="Palatino" w:cs="Palatino"/>
          <w:sz w:val="20"/>
          <w:szCs w:val="20"/>
        </w:rPr>
      </w:pPr>
      <w:r>
        <w:rPr>
          <w:rFonts w:ascii="Palatino" w:hAnsi="Palatino" w:cs="Palatino"/>
          <w:sz w:val="20"/>
          <w:szCs w:val="20"/>
        </w:rPr>
        <w:t xml:space="preserve">assuming a scheduled maintenance cycle of 6 months; </w:t>
      </w:r>
    </w:p>
    <w:p w14:paraId="41E91ACD" w14:textId="77777777" w:rsidR="00541A14" w:rsidRDefault="00A450E1">
      <w:pPr>
        <w:pStyle w:val="Default"/>
        <w:numPr>
          <w:ilvl w:val="0"/>
          <w:numId w:val="165"/>
        </w:numPr>
        <w:rPr>
          <w:rFonts w:ascii="Palatino" w:hAnsi="Palatino" w:cs="Palatino"/>
          <w:sz w:val="20"/>
          <w:szCs w:val="20"/>
        </w:rPr>
      </w:pPr>
      <w:r>
        <w:rPr>
          <w:rFonts w:ascii="Palatino" w:hAnsi="Palatino" w:cs="Palatino"/>
          <w:sz w:val="20"/>
          <w:szCs w:val="20"/>
        </w:rPr>
        <w:t xml:space="preserve">with a mean time between scheduled maintenance is 0.5 years; (i.e. 4 scheduled maintenance </w:t>
      </w:r>
    </w:p>
    <w:p w14:paraId="26B6116D" w14:textId="77777777" w:rsidR="00541A14" w:rsidRDefault="00541A14">
      <w:pPr>
        <w:pStyle w:val="Default"/>
        <w:rPr>
          <w:rFonts w:ascii="Palatino" w:hAnsi="Palatino" w:cs="Palatino"/>
          <w:sz w:val="20"/>
          <w:szCs w:val="20"/>
        </w:rPr>
      </w:pPr>
    </w:p>
    <w:p w14:paraId="31C74C1A"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breaks in 2 years); and </w:t>
      </w:r>
    </w:p>
    <w:p w14:paraId="45BF628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 assuming a MTBF of 2000 hours. </w:t>
      </w:r>
    </w:p>
    <w:p w14:paraId="5A34A4A5"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The average number of failures over 2 years (17520 hours) is expected to be 8.76, rounded up to 9; giving a total of 13 outages over the two year period (4 scheduled + 9 unscheduled); mean time between outages is 17520 hours/13 or 1348 hours: </w:t>
      </w:r>
    </w:p>
    <w:p w14:paraId="309D3D9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If the average out of service time for scheduled maintenance is 6 hours; the total out of service </w:t>
      </w:r>
    </w:p>
    <w:p w14:paraId="1B506FB2" w14:textId="77777777" w:rsidR="00541A14" w:rsidRDefault="00A450E1">
      <w:pPr>
        <w:pStyle w:val="CM165"/>
        <w:spacing w:after="85" w:line="331" w:lineRule="atLeast"/>
        <w:ind w:firstLine="252"/>
        <w:rPr>
          <w:rFonts w:ascii="Palatino" w:hAnsi="Palatino" w:cs="Palatino"/>
          <w:color w:val="000000"/>
          <w:sz w:val="20"/>
          <w:szCs w:val="20"/>
        </w:rPr>
      </w:pPr>
      <w:r>
        <w:rPr>
          <w:rFonts w:ascii="Palatino" w:hAnsi="Palatino" w:cs="Palatino"/>
          <w:color w:val="000000"/>
          <w:sz w:val="20"/>
          <w:szCs w:val="20"/>
        </w:rPr>
        <w:t xml:space="preserve">time for scheduled maintenance over the two year period is 24 hours. Similarly, if the unscheduled maintenance period is 67 hours, the total time out of service over the two year period is 91 hours. This covers 13 maintenance events. </w:t>
      </w:r>
    </w:p>
    <w:p w14:paraId="77D9CF16" w14:textId="77777777" w:rsidR="00541A14" w:rsidRDefault="00A450E1">
      <w:pPr>
        <w:pStyle w:val="CM165"/>
        <w:spacing w:after="85" w:line="346" w:lineRule="atLeast"/>
        <w:rPr>
          <w:rFonts w:ascii="Palatino" w:hAnsi="Palatino" w:cs="Palatino"/>
          <w:color w:val="000000"/>
          <w:sz w:val="20"/>
          <w:szCs w:val="20"/>
        </w:rPr>
      </w:pPr>
      <w:r>
        <w:rPr>
          <w:rFonts w:ascii="Palatino" w:hAnsi="Palatino" w:cs="Palatino"/>
          <w:color w:val="000000"/>
          <w:sz w:val="20"/>
          <w:szCs w:val="20"/>
        </w:rPr>
        <w:t xml:space="preserve">The mean time to service restoration is 91/13 hours or approximately 7 hours. </w:t>
      </w:r>
    </w:p>
    <w:p w14:paraId="79EA6D82" w14:textId="77777777" w:rsidR="00541A14" w:rsidRDefault="00A450E1">
      <w:pPr>
        <w:pStyle w:val="CM173"/>
        <w:spacing w:after="340" w:line="346" w:lineRule="atLeast"/>
        <w:rPr>
          <w:rFonts w:ascii="Palatino" w:hAnsi="Palatino" w:cs="Palatino"/>
          <w:color w:val="000000"/>
          <w:sz w:val="20"/>
          <w:szCs w:val="20"/>
        </w:rPr>
      </w:pPr>
      <w:r>
        <w:rPr>
          <w:rFonts w:ascii="Palatino" w:hAnsi="Palatino" w:cs="Palatino"/>
          <w:color w:val="000000"/>
          <w:sz w:val="20"/>
          <w:szCs w:val="20"/>
        </w:rPr>
        <w:t xml:space="preserve">The overall availability over the two year period is 1348/(1348+7) or 99.5%. </w:t>
      </w:r>
    </w:p>
    <w:p w14:paraId="3178116F" w14:textId="77777777" w:rsidR="00541A14" w:rsidRDefault="00A450E1">
      <w:pPr>
        <w:pStyle w:val="Default"/>
        <w:rPr>
          <w:rFonts w:ascii="Futura Book" w:hAnsi="Futura Book" w:cs="Futura Book"/>
          <w:color w:val="2C5062"/>
          <w:sz w:val="22"/>
          <w:szCs w:val="22"/>
        </w:rPr>
      </w:pPr>
      <w:r>
        <w:rPr>
          <w:rFonts w:ascii="Futura Book" w:hAnsi="Futura Book" w:cs="Futura Book"/>
          <w:b/>
          <w:bCs/>
          <w:color w:val="2C5062"/>
          <w:sz w:val="22"/>
          <w:szCs w:val="22"/>
        </w:rPr>
        <w:t xml:space="preserve">8.4.5 Over and Under Achievement Issues </w:t>
      </w:r>
    </w:p>
    <w:p w14:paraId="664196E1" w14:textId="77777777" w:rsidR="00541A14" w:rsidRDefault="00A450E1">
      <w:pPr>
        <w:pStyle w:val="CM45"/>
        <w:rPr>
          <w:rFonts w:ascii="Palatino" w:hAnsi="Palatino" w:cs="Palatino"/>
          <w:color w:val="000000"/>
          <w:sz w:val="20"/>
          <w:szCs w:val="20"/>
        </w:rPr>
      </w:pPr>
      <w:r>
        <w:rPr>
          <w:rFonts w:ascii="Palatino" w:hAnsi="Palatino" w:cs="Palatino"/>
          <w:color w:val="000000"/>
          <w:sz w:val="20"/>
          <w:szCs w:val="20"/>
        </w:rPr>
        <w:t xml:space="preserve">The actual availability achieved by an individual aid to navigation is a reflection of the quality of the </w:t>
      </w:r>
    </w:p>
    <w:p w14:paraId="7D46217B" w14:textId="77777777" w:rsidR="00541A14" w:rsidRDefault="00A450E1">
      <w:pPr>
        <w:pStyle w:val="CM165"/>
        <w:spacing w:after="85" w:line="346" w:lineRule="atLeast"/>
        <w:rPr>
          <w:rFonts w:ascii="Palatino" w:hAnsi="Palatino" w:cs="Palatino"/>
          <w:color w:val="000000"/>
          <w:sz w:val="20"/>
          <w:szCs w:val="20"/>
        </w:rPr>
      </w:pPr>
      <w:r>
        <w:rPr>
          <w:rFonts w:ascii="Palatino" w:hAnsi="Palatino" w:cs="Palatino"/>
          <w:color w:val="000000"/>
          <w:sz w:val="20"/>
          <w:szCs w:val="20"/>
        </w:rPr>
        <w:t xml:space="preserve">establishment process, the maintenance regime and the skills of personnel involved.  (section 8.2 refers) </w:t>
      </w:r>
    </w:p>
    <w:p w14:paraId="067F7388"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There is a cost penalty associated with prescribing a higher level of availability for a system such as an aid to navigation</w:t>
      </w:r>
      <w:r>
        <w:rPr>
          <w:rFonts w:ascii="Palatino" w:hAnsi="Palatino" w:cs="Palatino"/>
          <w:color w:val="000000"/>
          <w:position w:val="7"/>
          <w:sz w:val="11"/>
          <w:szCs w:val="11"/>
          <w:vertAlign w:val="superscript"/>
        </w:rPr>
        <w:t>47</w:t>
      </w:r>
      <w:r>
        <w:rPr>
          <w:rFonts w:ascii="Palatino" w:hAnsi="Palatino" w:cs="Palatino"/>
          <w:color w:val="000000"/>
          <w:sz w:val="20"/>
          <w:szCs w:val="20"/>
        </w:rPr>
        <w:t xml:space="preserve">. There is also a cost penalty associated with the maintenance of unreliable systems.  </w:t>
      </w:r>
    </w:p>
    <w:p w14:paraId="627FE805" w14:textId="77777777" w:rsidR="00541A14" w:rsidRDefault="00A450E1">
      <w:pPr>
        <w:pStyle w:val="CM45"/>
        <w:rPr>
          <w:rFonts w:ascii="Palatino" w:hAnsi="Palatino" w:cs="Palatino"/>
          <w:color w:val="000000"/>
          <w:sz w:val="20"/>
          <w:szCs w:val="20"/>
        </w:rPr>
      </w:pPr>
      <w:r>
        <w:rPr>
          <w:rFonts w:ascii="Palatino" w:hAnsi="Palatino" w:cs="Palatino"/>
          <w:color w:val="000000"/>
          <w:sz w:val="20"/>
          <w:szCs w:val="20"/>
        </w:rPr>
        <w:t xml:space="preserve">The interrelationship is complex, but the objective is to find the minimum cost solution as illustrated in </w:t>
      </w:r>
    </w:p>
    <w:p w14:paraId="5FF4E9D2" w14:textId="77777777" w:rsidR="00541A14" w:rsidRDefault="00A450E1">
      <w:pPr>
        <w:pStyle w:val="CM163"/>
        <w:spacing w:after="642" w:line="346" w:lineRule="atLeast"/>
        <w:rPr>
          <w:rFonts w:ascii="Palatino" w:hAnsi="Palatino" w:cs="Palatino"/>
          <w:color w:val="000000"/>
          <w:sz w:val="20"/>
          <w:szCs w:val="20"/>
        </w:rPr>
      </w:pPr>
      <w:r>
        <w:rPr>
          <w:rFonts w:ascii="Palatino" w:hAnsi="Palatino" w:cs="Palatino"/>
          <w:color w:val="000000"/>
          <w:sz w:val="20"/>
          <w:szCs w:val="20"/>
        </w:rPr>
        <w:t>Figure 32.</w:t>
      </w:r>
    </w:p>
    <w:p w14:paraId="51BB0D9B" w14:textId="77777777" w:rsidR="00541A14" w:rsidRDefault="00A450E1">
      <w:pPr>
        <w:pStyle w:val="CM163"/>
        <w:spacing w:after="642"/>
        <w:rPr>
          <w:rFonts w:ascii="Palatino" w:hAnsi="Palatino" w:cs="Palatino"/>
          <w:color w:val="000000"/>
          <w:sz w:val="20"/>
          <w:szCs w:val="20"/>
        </w:rPr>
      </w:pPr>
      <w:r>
        <w:rPr>
          <w:rFonts w:ascii="Palatino" w:hAnsi="Palatino" w:cs="Palatino"/>
          <w:color w:val="000000"/>
          <w:position w:val="6"/>
          <w:sz w:val="20"/>
          <w:szCs w:val="20"/>
          <w:vertAlign w:val="superscript"/>
        </w:rPr>
        <w:t xml:space="preserve"> 47</w:t>
      </w:r>
      <w:r>
        <w:rPr>
          <w:rFonts w:ascii="Palatino" w:hAnsi="Palatino" w:cs="Palatino"/>
          <w:color w:val="000000"/>
          <w:sz w:val="20"/>
          <w:szCs w:val="20"/>
        </w:rPr>
        <w:t xml:space="preserve">Irrespective of whether or not the increased availability is required by the mariner. </w:t>
      </w:r>
    </w:p>
    <w:p w14:paraId="1005D7DE"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5B4F903E" wp14:editId="165D8214">
            <wp:extent cx="7542530" cy="420370"/>
            <wp:effectExtent l="0" t="0" r="1270" b="1143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4B3709FC" w14:textId="77777777" w:rsidR="00541A14" w:rsidRDefault="00DD420F">
      <w:pPr>
        <w:pStyle w:val="Default"/>
        <w:pageBreakBefore/>
        <w:framePr w:w="24782" w:wrap="auto" w:vAnchor="page" w:hAnchor="page" w:x="101" w:y="5682"/>
        <w:spacing w:after="120"/>
        <w:rPr>
          <w:rFonts w:ascii="Palatino" w:hAnsi="Palatino" w:cs="Palatino"/>
          <w:sz w:val="20"/>
          <w:szCs w:val="20"/>
        </w:rPr>
      </w:pPr>
      <w:r>
        <w:rPr>
          <w:rFonts w:ascii="Palatino" w:hAnsi="Palatino" w:cs="Palatino"/>
          <w:noProof/>
          <w:sz w:val="20"/>
          <w:szCs w:val="20"/>
        </w:rPr>
        <w:drawing>
          <wp:inline distT="0" distB="0" distL="0" distR="0" wp14:anchorId="1C53EDCB" wp14:editId="5AD644E2">
            <wp:extent cx="4878705" cy="757047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878705" cy="7570470"/>
                    </a:xfrm>
                    <a:prstGeom prst="rect">
                      <a:avLst/>
                    </a:prstGeom>
                    <a:noFill/>
                    <a:ln>
                      <a:noFill/>
                    </a:ln>
                  </pic:spPr>
                </pic:pic>
              </a:graphicData>
            </a:graphic>
          </wp:inline>
        </w:drawing>
      </w:r>
    </w:p>
    <w:p w14:paraId="1986D414" w14:textId="77777777" w:rsidR="00541A14" w:rsidRDefault="00A450E1">
      <w:pPr>
        <w:pStyle w:val="CM165"/>
        <w:spacing w:after="85"/>
        <w:rPr>
          <w:rFonts w:ascii="Palatino" w:hAnsi="Palatino" w:cs="Palatino"/>
          <w:color w:val="000000"/>
          <w:sz w:val="20"/>
          <w:szCs w:val="20"/>
        </w:rPr>
      </w:pPr>
      <w:r>
        <w:rPr>
          <w:rFonts w:ascii="Palatino" w:hAnsi="Palatino" w:cs="Palatino"/>
          <w:b/>
          <w:bCs/>
          <w:color w:val="000000"/>
          <w:sz w:val="20"/>
          <w:szCs w:val="20"/>
        </w:rPr>
        <w:t xml:space="preserve">Over-Engineering vs. Unreliability </w:t>
      </w:r>
    </w:p>
    <w:p w14:paraId="6482BA56"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For a lighthouse in a remote location, the cost of time and transport to rectify equipment failures can be very high. From this perspective: </w:t>
      </w:r>
    </w:p>
    <w:p w14:paraId="0633627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the one-off cost of over-engineering is generally not as expensive in the long term as the </w:t>
      </w:r>
    </w:p>
    <w:p w14:paraId="7C5628CD"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ongoing cost of attending to un-reliable equipment and/or poor system designs; </w:t>
      </w:r>
    </w:p>
    <w:p w14:paraId="1068470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 a conservative design approach has its merits. </w:t>
      </w:r>
    </w:p>
    <w:p w14:paraId="0B7A5388"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If the aid is not achieving its availability objective, the Authority should ascertain the reasons for this and implement actions that remedy the situation. IALA has recommended that if a facility cannot achieve an availability of 95% (ie. 50 days out per 1000 days) after reasonable endeavours, consideration should be given to withdrawing the facility (as an aid to navigation). </w:t>
      </w:r>
    </w:p>
    <w:p w14:paraId="6EE33669" w14:textId="77777777" w:rsidR="00541A14" w:rsidRDefault="00A450E1">
      <w:pPr>
        <w:pStyle w:val="CM26"/>
        <w:ind w:right="177"/>
        <w:rPr>
          <w:rFonts w:ascii="Palatino" w:hAnsi="Palatino" w:cs="Palatino"/>
          <w:color w:val="000000"/>
          <w:sz w:val="20"/>
          <w:szCs w:val="20"/>
        </w:rPr>
      </w:pPr>
      <w:r>
        <w:rPr>
          <w:rFonts w:ascii="Palatino" w:hAnsi="Palatino" w:cs="Palatino"/>
          <w:color w:val="000000"/>
          <w:sz w:val="20"/>
          <w:szCs w:val="20"/>
        </w:rPr>
        <w:t xml:space="preserve">If a single aid within a group is performing above its availability objective, it could be due to either technical or environmental reasons. If the performance difference occurs between sites using similar </w:t>
      </w:r>
    </w:p>
    <w:p w14:paraId="1DAB483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equipment, and this trend has been established for some time, it may be of benefit to investigate the </w:t>
      </w:r>
    </w:p>
    <w:p w14:paraId="4EFE396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reasons for the difference. </w:t>
      </w:r>
    </w:p>
    <w:p w14:paraId="09EBF81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If a group of aids is found to be over performing for a relatively long period of time, there is an opportunity to review the maintenance practices with a view to determining the reasons, and possibly to consider extending the maintenance intervals or reducing the maintenance effort. This could lead to: </w:t>
      </w:r>
    </w:p>
    <w:p w14:paraId="3C992029" w14:textId="77777777" w:rsidR="00541A14" w:rsidRDefault="00A450E1">
      <w:pPr>
        <w:pStyle w:val="Default"/>
        <w:numPr>
          <w:ilvl w:val="0"/>
          <w:numId w:val="166"/>
        </w:numPr>
        <w:rPr>
          <w:rFonts w:ascii="Palatino" w:hAnsi="Palatino" w:cs="Palatino"/>
          <w:sz w:val="20"/>
          <w:szCs w:val="20"/>
        </w:rPr>
      </w:pPr>
      <w:r>
        <w:rPr>
          <w:rFonts w:ascii="Palatino" w:hAnsi="Palatino" w:cs="Palatino"/>
          <w:sz w:val="20"/>
          <w:szCs w:val="20"/>
        </w:rPr>
        <w:t xml:space="preserve">lower operating costs; </w:t>
      </w:r>
    </w:p>
    <w:p w14:paraId="59739943" w14:textId="77777777" w:rsidR="00541A14" w:rsidRDefault="00A450E1">
      <w:pPr>
        <w:pStyle w:val="Default"/>
        <w:numPr>
          <w:ilvl w:val="0"/>
          <w:numId w:val="166"/>
        </w:numPr>
        <w:rPr>
          <w:rFonts w:ascii="Palatino" w:hAnsi="Palatino" w:cs="Palatino"/>
          <w:sz w:val="20"/>
          <w:szCs w:val="20"/>
        </w:rPr>
      </w:pPr>
      <w:r>
        <w:rPr>
          <w:rFonts w:ascii="Palatino" w:hAnsi="Palatino" w:cs="Palatino"/>
          <w:sz w:val="20"/>
          <w:szCs w:val="20"/>
        </w:rPr>
        <w:t xml:space="preserve">issues relating to the consequential surplus maintenance capacity. </w:t>
      </w:r>
    </w:p>
    <w:p w14:paraId="42CB8D69" w14:textId="77777777" w:rsidR="00541A14" w:rsidRDefault="00541A14">
      <w:pPr>
        <w:pStyle w:val="Default"/>
        <w:rPr>
          <w:rFonts w:ascii="Palatino" w:hAnsi="Palatino" w:cs="Palatino"/>
          <w:sz w:val="20"/>
          <w:szCs w:val="20"/>
        </w:rPr>
      </w:pPr>
    </w:p>
    <w:p w14:paraId="15FCC878"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8.4.6 Continuity </w:t>
      </w:r>
    </w:p>
    <w:p w14:paraId="1DA3567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IMO uses a more elaborate definition of Continuity than that given in Section 6.1.4.2. It states that: </w:t>
      </w:r>
    </w:p>
    <w:p w14:paraId="1E39203F" w14:textId="77777777" w:rsidR="00541A14" w:rsidRDefault="00A450E1">
      <w:pPr>
        <w:pStyle w:val="CM136"/>
        <w:ind w:left="120"/>
        <w:rPr>
          <w:rFonts w:ascii="Palatino" w:hAnsi="Palatino" w:cs="Palatino"/>
          <w:color w:val="000000"/>
          <w:sz w:val="20"/>
          <w:szCs w:val="20"/>
        </w:rPr>
      </w:pPr>
      <w:r>
        <w:rPr>
          <w:rFonts w:ascii="Palatino" w:hAnsi="Palatino" w:cs="Palatino"/>
          <w:color w:val="000000"/>
          <w:sz w:val="20"/>
          <w:szCs w:val="20"/>
        </w:rPr>
        <w:t>‘Continuity is the probability that, assuming a fault free receiver, a user will be able to determine</w:t>
      </w:r>
    </w:p>
    <w:p w14:paraId="1096E4E2" w14:textId="77777777" w:rsidR="00541A14" w:rsidRDefault="00A450E1">
      <w:pPr>
        <w:pStyle w:val="CM136"/>
        <w:ind w:left="120"/>
        <w:rPr>
          <w:rFonts w:ascii="Palatino" w:hAnsi="Palatino" w:cs="Palatino"/>
          <w:color w:val="000000"/>
          <w:sz w:val="20"/>
          <w:szCs w:val="20"/>
        </w:rPr>
      </w:pPr>
      <w:r>
        <w:rPr>
          <w:rFonts w:ascii="Palatino" w:hAnsi="Palatino" w:cs="Palatino"/>
          <w:color w:val="000000"/>
          <w:sz w:val="20"/>
          <w:szCs w:val="20"/>
        </w:rPr>
        <w:t>position with specified accuracy and is able to monitor the integrity of the determined position over the</w:t>
      </w:r>
    </w:p>
    <w:p w14:paraId="07D77D55" w14:textId="77777777" w:rsidR="00541A14" w:rsidRDefault="00A450E1">
      <w:pPr>
        <w:pStyle w:val="CM163"/>
        <w:spacing w:after="642"/>
        <w:ind w:left="112"/>
        <w:rPr>
          <w:rFonts w:ascii="Palatino" w:hAnsi="Palatino" w:cs="Palatino"/>
          <w:color w:val="000000"/>
          <w:sz w:val="20"/>
          <w:szCs w:val="20"/>
        </w:rPr>
      </w:pPr>
      <w:r>
        <w:rPr>
          <w:rFonts w:ascii="Palatino" w:hAnsi="Palatino" w:cs="Palatino"/>
          <w:color w:val="000000"/>
          <w:sz w:val="20"/>
          <w:szCs w:val="20"/>
        </w:rPr>
        <w:t>(short) time interval applicable for a particular operation within a limited part of the coverage area</w:t>
      </w:r>
      <w:r>
        <w:rPr>
          <w:rFonts w:ascii="Palatino" w:hAnsi="Palatino" w:cs="Palatino"/>
          <w:color w:val="000000"/>
          <w:position w:val="7"/>
          <w:sz w:val="11"/>
          <w:szCs w:val="11"/>
          <w:vertAlign w:val="superscript"/>
        </w:rPr>
        <w:t>48</w:t>
      </w:r>
      <w:r>
        <w:rPr>
          <w:rFonts w:ascii="Palatino" w:hAnsi="Palatino" w:cs="Palatino"/>
          <w:color w:val="000000"/>
          <w:sz w:val="20"/>
          <w:szCs w:val="20"/>
        </w:rPr>
        <w:t xml:space="preserve">.’ </w:t>
      </w:r>
    </w:p>
    <w:p w14:paraId="70EFE770"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691D7E85" wp14:editId="2B8BAE27">
            <wp:extent cx="7553960" cy="420370"/>
            <wp:effectExtent l="0" t="0" r="0" b="1143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3E8EB16B" w14:textId="77777777" w:rsidR="00541A14" w:rsidRDefault="00DD420F">
      <w:pPr>
        <w:pStyle w:val="Default"/>
        <w:pageBreakBefore/>
        <w:framePr w:w="12876" w:wrap="auto" w:vAnchor="page" w:hAnchor="page" w:x="101" w:y="1"/>
        <w:spacing w:after="840"/>
        <w:rPr>
          <w:rFonts w:ascii="Palatino" w:hAnsi="Palatino" w:cs="Palatino"/>
          <w:sz w:val="20"/>
          <w:szCs w:val="20"/>
        </w:rPr>
      </w:pPr>
      <w:r>
        <w:rPr>
          <w:rFonts w:ascii="Palatino" w:hAnsi="Palatino" w:cs="Palatino"/>
          <w:noProof/>
          <w:sz w:val="20"/>
          <w:szCs w:val="20"/>
        </w:rPr>
        <w:drawing>
          <wp:inline distT="0" distB="0" distL="0" distR="0" wp14:anchorId="28A4CEFC" wp14:editId="55A55198">
            <wp:extent cx="7553960" cy="1056640"/>
            <wp:effectExtent l="0" t="0" r="0" b="1016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033927EC"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If the service is available at the beginning of the operation, then the probability that it is still available at a time ‘T’ later is: </w:t>
      </w:r>
    </w:p>
    <w:p w14:paraId="42BD383D" w14:textId="77777777" w:rsidR="00541A14" w:rsidRDefault="00A450E1">
      <w:pPr>
        <w:pStyle w:val="CM165"/>
        <w:spacing w:after="85" w:line="271" w:lineRule="atLeast"/>
        <w:jc w:val="center"/>
        <w:rPr>
          <w:rFonts w:ascii="Palatino" w:hAnsi="Palatino" w:cs="Palatino"/>
          <w:color w:val="000000"/>
          <w:sz w:val="20"/>
          <w:szCs w:val="20"/>
        </w:rPr>
      </w:pPr>
      <w:r>
        <w:rPr>
          <w:rFonts w:ascii="Palatino" w:hAnsi="Palatino" w:cs="Palatino"/>
          <w:color w:val="000000"/>
          <w:sz w:val="20"/>
          <w:szCs w:val="20"/>
        </w:rPr>
        <w:t xml:space="preserve">P = exp (-t/MTBF) </w:t>
      </w:r>
    </w:p>
    <w:p w14:paraId="70235C2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This is the standard expression for reliability and excludes scheduled outages.  It uses MTBF and </w:t>
      </w:r>
    </w:p>
    <w:p w14:paraId="1792DC13"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assumes that planned outages will be notified. </w:t>
      </w:r>
    </w:p>
    <w:p w14:paraId="78117647"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The Continuity, or probability that the service will be available after a </w:t>
      </w:r>
      <w:r>
        <w:rPr>
          <w:rFonts w:ascii="Palatino" w:hAnsi="Palatino" w:cs="Palatino"/>
          <w:b/>
          <w:bCs/>
          <w:color w:val="000000"/>
          <w:sz w:val="20"/>
          <w:szCs w:val="20"/>
        </w:rPr>
        <w:t>continuity time interval</w:t>
      </w:r>
      <w:r>
        <w:rPr>
          <w:rFonts w:ascii="Palatino" w:hAnsi="Palatino" w:cs="Palatino"/>
          <w:color w:val="000000"/>
          <w:sz w:val="20"/>
          <w:szCs w:val="20"/>
        </w:rPr>
        <w:t xml:space="preserve"> (CTI),is then: </w:t>
      </w:r>
    </w:p>
    <w:p w14:paraId="50F37688" w14:textId="77777777" w:rsidR="00541A14" w:rsidRDefault="00A450E1">
      <w:pPr>
        <w:pStyle w:val="CM165"/>
        <w:spacing w:after="85" w:line="271" w:lineRule="atLeast"/>
        <w:jc w:val="center"/>
        <w:rPr>
          <w:rFonts w:ascii="Palatino" w:hAnsi="Palatino" w:cs="Palatino"/>
          <w:color w:val="000000"/>
          <w:sz w:val="20"/>
          <w:szCs w:val="20"/>
        </w:rPr>
      </w:pPr>
      <w:r>
        <w:rPr>
          <w:rFonts w:ascii="Palatino" w:hAnsi="Palatino" w:cs="Palatino"/>
          <w:color w:val="000000"/>
          <w:sz w:val="20"/>
          <w:szCs w:val="20"/>
        </w:rPr>
        <w:t xml:space="preserve">C = exp (-CTI/MTBF) </w:t>
      </w:r>
    </w:p>
    <w:p w14:paraId="2717193F" w14:textId="77777777" w:rsidR="00541A14" w:rsidRDefault="00A450E1">
      <w:pPr>
        <w:pStyle w:val="CM165"/>
        <w:spacing w:after="85" w:line="271" w:lineRule="atLeast"/>
        <w:ind w:left="3637" w:right="3355" w:hanging="3638"/>
        <w:rPr>
          <w:rFonts w:ascii="Palatino" w:hAnsi="Palatino" w:cs="Palatino"/>
          <w:color w:val="000000"/>
          <w:sz w:val="20"/>
          <w:szCs w:val="20"/>
        </w:rPr>
      </w:pPr>
      <w:r>
        <w:rPr>
          <w:rFonts w:ascii="Palatino" w:hAnsi="Palatino" w:cs="Palatino"/>
          <w:color w:val="000000"/>
          <w:sz w:val="20"/>
          <w:szCs w:val="20"/>
        </w:rPr>
        <w:t xml:space="preserve">If MTBF is much greater that CTI, the equation approximates to:C = 1 – (CTI/MTBF) </w:t>
      </w:r>
    </w:p>
    <w:p w14:paraId="3C30578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Where: MTBF = Mean time between failures based on a 2 year averaging period. </w:t>
      </w:r>
    </w:p>
    <w:p w14:paraId="259BE257" w14:textId="77777777" w:rsidR="00541A14" w:rsidRDefault="00A450E1">
      <w:pPr>
        <w:pStyle w:val="CM80"/>
        <w:ind w:left="720"/>
        <w:rPr>
          <w:rFonts w:ascii="Palatino" w:hAnsi="Palatino" w:cs="Palatino"/>
          <w:color w:val="000000"/>
          <w:sz w:val="20"/>
          <w:szCs w:val="20"/>
        </w:rPr>
      </w:pPr>
      <w:r>
        <w:rPr>
          <w:rFonts w:ascii="Palatino" w:hAnsi="Palatino" w:cs="Palatino"/>
          <w:color w:val="000000"/>
          <w:sz w:val="20"/>
          <w:szCs w:val="20"/>
        </w:rPr>
        <w:t xml:space="preserve">CTI = Continuity Time Interval – in the case of maritime AtoN calculations, Continuity Time </w:t>
      </w:r>
    </w:p>
    <w:p w14:paraId="6846F1D4" w14:textId="77777777" w:rsidR="00541A14" w:rsidRDefault="00A450E1">
      <w:pPr>
        <w:pStyle w:val="CM165"/>
        <w:spacing w:after="85" w:line="276" w:lineRule="atLeast"/>
        <w:ind w:left="720"/>
        <w:rPr>
          <w:rFonts w:ascii="Palatino" w:hAnsi="Palatino" w:cs="Palatino"/>
          <w:color w:val="000000"/>
          <w:sz w:val="20"/>
          <w:szCs w:val="20"/>
        </w:rPr>
      </w:pPr>
      <w:r>
        <w:rPr>
          <w:rFonts w:ascii="Palatino" w:hAnsi="Palatino" w:cs="Palatino"/>
          <w:color w:val="000000"/>
          <w:sz w:val="20"/>
          <w:szCs w:val="20"/>
        </w:rPr>
        <w:t xml:space="preserve">Interval is equal to 3 hours. </w:t>
      </w:r>
    </w:p>
    <w:p w14:paraId="04B84423" w14:textId="77777777" w:rsidR="00541A14" w:rsidRDefault="00A450E1">
      <w:pPr>
        <w:pStyle w:val="CM165"/>
        <w:spacing w:after="85" w:line="286" w:lineRule="atLeast"/>
        <w:ind w:right="702"/>
        <w:rPr>
          <w:rFonts w:ascii="Palatino" w:hAnsi="Palatino" w:cs="Palatino"/>
          <w:color w:val="000000"/>
          <w:sz w:val="20"/>
          <w:szCs w:val="20"/>
        </w:rPr>
      </w:pPr>
      <w:r>
        <w:rPr>
          <w:rFonts w:ascii="Palatino" w:hAnsi="Palatino" w:cs="Palatino"/>
          <w:color w:val="000000"/>
          <w:sz w:val="20"/>
          <w:szCs w:val="20"/>
        </w:rPr>
        <w:t xml:space="preserve">There is no need to include the availability at the beginning of the time period of the operation because if there is no service, then the operation will not commence. </w:t>
      </w:r>
    </w:p>
    <w:p w14:paraId="2C1A985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Example 1: </w:t>
      </w:r>
    </w:p>
    <w:p w14:paraId="1352AF6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Using the figures in the previous example for a system with a 2 year MTBF, the continuity over a three </w:t>
      </w:r>
    </w:p>
    <w:p w14:paraId="661FB09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hour period is 1-(3/17520), or 99.98%. </w:t>
      </w:r>
    </w:p>
    <w:p w14:paraId="68C5CD0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Example 2: </w:t>
      </w:r>
    </w:p>
    <w:p w14:paraId="0758107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Using the figures in the previous example for a system with a 2000 hour MTBF, the continuity over a </w:t>
      </w:r>
    </w:p>
    <w:p w14:paraId="587B72AD"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three hour period is 1-(3/2000), or 99.85%. </w:t>
      </w:r>
    </w:p>
    <w:p w14:paraId="12EB3676"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8.5 Reviews and Planning </w:t>
      </w:r>
    </w:p>
    <w:p w14:paraId="6494F7A6"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8.5.1 Reviews </w:t>
      </w:r>
    </w:p>
    <w:p w14:paraId="41ED90A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In many countries, the network of aids to navigation has been built up over a considerable time, in some cases, centuries. It should be recognised that the nature of shipping is continually changing and this means that the aids to navigation infrastructure</w:t>
      </w:r>
      <w:r>
        <w:rPr>
          <w:rFonts w:ascii="Palatino" w:hAnsi="Palatino" w:cs="Palatino"/>
          <w:color w:val="000000"/>
          <w:position w:val="7"/>
          <w:sz w:val="11"/>
          <w:szCs w:val="11"/>
          <w:vertAlign w:val="superscript"/>
        </w:rPr>
        <w:t>49</w:t>
      </w:r>
      <w:r>
        <w:rPr>
          <w:rFonts w:ascii="Palatino" w:hAnsi="Palatino" w:cs="Palatino"/>
          <w:color w:val="000000"/>
          <w:sz w:val="20"/>
          <w:szCs w:val="20"/>
        </w:rPr>
        <w:t xml:space="preserve"> should be reviewed periodically.  The rate of change varies from place to place, but it would be reasonable to adopt a review process using one of the change management tools that provides: </w:t>
      </w:r>
    </w:p>
    <w:p w14:paraId="51D2CEA6" w14:textId="77777777" w:rsidR="00541A14" w:rsidRDefault="00A450E1">
      <w:pPr>
        <w:pStyle w:val="Default"/>
        <w:numPr>
          <w:ilvl w:val="0"/>
          <w:numId w:val="167"/>
        </w:numPr>
        <w:rPr>
          <w:rFonts w:ascii="Palatino" w:hAnsi="Palatino" w:cs="Palatino"/>
          <w:sz w:val="20"/>
          <w:szCs w:val="20"/>
        </w:rPr>
      </w:pPr>
      <w:r>
        <w:rPr>
          <w:rFonts w:ascii="Palatino" w:hAnsi="Palatino" w:cs="Palatino"/>
          <w:sz w:val="20"/>
          <w:szCs w:val="20"/>
        </w:rPr>
        <w:t xml:space="preserve">a Strategic Plan (Navigation Plan) with a suggested minimum 10 year outlook, and; </w:t>
      </w:r>
    </w:p>
    <w:p w14:paraId="1F4EA5CD" w14:textId="77777777" w:rsidR="00541A14" w:rsidRDefault="00A450E1">
      <w:pPr>
        <w:pStyle w:val="Default"/>
        <w:numPr>
          <w:ilvl w:val="0"/>
          <w:numId w:val="167"/>
        </w:numPr>
        <w:rPr>
          <w:rFonts w:ascii="Palatino" w:hAnsi="Palatino" w:cs="Palatino"/>
          <w:sz w:val="20"/>
          <w:szCs w:val="20"/>
        </w:rPr>
      </w:pPr>
      <w:r>
        <w:rPr>
          <w:rFonts w:ascii="Palatino" w:hAnsi="Palatino" w:cs="Palatino"/>
          <w:sz w:val="20"/>
          <w:szCs w:val="20"/>
        </w:rPr>
        <w:t xml:space="preserve">an Operational Plan with a suggested rolling 5 year work program. </w:t>
      </w:r>
    </w:p>
    <w:p w14:paraId="273B67BD" w14:textId="77777777" w:rsidR="00541A14" w:rsidRDefault="00541A14">
      <w:pPr>
        <w:pStyle w:val="Default"/>
        <w:rPr>
          <w:rFonts w:ascii="Palatino" w:hAnsi="Palatino" w:cs="Palatino"/>
          <w:sz w:val="20"/>
          <w:szCs w:val="20"/>
        </w:rPr>
      </w:pPr>
    </w:p>
    <w:p w14:paraId="2D079554" w14:textId="77777777" w:rsidR="00541A14" w:rsidRDefault="00A450E1">
      <w:pPr>
        <w:pStyle w:val="CM38"/>
        <w:ind w:right="352"/>
        <w:rPr>
          <w:rFonts w:ascii="Palatino" w:hAnsi="Palatino" w:cs="Palatino"/>
          <w:color w:val="000000"/>
          <w:sz w:val="20"/>
          <w:szCs w:val="20"/>
        </w:rPr>
      </w:pPr>
      <w:r>
        <w:rPr>
          <w:rFonts w:ascii="Palatino" w:hAnsi="Palatino" w:cs="Palatino"/>
          <w:color w:val="000000"/>
          <w:sz w:val="20"/>
          <w:szCs w:val="20"/>
        </w:rPr>
        <w:t xml:space="preserve">The increasing availability of AIS-derived ship data (type, position, speed, cargo etc) is proving to be a very useful tool in reviewing the relevance of existing aids to navigation and identifying new requirements. Effective use of AIS data requires a data management strategy and appropriate </w:t>
      </w:r>
    </w:p>
    <w:p w14:paraId="16F87EE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technology to efficiently store and manipulate very large amounts of data and be able to integrated </w:t>
      </w:r>
    </w:p>
    <w:p w14:paraId="562A018B"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with other electronic data, for example electronic nautical charts to display shipping patterns. </w:t>
      </w:r>
    </w:p>
    <w:p w14:paraId="248A1B39"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User Consultancy </w:t>
      </w:r>
    </w:p>
    <w:p w14:paraId="6143187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SOLAS Convention Chapter V Regulation 13 requires that contracting governments undertake to </w:t>
      </w:r>
    </w:p>
    <w:p w14:paraId="660FA237" w14:textId="77777777" w:rsidR="00541A14" w:rsidRDefault="00A450E1">
      <w:pPr>
        <w:pStyle w:val="CM197"/>
        <w:spacing w:after="390" w:line="291" w:lineRule="atLeast"/>
        <w:rPr>
          <w:rFonts w:ascii="Palatino" w:hAnsi="Palatino" w:cs="Palatino"/>
          <w:color w:val="000000"/>
          <w:sz w:val="20"/>
          <w:szCs w:val="20"/>
        </w:rPr>
      </w:pPr>
      <w:r>
        <w:rPr>
          <w:rFonts w:ascii="Palatino" w:hAnsi="Palatino" w:cs="Palatino"/>
          <w:color w:val="000000"/>
          <w:sz w:val="20"/>
          <w:szCs w:val="20"/>
        </w:rPr>
        <w:t xml:space="preserve">arrange (AtoN) as, in their opinion the volume of traffic justifies and the degree of risk requires, and </w:t>
      </w:r>
    </w:p>
    <w:p w14:paraId="00CF0F45"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position w:val="6"/>
          <w:sz w:val="20"/>
          <w:szCs w:val="20"/>
          <w:vertAlign w:val="superscript"/>
        </w:rPr>
        <w:t>48</w:t>
      </w:r>
      <w:r>
        <w:rPr>
          <w:rFonts w:ascii="Palatino" w:hAnsi="Palatino" w:cs="Palatino"/>
          <w:color w:val="000000"/>
          <w:sz w:val="20"/>
          <w:szCs w:val="20"/>
        </w:rPr>
        <w:t xml:space="preserve">This is the same definition as “mission reliability”. </w:t>
      </w:r>
    </w:p>
    <w:p w14:paraId="22898423" w14:textId="77777777" w:rsidR="00541A14" w:rsidRDefault="00A450E1">
      <w:pPr>
        <w:pStyle w:val="CM162"/>
        <w:spacing w:after="552"/>
        <w:rPr>
          <w:rFonts w:ascii="Palatino" w:hAnsi="Palatino" w:cs="Palatino"/>
          <w:color w:val="000000"/>
          <w:sz w:val="20"/>
          <w:szCs w:val="20"/>
        </w:rPr>
      </w:pPr>
      <w:r>
        <w:rPr>
          <w:rFonts w:ascii="Palatino" w:hAnsi="Palatino" w:cs="Palatino"/>
          <w:color w:val="000000"/>
          <w:position w:val="6"/>
          <w:sz w:val="20"/>
          <w:szCs w:val="20"/>
          <w:vertAlign w:val="superscript"/>
        </w:rPr>
        <w:t>49</w:t>
      </w:r>
      <w:r>
        <w:rPr>
          <w:rFonts w:ascii="Palatino" w:hAnsi="Palatino" w:cs="Palatino"/>
          <w:color w:val="000000"/>
          <w:sz w:val="20"/>
          <w:szCs w:val="20"/>
        </w:rPr>
        <w:t xml:space="preserve">Some aids to navigation are in reality monuments to historical accidents and are of little value to modern shipping. </w:t>
      </w:r>
    </w:p>
    <w:p w14:paraId="109F03CB"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423808F6" wp14:editId="7ABCAFE9">
            <wp:extent cx="7542530" cy="420370"/>
            <wp:effectExtent l="0" t="0" r="1270" b="1143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3F612FE4" w14:textId="77777777" w:rsidR="00541A14" w:rsidRDefault="00DD420F">
      <w:pPr>
        <w:pStyle w:val="Default"/>
        <w:pageBreakBefore/>
        <w:framePr w:w="24782" w:wrap="auto" w:vAnchor="page" w:hAnchor="page" w:x="101" w:y="1"/>
        <w:spacing w:after="560"/>
        <w:rPr>
          <w:rFonts w:ascii="Palatino" w:hAnsi="Palatino" w:cs="Palatino"/>
          <w:sz w:val="20"/>
          <w:szCs w:val="20"/>
        </w:rPr>
      </w:pPr>
      <w:r>
        <w:rPr>
          <w:rFonts w:ascii="Palatino" w:hAnsi="Palatino" w:cs="Palatino"/>
          <w:noProof/>
          <w:sz w:val="20"/>
          <w:szCs w:val="20"/>
        </w:rPr>
        <w:drawing>
          <wp:inline distT="0" distB="0" distL="0" distR="0" wp14:anchorId="33B58916" wp14:editId="5658EC2E">
            <wp:extent cx="7553960" cy="106743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0E77154F"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to arrange for information in relation to these AtoN to be made available to all concerned. Competent Authorities are guided by IALA to establish and conduct user consultation with stakeholders when planning all types of new AtoN or changes to their existing provision of AtoN. Consultation should also be a means to monitor these services. </w:t>
      </w:r>
    </w:p>
    <w:p w14:paraId="097940D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Consultations, while often integral to many decision-making processes, can have various meanings </w:t>
      </w:r>
    </w:p>
    <w:p w14:paraId="0BB8E9A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for different practitioners and participants. In some cases, consultations are defined in legislation or </w:t>
      </w:r>
    </w:p>
    <w:p w14:paraId="4FE8369B" w14:textId="77777777" w:rsidR="00541A14" w:rsidRDefault="00A450E1">
      <w:pPr>
        <w:pStyle w:val="CM26"/>
        <w:ind w:right="177"/>
        <w:rPr>
          <w:rFonts w:ascii="Palatino" w:hAnsi="Palatino" w:cs="Palatino"/>
          <w:color w:val="000000"/>
          <w:sz w:val="20"/>
          <w:szCs w:val="20"/>
        </w:rPr>
      </w:pPr>
      <w:r>
        <w:rPr>
          <w:rFonts w:ascii="Palatino" w:hAnsi="Palatino" w:cs="Palatino"/>
          <w:color w:val="000000"/>
          <w:sz w:val="20"/>
          <w:szCs w:val="20"/>
        </w:rPr>
        <w:t xml:space="preserve">agreements. Consultations can be ad hoc or regularised. Sometimes they are undertaken extensively, on broad issues with a wide-range of participants; other times, consultations are more intensive, </w:t>
      </w:r>
    </w:p>
    <w:p w14:paraId="1A83C61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with a narrower focus and specifically-targeted participants. A stakeholder is a person, group or </w:t>
      </w:r>
    </w:p>
    <w:p w14:paraId="4C52CB13"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agency that has a direct interest in an issue for which the Competent Authority has a mandate or legal responsibility, and may or may not be directly affected by the Authority’s programs and activities, and also non-governmental organisations. </w:t>
      </w:r>
    </w:p>
    <w:p w14:paraId="1F4581A1"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8.5.2 Strategic Plans </w:t>
      </w:r>
    </w:p>
    <w:p w14:paraId="488ABC47"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 Strategic Plan is the result of an informed and consultative process that sets the long term goals andobjectives for an organization. For a Competent Authority it would include: </w:t>
      </w:r>
    </w:p>
    <w:p w14:paraId="0D65D1E1" w14:textId="77777777" w:rsidR="00541A14" w:rsidRDefault="00A450E1">
      <w:pPr>
        <w:pStyle w:val="CM165"/>
        <w:spacing w:after="85" w:line="268" w:lineRule="atLeast"/>
        <w:ind w:left="302" w:hanging="303"/>
        <w:rPr>
          <w:rFonts w:ascii="Palatino" w:hAnsi="Palatino" w:cs="Palatino"/>
          <w:color w:val="000000"/>
          <w:sz w:val="20"/>
          <w:szCs w:val="20"/>
        </w:rPr>
      </w:pPr>
      <w:r>
        <w:rPr>
          <w:rFonts w:ascii="Palatino" w:hAnsi="Palatino" w:cs="Palatino"/>
          <w:color w:val="000000"/>
          <w:sz w:val="20"/>
          <w:szCs w:val="20"/>
        </w:rPr>
        <w:t xml:space="preserve">• the role of the authority, for example: </w:t>
      </w:r>
    </w:p>
    <w:p w14:paraId="16314F4D" w14:textId="77777777" w:rsidR="00541A14" w:rsidRDefault="00A450E1">
      <w:pPr>
        <w:pStyle w:val="Default"/>
        <w:numPr>
          <w:ilvl w:val="0"/>
          <w:numId w:val="168"/>
        </w:numPr>
        <w:rPr>
          <w:rFonts w:ascii="Palatino" w:hAnsi="Palatino" w:cs="Palatino"/>
          <w:sz w:val="20"/>
          <w:szCs w:val="20"/>
        </w:rPr>
      </w:pPr>
      <w:r>
        <w:rPr>
          <w:rFonts w:ascii="Palatino" w:hAnsi="Palatino" w:cs="Palatino"/>
          <w:sz w:val="20"/>
          <w:szCs w:val="20"/>
        </w:rPr>
        <w:t xml:space="preserve">to promote a high standard of maritime safety; and </w:t>
      </w:r>
    </w:p>
    <w:p w14:paraId="7CBBF70A" w14:textId="77777777" w:rsidR="00541A14" w:rsidRDefault="00A450E1">
      <w:pPr>
        <w:pStyle w:val="Default"/>
        <w:numPr>
          <w:ilvl w:val="0"/>
          <w:numId w:val="168"/>
        </w:numPr>
        <w:rPr>
          <w:rFonts w:ascii="Palatino" w:hAnsi="Palatino" w:cs="Palatino"/>
          <w:sz w:val="20"/>
          <w:szCs w:val="20"/>
        </w:rPr>
      </w:pPr>
      <w:r>
        <w:rPr>
          <w:rFonts w:ascii="Palatino" w:hAnsi="Palatino" w:cs="Palatino"/>
          <w:sz w:val="20"/>
          <w:szCs w:val="20"/>
        </w:rPr>
        <w:t xml:space="preserve">to provide infrastructure and information services to support the safety of navigation in aparticular area. </w:t>
      </w:r>
    </w:p>
    <w:p w14:paraId="52013211" w14:textId="77777777" w:rsidR="00541A14" w:rsidRDefault="00541A14">
      <w:pPr>
        <w:pStyle w:val="Default"/>
        <w:rPr>
          <w:rFonts w:ascii="Palatino" w:hAnsi="Palatino" w:cs="Palatino"/>
          <w:sz w:val="20"/>
          <w:szCs w:val="20"/>
        </w:rPr>
      </w:pPr>
    </w:p>
    <w:p w14:paraId="12EAA4B3" w14:textId="77777777" w:rsidR="00541A14" w:rsidRDefault="00A450E1">
      <w:pPr>
        <w:pStyle w:val="CM71"/>
        <w:ind w:left="302" w:hanging="303"/>
        <w:rPr>
          <w:rFonts w:ascii="Palatino" w:hAnsi="Palatino" w:cs="Palatino"/>
          <w:color w:val="000000"/>
          <w:sz w:val="20"/>
          <w:szCs w:val="20"/>
        </w:rPr>
      </w:pPr>
      <w:r>
        <w:rPr>
          <w:rFonts w:ascii="Palatino" w:hAnsi="Palatino" w:cs="Palatino"/>
          <w:color w:val="000000"/>
          <w:sz w:val="20"/>
          <w:szCs w:val="20"/>
        </w:rPr>
        <w:t xml:space="preserve">• how the authority will go about discharging its responsibilities, for example: </w:t>
      </w:r>
    </w:p>
    <w:p w14:paraId="4EBD176E" w14:textId="77777777" w:rsidR="00541A14" w:rsidRDefault="00A450E1">
      <w:pPr>
        <w:pStyle w:val="CM129"/>
        <w:ind w:left="600" w:hanging="298"/>
        <w:rPr>
          <w:rFonts w:ascii="Palatino" w:hAnsi="Palatino" w:cs="Palatino"/>
          <w:color w:val="000000"/>
          <w:sz w:val="20"/>
          <w:szCs w:val="20"/>
        </w:rPr>
      </w:pPr>
      <w:r>
        <w:rPr>
          <w:rFonts w:ascii="Palatino" w:hAnsi="Palatino" w:cs="Palatino"/>
          <w:color w:val="000000"/>
          <w:sz w:val="20"/>
          <w:szCs w:val="20"/>
        </w:rPr>
        <w:t xml:space="preserve">– outline of the corporate values of the authority; </w:t>
      </w:r>
    </w:p>
    <w:p w14:paraId="4738BDD6" w14:textId="77777777" w:rsidR="00541A14" w:rsidRDefault="00A450E1">
      <w:pPr>
        <w:pStyle w:val="Default"/>
        <w:numPr>
          <w:ilvl w:val="0"/>
          <w:numId w:val="169"/>
        </w:numPr>
        <w:rPr>
          <w:rFonts w:ascii="Palatino" w:hAnsi="Palatino" w:cs="Palatino"/>
          <w:sz w:val="20"/>
          <w:szCs w:val="20"/>
        </w:rPr>
      </w:pPr>
      <w:r>
        <w:rPr>
          <w:rFonts w:ascii="Palatino" w:hAnsi="Palatino" w:cs="Palatino"/>
          <w:sz w:val="20"/>
          <w:szCs w:val="20"/>
        </w:rPr>
        <w:t xml:space="preserve">corporate governance arrangements; </w:t>
      </w:r>
    </w:p>
    <w:p w14:paraId="66D7A3A4" w14:textId="77777777" w:rsidR="00541A14" w:rsidRDefault="00A450E1">
      <w:pPr>
        <w:pStyle w:val="Default"/>
        <w:numPr>
          <w:ilvl w:val="0"/>
          <w:numId w:val="169"/>
        </w:numPr>
        <w:rPr>
          <w:rFonts w:ascii="Palatino" w:hAnsi="Palatino" w:cs="Palatino"/>
          <w:sz w:val="20"/>
          <w:szCs w:val="20"/>
        </w:rPr>
      </w:pPr>
      <w:r>
        <w:rPr>
          <w:rFonts w:ascii="Palatino" w:hAnsi="Palatino" w:cs="Palatino"/>
          <w:sz w:val="20"/>
          <w:szCs w:val="20"/>
        </w:rPr>
        <w:t xml:space="preserve">funding arrangements; </w:t>
      </w:r>
    </w:p>
    <w:p w14:paraId="79ADAFCE" w14:textId="77777777" w:rsidR="00541A14" w:rsidRDefault="00A450E1">
      <w:pPr>
        <w:pStyle w:val="Default"/>
        <w:numPr>
          <w:ilvl w:val="0"/>
          <w:numId w:val="169"/>
        </w:numPr>
        <w:rPr>
          <w:rFonts w:ascii="Palatino" w:hAnsi="Palatino" w:cs="Palatino"/>
          <w:sz w:val="20"/>
          <w:szCs w:val="20"/>
        </w:rPr>
      </w:pPr>
      <w:r>
        <w:rPr>
          <w:rFonts w:ascii="Palatino" w:hAnsi="Palatino" w:cs="Palatino"/>
          <w:sz w:val="20"/>
          <w:szCs w:val="20"/>
        </w:rPr>
        <w:t xml:space="preserve">reviews of industry trends; and </w:t>
      </w:r>
    </w:p>
    <w:p w14:paraId="173E5AE3" w14:textId="77777777" w:rsidR="00541A14" w:rsidRDefault="00541A14">
      <w:pPr>
        <w:pStyle w:val="Default"/>
        <w:rPr>
          <w:rFonts w:ascii="Palatino" w:hAnsi="Palatino" w:cs="Palatino"/>
          <w:sz w:val="20"/>
          <w:szCs w:val="20"/>
        </w:rPr>
      </w:pPr>
    </w:p>
    <w:p w14:paraId="4E31836A" w14:textId="77777777" w:rsidR="00541A14" w:rsidRDefault="00A450E1">
      <w:pPr>
        <w:pStyle w:val="CM165"/>
        <w:spacing w:after="85" w:line="268" w:lineRule="atLeast"/>
        <w:ind w:left="302" w:hanging="303"/>
        <w:rPr>
          <w:rFonts w:ascii="Palatino" w:hAnsi="Palatino" w:cs="Palatino"/>
          <w:color w:val="000000"/>
          <w:sz w:val="20"/>
          <w:szCs w:val="20"/>
        </w:rPr>
      </w:pPr>
      <w:r>
        <w:rPr>
          <w:rFonts w:ascii="Palatino" w:hAnsi="Palatino" w:cs="Palatino"/>
          <w:color w:val="000000"/>
          <w:sz w:val="20"/>
          <w:szCs w:val="20"/>
        </w:rPr>
        <w:t xml:space="preserve">• an understanding of the users and navigation requirements. </w:t>
      </w:r>
    </w:p>
    <w:p w14:paraId="5C8B6840" w14:textId="77777777" w:rsidR="00541A14" w:rsidRDefault="00A450E1">
      <w:pPr>
        <w:pStyle w:val="CM172"/>
        <w:spacing w:after="202" w:line="268" w:lineRule="atLeast"/>
        <w:ind w:right="352"/>
        <w:rPr>
          <w:rFonts w:ascii="Palatino" w:hAnsi="Palatino" w:cs="Palatino"/>
          <w:color w:val="000000"/>
          <w:sz w:val="20"/>
          <w:szCs w:val="20"/>
        </w:rPr>
      </w:pPr>
      <w:r>
        <w:rPr>
          <w:rFonts w:ascii="Palatino" w:hAnsi="Palatino" w:cs="Palatino"/>
          <w:color w:val="000000"/>
          <w:sz w:val="20"/>
          <w:szCs w:val="20"/>
        </w:rPr>
        <w:t xml:space="preserve">Because of its importance and its effect on the mariners, any strategic plan should be developed asmuch as possible in full consultation with the mariners and other stakeholders. </w:t>
      </w:r>
    </w:p>
    <w:p w14:paraId="6B2B4AEB"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8.5.3 Operational Plans </w:t>
      </w:r>
    </w:p>
    <w:p w14:paraId="76E61A3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Operational Plan might cover: </w:t>
      </w:r>
    </w:p>
    <w:p w14:paraId="7489CCE8" w14:textId="77777777" w:rsidR="00541A14" w:rsidRDefault="00A450E1">
      <w:pPr>
        <w:pStyle w:val="CM122"/>
        <w:ind w:left="300" w:right="305" w:hanging="300"/>
        <w:rPr>
          <w:rFonts w:ascii="Palatino" w:hAnsi="Palatino" w:cs="Palatino"/>
          <w:color w:val="000000"/>
          <w:sz w:val="20"/>
          <w:szCs w:val="20"/>
        </w:rPr>
      </w:pPr>
      <w:r>
        <w:rPr>
          <w:rFonts w:ascii="Palatino" w:hAnsi="Palatino" w:cs="Palatino"/>
          <w:color w:val="000000"/>
          <w:sz w:val="20"/>
          <w:szCs w:val="20"/>
        </w:rPr>
        <w:t>a) The</w:t>
      </w:r>
      <w:r>
        <w:rPr>
          <w:rFonts w:ascii="Palatino" w:hAnsi="Palatino" w:cs="Palatino"/>
          <w:b/>
          <w:bCs/>
          <w:color w:val="000000"/>
          <w:sz w:val="20"/>
          <w:szCs w:val="20"/>
        </w:rPr>
        <w:t xml:space="preserve"> implementation of the strategic plan</w:t>
      </w:r>
      <w:r>
        <w:rPr>
          <w:rFonts w:ascii="Palatino" w:hAnsi="Palatino" w:cs="Palatino"/>
          <w:color w:val="000000"/>
          <w:sz w:val="20"/>
          <w:szCs w:val="20"/>
        </w:rPr>
        <w:t xml:space="preserve">, and may include statements on current policy issues such as: </w:t>
      </w:r>
    </w:p>
    <w:p w14:paraId="6586E161" w14:textId="77777777" w:rsidR="00541A14" w:rsidRDefault="00A450E1">
      <w:pPr>
        <w:pStyle w:val="Default"/>
        <w:numPr>
          <w:ilvl w:val="0"/>
          <w:numId w:val="170"/>
        </w:numPr>
        <w:rPr>
          <w:rFonts w:ascii="Palatino" w:hAnsi="Palatino" w:cs="Palatino"/>
          <w:sz w:val="20"/>
          <w:szCs w:val="20"/>
        </w:rPr>
      </w:pPr>
      <w:r>
        <w:rPr>
          <w:rFonts w:ascii="Palatino" w:hAnsi="Palatino" w:cs="Palatino"/>
          <w:sz w:val="20"/>
          <w:szCs w:val="20"/>
        </w:rPr>
        <w:t xml:space="preserve">maintenance; </w:t>
      </w:r>
    </w:p>
    <w:p w14:paraId="0281453F" w14:textId="77777777" w:rsidR="00541A14" w:rsidRDefault="00A450E1">
      <w:pPr>
        <w:pStyle w:val="Default"/>
        <w:numPr>
          <w:ilvl w:val="0"/>
          <w:numId w:val="170"/>
        </w:numPr>
        <w:rPr>
          <w:rFonts w:ascii="Palatino" w:hAnsi="Palatino" w:cs="Palatino"/>
          <w:sz w:val="20"/>
          <w:szCs w:val="20"/>
        </w:rPr>
      </w:pPr>
      <w:r>
        <w:rPr>
          <w:rFonts w:ascii="Palatino" w:hAnsi="Palatino" w:cs="Palatino"/>
          <w:sz w:val="20"/>
          <w:szCs w:val="20"/>
        </w:rPr>
        <w:t xml:space="preserve">current and new technology; </w:t>
      </w:r>
    </w:p>
    <w:p w14:paraId="344A30CB" w14:textId="77777777" w:rsidR="00541A14" w:rsidRDefault="00A450E1">
      <w:pPr>
        <w:pStyle w:val="Default"/>
        <w:numPr>
          <w:ilvl w:val="0"/>
          <w:numId w:val="170"/>
        </w:numPr>
        <w:rPr>
          <w:rFonts w:ascii="Palatino" w:hAnsi="Palatino" w:cs="Palatino"/>
          <w:sz w:val="20"/>
          <w:szCs w:val="20"/>
        </w:rPr>
      </w:pPr>
      <w:r>
        <w:rPr>
          <w:rFonts w:ascii="Palatino" w:hAnsi="Palatino" w:cs="Palatino"/>
          <w:sz w:val="20"/>
          <w:szCs w:val="20"/>
        </w:rPr>
        <w:t xml:space="preserve">the design life of new infrastructure </w:t>
      </w:r>
    </w:p>
    <w:p w14:paraId="1D3EAA5A" w14:textId="77777777" w:rsidR="00541A14" w:rsidRDefault="00A450E1">
      <w:pPr>
        <w:pStyle w:val="Default"/>
        <w:numPr>
          <w:ilvl w:val="0"/>
          <w:numId w:val="170"/>
        </w:numPr>
        <w:rPr>
          <w:rFonts w:ascii="Palatino" w:hAnsi="Palatino" w:cs="Palatino"/>
          <w:sz w:val="20"/>
          <w:szCs w:val="20"/>
        </w:rPr>
      </w:pPr>
      <w:r>
        <w:rPr>
          <w:rFonts w:ascii="Palatino" w:hAnsi="Palatino" w:cs="Palatino"/>
          <w:sz w:val="20"/>
          <w:szCs w:val="20"/>
        </w:rPr>
        <w:t xml:space="preserve">remote monitoring and control; </w:t>
      </w:r>
    </w:p>
    <w:p w14:paraId="0819F792" w14:textId="77777777" w:rsidR="00541A14" w:rsidRDefault="00A450E1">
      <w:pPr>
        <w:pStyle w:val="Default"/>
        <w:numPr>
          <w:ilvl w:val="0"/>
          <w:numId w:val="170"/>
        </w:numPr>
        <w:rPr>
          <w:rFonts w:ascii="Palatino" w:hAnsi="Palatino" w:cs="Palatino"/>
          <w:sz w:val="20"/>
          <w:szCs w:val="20"/>
        </w:rPr>
      </w:pPr>
      <w:r>
        <w:rPr>
          <w:rFonts w:ascii="Palatino" w:hAnsi="Palatino" w:cs="Palatino"/>
          <w:sz w:val="20"/>
          <w:szCs w:val="20"/>
        </w:rPr>
        <w:t xml:space="preserve">historic lighthouses; </w:t>
      </w:r>
    </w:p>
    <w:p w14:paraId="673B4A58" w14:textId="77777777" w:rsidR="00541A14" w:rsidRDefault="00A450E1">
      <w:pPr>
        <w:pStyle w:val="Default"/>
        <w:numPr>
          <w:ilvl w:val="0"/>
          <w:numId w:val="170"/>
        </w:numPr>
        <w:rPr>
          <w:rFonts w:ascii="Palatino" w:hAnsi="Palatino" w:cs="Palatino"/>
          <w:sz w:val="20"/>
          <w:szCs w:val="20"/>
        </w:rPr>
      </w:pPr>
      <w:r>
        <w:rPr>
          <w:rFonts w:ascii="Palatino" w:hAnsi="Palatino" w:cs="Palatino"/>
          <w:sz w:val="20"/>
          <w:szCs w:val="20"/>
        </w:rPr>
        <w:t xml:space="preserve">environmental culture and safety; </w:t>
      </w:r>
    </w:p>
    <w:p w14:paraId="689FF58C" w14:textId="77777777" w:rsidR="00541A14" w:rsidRDefault="00A450E1">
      <w:pPr>
        <w:pStyle w:val="Default"/>
        <w:numPr>
          <w:ilvl w:val="0"/>
          <w:numId w:val="170"/>
        </w:numPr>
        <w:rPr>
          <w:rFonts w:ascii="Palatino" w:hAnsi="Palatino" w:cs="Palatino"/>
          <w:sz w:val="20"/>
          <w:szCs w:val="20"/>
        </w:rPr>
      </w:pPr>
      <w:r>
        <w:rPr>
          <w:rFonts w:ascii="Palatino" w:hAnsi="Palatino" w:cs="Palatino"/>
          <w:sz w:val="20"/>
          <w:szCs w:val="20"/>
        </w:rPr>
        <w:t xml:space="preserve">the program for aids to navigation reviews; </w:t>
      </w:r>
    </w:p>
    <w:p w14:paraId="5B9BE50F" w14:textId="77777777" w:rsidR="00541A14" w:rsidRDefault="00A450E1">
      <w:pPr>
        <w:pStyle w:val="Default"/>
        <w:numPr>
          <w:ilvl w:val="0"/>
          <w:numId w:val="170"/>
        </w:numPr>
        <w:rPr>
          <w:rFonts w:ascii="Palatino" w:hAnsi="Palatino" w:cs="Palatino"/>
          <w:sz w:val="20"/>
          <w:szCs w:val="20"/>
        </w:rPr>
      </w:pPr>
      <w:r>
        <w:rPr>
          <w:rFonts w:ascii="Palatino" w:hAnsi="Palatino" w:cs="Palatino"/>
          <w:sz w:val="20"/>
          <w:szCs w:val="20"/>
        </w:rPr>
        <w:t xml:space="preserve">contract services (core and non-core); </w:t>
      </w:r>
    </w:p>
    <w:p w14:paraId="06AF4B31" w14:textId="77777777" w:rsidR="00541A14" w:rsidRDefault="00A450E1">
      <w:pPr>
        <w:pStyle w:val="Default"/>
        <w:numPr>
          <w:ilvl w:val="0"/>
          <w:numId w:val="170"/>
        </w:numPr>
        <w:rPr>
          <w:rFonts w:ascii="Palatino" w:hAnsi="Palatino" w:cs="Palatino"/>
          <w:sz w:val="20"/>
          <w:szCs w:val="20"/>
        </w:rPr>
      </w:pPr>
      <w:r>
        <w:rPr>
          <w:rFonts w:ascii="Palatino" w:hAnsi="Palatino" w:cs="Palatino"/>
          <w:sz w:val="20"/>
          <w:szCs w:val="20"/>
        </w:rPr>
        <w:t xml:space="preserve">transport services; </w:t>
      </w:r>
    </w:p>
    <w:p w14:paraId="0DE44902" w14:textId="77777777" w:rsidR="00541A14" w:rsidRDefault="00A450E1">
      <w:pPr>
        <w:pStyle w:val="Default"/>
        <w:numPr>
          <w:ilvl w:val="0"/>
          <w:numId w:val="170"/>
        </w:numPr>
        <w:rPr>
          <w:rFonts w:ascii="Palatino" w:hAnsi="Palatino" w:cs="Palatino"/>
          <w:sz w:val="20"/>
          <w:szCs w:val="20"/>
        </w:rPr>
      </w:pPr>
      <w:r>
        <w:rPr>
          <w:rFonts w:ascii="Palatino" w:hAnsi="Palatino" w:cs="Palatino"/>
          <w:sz w:val="20"/>
          <w:szCs w:val="20"/>
        </w:rPr>
        <w:t xml:space="preserve">sources of revenue; </w:t>
      </w:r>
    </w:p>
    <w:p w14:paraId="09D179AB" w14:textId="77777777" w:rsidR="00541A14" w:rsidRDefault="00541A14">
      <w:pPr>
        <w:pStyle w:val="Default"/>
        <w:rPr>
          <w:rFonts w:ascii="Palatino" w:hAnsi="Palatino" w:cs="Palatino"/>
          <w:sz w:val="20"/>
          <w:szCs w:val="20"/>
        </w:rPr>
      </w:pPr>
    </w:p>
    <w:p w14:paraId="4435417B" w14:textId="77777777" w:rsidR="00541A14" w:rsidRDefault="00A450E1">
      <w:pPr>
        <w:pStyle w:val="CM163"/>
        <w:spacing w:after="642"/>
        <w:jc w:val="center"/>
        <w:rPr>
          <w:rFonts w:ascii="Palatino" w:hAnsi="Palatino" w:cs="Palatino"/>
          <w:color w:val="000000"/>
          <w:sz w:val="20"/>
          <w:szCs w:val="20"/>
        </w:rPr>
      </w:pPr>
      <w:r>
        <w:rPr>
          <w:rFonts w:ascii="Palatino" w:hAnsi="Palatino" w:cs="Palatino"/>
          <w:color w:val="000000"/>
          <w:position w:val="6"/>
          <w:sz w:val="20"/>
          <w:szCs w:val="20"/>
          <w:vertAlign w:val="superscript"/>
        </w:rPr>
        <w:t>50</w:t>
      </w:r>
      <w:r>
        <w:rPr>
          <w:rFonts w:ascii="Palatino" w:hAnsi="Palatino" w:cs="Palatino"/>
          <w:color w:val="000000"/>
          <w:sz w:val="20"/>
          <w:szCs w:val="20"/>
        </w:rPr>
        <w:t xml:space="preserve">For example with national, state, territory, and local governmental bodies and international organisations. </w:t>
      </w:r>
    </w:p>
    <w:p w14:paraId="4A1DD38A"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2C697CB9" wp14:editId="65E2A124">
            <wp:extent cx="7553960" cy="420370"/>
            <wp:effectExtent l="0" t="0" r="0" b="1143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75493663" w14:textId="77777777" w:rsidR="00541A14" w:rsidRDefault="00DD420F">
      <w:pPr>
        <w:pStyle w:val="Default"/>
        <w:pageBreakBefore/>
        <w:framePr w:w="12876" w:wrap="auto" w:vAnchor="page" w:hAnchor="page" w:x="101" w:y="1"/>
        <w:spacing w:after="600"/>
        <w:rPr>
          <w:rFonts w:ascii="Palatino" w:hAnsi="Palatino" w:cs="Palatino"/>
          <w:sz w:val="20"/>
          <w:szCs w:val="20"/>
        </w:rPr>
      </w:pPr>
      <w:r>
        <w:rPr>
          <w:rFonts w:ascii="Palatino" w:hAnsi="Palatino" w:cs="Palatino"/>
          <w:noProof/>
          <w:sz w:val="20"/>
          <w:szCs w:val="20"/>
        </w:rPr>
        <w:drawing>
          <wp:inline distT="0" distB="0" distL="0" distR="0" wp14:anchorId="424CDD69" wp14:editId="19D6DE3D">
            <wp:extent cx="7553960" cy="1056640"/>
            <wp:effectExtent l="0" t="0" r="0" b="1016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14B86B54" w14:textId="77777777" w:rsidR="00541A14" w:rsidRDefault="00A450E1">
      <w:pPr>
        <w:pStyle w:val="Default"/>
        <w:numPr>
          <w:ilvl w:val="0"/>
          <w:numId w:val="171"/>
        </w:numPr>
        <w:rPr>
          <w:rFonts w:ascii="Palatino" w:hAnsi="Palatino" w:cs="Palatino"/>
          <w:sz w:val="20"/>
          <w:szCs w:val="20"/>
        </w:rPr>
      </w:pPr>
      <w:r>
        <w:rPr>
          <w:rFonts w:ascii="Palatino" w:hAnsi="Palatino" w:cs="Palatino"/>
          <w:sz w:val="20"/>
          <w:szCs w:val="20"/>
        </w:rPr>
        <w:t>external relationships</w:t>
      </w:r>
      <w:r>
        <w:rPr>
          <w:rFonts w:ascii="Palatino" w:hAnsi="Palatino" w:cs="Palatino"/>
          <w:position w:val="7"/>
          <w:sz w:val="11"/>
          <w:szCs w:val="11"/>
          <w:vertAlign w:val="superscript"/>
        </w:rPr>
        <w:t>50</w:t>
      </w:r>
      <w:r>
        <w:rPr>
          <w:rFonts w:ascii="Palatino" w:hAnsi="Palatino" w:cs="Palatino"/>
          <w:sz w:val="20"/>
          <w:szCs w:val="20"/>
        </w:rPr>
        <w:t xml:space="preserve">; </w:t>
      </w:r>
    </w:p>
    <w:p w14:paraId="01FA36A2" w14:textId="77777777" w:rsidR="00541A14" w:rsidRDefault="00A450E1">
      <w:pPr>
        <w:pStyle w:val="Default"/>
        <w:numPr>
          <w:ilvl w:val="0"/>
          <w:numId w:val="171"/>
        </w:numPr>
        <w:rPr>
          <w:rFonts w:ascii="Palatino" w:hAnsi="Palatino" w:cs="Palatino"/>
          <w:sz w:val="20"/>
          <w:szCs w:val="20"/>
        </w:rPr>
      </w:pPr>
      <w:r>
        <w:rPr>
          <w:rFonts w:ascii="Palatino" w:hAnsi="Palatino" w:cs="Palatino"/>
          <w:sz w:val="20"/>
          <w:szCs w:val="20"/>
        </w:rPr>
        <w:t xml:space="preserve">information, communication and consultation management. b) a </w:t>
      </w:r>
      <w:r>
        <w:rPr>
          <w:rFonts w:ascii="Palatino" w:hAnsi="Palatino" w:cs="Palatino"/>
          <w:b/>
          <w:bCs/>
          <w:sz w:val="20"/>
          <w:szCs w:val="20"/>
        </w:rPr>
        <w:t>list of changes to individual aids to navigation</w:t>
      </w:r>
      <w:r>
        <w:rPr>
          <w:rFonts w:ascii="Palatino" w:hAnsi="Palatino" w:cs="Palatino"/>
          <w:sz w:val="20"/>
          <w:szCs w:val="20"/>
        </w:rPr>
        <w:t xml:space="preserve">, including any new facilities. The list would reflect: </w:t>
      </w:r>
    </w:p>
    <w:p w14:paraId="770E9268" w14:textId="77777777" w:rsidR="00541A14" w:rsidRDefault="00A450E1">
      <w:pPr>
        <w:pStyle w:val="Default"/>
        <w:numPr>
          <w:ilvl w:val="0"/>
          <w:numId w:val="171"/>
        </w:numPr>
        <w:rPr>
          <w:rFonts w:ascii="Palatino" w:hAnsi="Palatino" w:cs="Palatino"/>
          <w:sz w:val="20"/>
          <w:szCs w:val="20"/>
        </w:rPr>
      </w:pPr>
      <w:r>
        <w:rPr>
          <w:rFonts w:ascii="Palatino" w:hAnsi="Palatino" w:cs="Palatino"/>
          <w:sz w:val="20"/>
          <w:szCs w:val="20"/>
        </w:rPr>
        <w:t xml:space="preserve">decisions resulting from user and stakeholder consultations; </w:t>
      </w:r>
    </w:p>
    <w:p w14:paraId="05138A69" w14:textId="77777777" w:rsidR="00541A14" w:rsidRDefault="00A450E1">
      <w:pPr>
        <w:pStyle w:val="Default"/>
        <w:numPr>
          <w:ilvl w:val="0"/>
          <w:numId w:val="171"/>
        </w:numPr>
        <w:rPr>
          <w:rFonts w:ascii="Palatino" w:hAnsi="Palatino" w:cs="Palatino"/>
          <w:sz w:val="20"/>
          <w:szCs w:val="20"/>
        </w:rPr>
      </w:pPr>
      <w:r>
        <w:rPr>
          <w:rFonts w:ascii="Palatino" w:hAnsi="Palatino" w:cs="Palatino"/>
          <w:sz w:val="20"/>
          <w:szCs w:val="20"/>
        </w:rPr>
        <w:t xml:space="preserve">• reviews, including those that use: </w:t>
      </w:r>
    </w:p>
    <w:p w14:paraId="59B19477" w14:textId="77777777" w:rsidR="00541A14" w:rsidRDefault="00A450E1">
      <w:pPr>
        <w:pStyle w:val="Default"/>
        <w:numPr>
          <w:ilvl w:val="2"/>
          <w:numId w:val="171"/>
        </w:numPr>
        <w:ind w:left="360"/>
        <w:rPr>
          <w:rFonts w:ascii="Palatino" w:hAnsi="Palatino" w:cs="Palatino"/>
          <w:sz w:val="20"/>
          <w:szCs w:val="20"/>
        </w:rPr>
      </w:pPr>
      <w:r>
        <w:rPr>
          <w:rFonts w:ascii="Palatino" w:hAnsi="Palatino" w:cs="Palatino"/>
          <w:sz w:val="20"/>
          <w:szCs w:val="20"/>
        </w:rPr>
        <w:t xml:space="preserve">risk analysis, risk management procedures (see section 0); or </w:t>
      </w:r>
    </w:p>
    <w:p w14:paraId="0C998D86" w14:textId="77777777" w:rsidR="00541A14" w:rsidRDefault="00A450E1">
      <w:pPr>
        <w:pStyle w:val="Default"/>
        <w:numPr>
          <w:ilvl w:val="2"/>
          <w:numId w:val="171"/>
        </w:numPr>
        <w:ind w:left="360"/>
        <w:rPr>
          <w:rFonts w:ascii="Palatino" w:hAnsi="Palatino" w:cs="Palatino"/>
          <w:sz w:val="20"/>
          <w:szCs w:val="20"/>
        </w:rPr>
      </w:pPr>
      <w:r>
        <w:rPr>
          <w:rFonts w:ascii="Palatino" w:hAnsi="Palatino" w:cs="Palatino"/>
          <w:sz w:val="20"/>
          <w:szCs w:val="20"/>
        </w:rPr>
        <w:t xml:space="preserve">a level of service process, (see section 3.2); or </w:t>
      </w:r>
    </w:p>
    <w:p w14:paraId="79D6FD8E" w14:textId="77777777" w:rsidR="00541A14" w:rsidRDefault="00A450E1">
      <w:pPr>
        <w:pStyle w:val="Default"/>
        <w:numPr>
          <w:ilvl w:val="2"/>
          <w:numId w:val="171"/>
        </w:numPr>
        <w:ind w:left="360"/>
        <w:rPr>
          <w:rFonts w:ascii="Palatino" w:hAnsi="Palatino" w:cs="Palatino"/>
          <w:sz w:val="20"/>
          <w:szCs w:val="20"/>
        </w:rPr>
      </w:pPr>
      <w:r>
        <w:rPr>
          <w:rFonts w:ascii="Palatino" w:hAnsi="Palatino" w:cs="Palatino"/>
          <w:sz w:val="20"/>
          <w:szCs w:val="20"/>
        </w:rPr>
        <w:t xml:space="preserve">the authority’s quality management procedures (see section 8.7); </w:t>
      </w:r>
    </w:p>
    <w:p w14:paraId="47CA3369" w14:textId="77777777" w:rsidR="00541A14" w:rsidRDefault="00541A14">
      <w:pPr>
        <w:pStyle w:val="Default"/>
        <w:rPr>
          <w:rFonts w:ascii="Palatino" w:hAnsi="Palatino" w:cs="Palatino"/>
          <w:sz w:val="20"/>
          <w:szCs w:val="20"/>
        </w:rPr>
      </w:pPr>
    </w:p>
    <w:p w14:paraId="332322AE" w14:textId="77777777" w:rsidR="00541A14" w:rsidRDefault="00A450E1">
      <w:pPr>
        <w:pStyle w:val="Default"/>
        <w:spacing w:line="358" w:lineRule="atLeast"/>
        <w:ind w:right="3387" w:firstLine="600"/>
        <w:rPr>
          <w:rFonts w:ascii="Palatino" w:hAnsi="Palatino" w:cs="Palatino"/>
          <w:sz w:val="20"/>
          <w:szCs w:val="20"/>
        </w:rPr>
      </w:pPr>
      <w:r>
        <w:rPr>
          <w:rFonts w:ascii="Palatino" w:hAnsi="Palatino" w:cs="Palatino"/>
          <w:sz w:val="20"/>
          <w:szCs w:val="20"/>
        </w:rPr>
        <w:t xml:space="preserve">– the authority’s technical and maintenance policies etc. c) </w:t>
      </w:r>
      <w:r>
        <w:rPr>
          <w:rFonts w:ascii="Palatino" w:hAnsi="Palatino" w:cs="Palatino"/>
          <w:b/>
          <w:bCs/>
          <w:sz w:val="20"/>
          <w:szCs w:val="20"/>
        </w:rPr>
        <w:t>project schedules</w:t>
      </w:r>
      <w:r>
        <w:rPr>
          <w:rFonts w:ascii="Palatino" w:hAnsi="Palatino" w:cs="Palatino"/>
          <w:sz w:val="20"/>
          <w:szCs w:val="20"/>
        </w:rPr>
        <w:t xml:space="preserve"> that reflect known priorities, such as: </w:t>
      </w:r>
    </w:p>
    <w:p w14:paraId="65F63763" w14:textId="77777777" w:rsidR="00541A14" w:rsidRDefault="00A450E1">
      <w:pPr>
        <w:pStyle w:val="Default"/>
        <w:numPr>
          <w:ilvl w:val="0"/>
          <w:numId w:val="172"/>
        </w:numPr>
        <w:rPr>
          <w:rFonts w:ascii="Palatino" w:hAnsi="Palatino" w:cs="Palatino"/>
          <w:sz w:val="20"/>
          <w:szCs w:val="20"/>
        </w:rPr>
      </w:pPr>
      <w:r>
        <w:rPr>
          <w:rFonts w:ascii="Palatino" w:hAnsi="Palatino" w:cs="Palatino"/>
          <w:sz w:val="20"/>
          <w:szCs w:val="20"/>
        </w:rPr>
        <w:t xml:space="preserve">government policies; </w:t>
      </w:r>
    </w:p>
    <w:p w14:paraId="31B7CA6D" w14:textId="77777777" w:rsidR="00541A14" w:rsidRDefault="00A450E1">
      <w:pPr>
        <w:pStyle w:val="Default"/>
        <w:numPr>
          <w:ilvl w:val="0"/>
          <w:numId w:val="172"/>
        </w:numPr>
        <w:rPr>
          <w:rFonts w:ascii="Palatino" w:hAnsi="Palatino" w:cs="Palatino"/>
          <w:sz w:val="20"/>
          <w:szCs w:val="20"/>
        </w:rPr>
      </w:pPr>
      <w:r>
        <w:rPr>
          <w:rFonts w:ascii="Palatino" w:hAnsi="Palatino" w:cs="Palatino"/>
          <w:sz w:val="20"/>
          <w:szCs w:val="20"/>
        </w:rPr>
        <w:t xml:space="preserve">user requirements;  </w:t>
      </w:r>
    </w:p>
    <w:p w14:paraId="72DD7BEE" w14:textId="77777777" w:rsidR="00541A14" w:rsidRDefault="00A450E1">
      <w:pPr>
        <w:pStyle w:val="Default"/>
        <w:numPr>
          <w:ilvl w:val="0"/>
          <w:numId w:val="172"/>
        </w:numPr>
        <w:rPr>
          <w:rFonts w:ascii="Palatino" w:hAnsi="Palatino" w:cs="Palatino"/>
          <w:sz w:val="20"/>
          <w:szCs w:val="20"/>
        </w:rPr>
      </w:pPr>
      <w:r>
        <w:rPr>
          <w:rFonts w:ascii="Palatino" w:hAnsi="Palatino" w:cs="Palatino"/>
          <w:sz w:val="20"/>
          <w:szCs w:val="20"/>
        </w:rPr>
        <w:t xml:space="preserve">available resources; </w:t>
      </w:r>
    </w:p>
    <w:p w14:paraId="35E84C7A" w14:textId="77777777" w:rsidR="00541A14" w:rsidRDefault="00A450E1">
      <w:pPr>
        <w:pStyle w:val="Default"/>
        <w:numPr>
          <w:ilvl w:val="0"/>
          <w:numId w:val="172"/>
        </w:numPr>
        <w:rPr>
          <w:rFonts w:ascii="Palatino" w:hAnsi="Palatino" w:cs="Palatino"/>
          <w:sz w:val="20"/>
          <w:szCs w:val="20"/>
        </w:rPr>
      </w:pPr>
      <w:r>
        <w:rPr>
          <w:rFonts w:ascii="Palatino" w:hAnsi="Palatino" w:cs="Palatino"/>
          <w:sz w:val="20"/>
          <w:szCs w:val="20"/>
        </w:rPr>
        <w:t xml:space="preserve">budget (revenue) forecasts and constraints. </w:t>
      </w:r>
    </w:p>
    <w:p w14:paraId="2BCAB744" w14:textId="77777777" w:rsidR="00541A14" w:rsidRDefault="00541A14">
      <w:pPr>
        <w:pStyle w:val="Default"/>
        <w:rPr>
          <w:rFonts w:ascii="Palatino" w:hAnsi="Palatino" w:cs="Palatino"/>
          <w:sz w:val="20"/>
          <w:szCs w:val="20"/>
        </w:rPr>
      </w:pPr>
    </w:p>
    <w:p w14:paraId="1AE58878"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8.5.4 Use of Geographic Information Systems (GIS) in AtoN Planning </w:t>
      </w:r>
    </w:p>
    <w:p w14:paraId="72B1121F"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The use of Geographic Information Systems (GIS) may assist in effective AtoN planning, including evaluation and validation; ensuring that money is invested wisely in new technology. </w:t>
      </w:r>
    </w:p>
    <w:p w14:paraId="0E1127C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Coastal waterways are becoming increasingly congested with vessel traffic and developments such </w:t>
      </w:r>
    </w:p>
    <w:p w14:paraId="432EA73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as offshore wind farms, tidal turbines and aquaculture sites, which require to be marked. In addition, light pollution through coastal development, the advent of larger and faster ships and the continued growth in small craft usage means that designing suitable AtoN systems becomes ever more complex. Using GIS, accurate design and provision of AtoN systems as well as suitable simulation can prove very useful and may reduce the chance of costly mistakes being made. </w:t>
      </w:r>
    </w:p>
    <w:p w14:paraId="6FD2119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AtoN are distinctly linked to physical locations and their use by mariners invariably involves the use of more than one AtoN at a time, that is, AtoN networks or systems.  These single and interdependent linkages between AtoN and their physical locations mean that GIS technology can provide AtoN </w:t>
      </w:r>
    </w:p>
    <w:p w14:paraId="68F8DC0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authorities with enhancements in many areas of their business, which may ultimately lead to benefits </w:t>
      </w:r>
    </w:p>
    <w:p w14:paraId="2E1E48E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for mariners. </w:t>
      </w:r>
    </w:p>
    <w:p w14:paraId="5AE03EAE" w14:textId="77777777" w:rsidR="00541A14" w:rsidRDefault="00A450E1">
      <w:pPr>
        <w:pStyle w:val="CM172"/>
        <w:spacing w:after="202" w:line="293" w:lineRule="atLeast"/>
        <w:ind w:right="327"/>
        <w:rPr>
          <w:rFonts w:ascii="Palatino" w:hAnsi="Palatino" w:cs="Palatino"/>
          <w:color w:val="000000"/>
          <w:sz w:val="20"/>
          <w:szCs w:val="20"/>
        </w:rPr>
      </w:pPr>
      <w:r>
        <w:rPr>
          <w:rFonts w:ascii="Palatino" w:hAnsi="Palatino" w:cs="Palatino"/>
          <w:color w:val="000000"/>
          <w:sz w:val="20"/>
          <w:szCs w:val="20"/>
        </w:rPr>
        <w:t xml:space="preserve">A GIS captures, displays, stores, analyses and manages spatially referenced data.  A key feature of GIS is its analytical functionality, which allows a user to interact with spatial data to determine relationships between different types of data and to produce qualitative (diagrammatic/graphical) and quantitative (numeric/tabular) results. </w:t>
      </w:r>
    </w:p>
    <w:p w14:paraId="67D174D9"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697C884A" w14:textId="77777777" w:rsidR="00541A14" w:rsidRDefault="009E3F25">
      <w:pPr>
        <w:pStyle w:val="CM169"/>
        <w:spacing w:after="65" w:line="293" w:lineRule="atLeast"/>
        <w:ind w:left="300"/>
        <w:rPr>
          <w:rFonts w:ascii="Palatino" w:hAnsi="Palatino" w:cs="Palatino"/>
          <w:color w:val="000000"/>
          <w:sz w:val="20"/>
          <w:szCs w:val="20"/>
        </w:rPr>
      </w:pPr>
      <w:hyperlink r:id="rId363" w:history="1">
        <w:r w:rsidR="00A450E1">
          <w:rPr>
            <w:rFonts w:ascii="Palatino" w:hAnsi="Palatino" w:cs="Palatino"/>
            <w:i/>
            <w:iCs/>
            <w:color w:val="000000"/>
            <w:sz w:val="20"/>
            <w:szCs w:val="20"/>
          </w:rPr>
          <w:t xml:space="preserve">IALA Recommendation O-138 on the Use of Geographic Information Systems (GIS) and Simulation by </w:t>
        </w:r>
      </w:hyperlink>
    </w:p>
    <w:p w14:paraId="69856874" w14:textId="77777777" w:rsidR="00541A14" w:rsidRDefault="009E3F25">
      <w:pPr>
        <w:pStyle w:val="CM18"/>
        <w:ind w:left="300"/>
        <w:rPr>
          <w:rFonts w:ascii="Palatino" w:hAnsi="Palatino" w:cs="Palatino"/>
          <w:color w:val="000000"/>
          <w:sz w:val="20"/>
          <w:szCs w:val="20"/>
        </w:rPr>
      </w:pPr>
      <w:hyperlink r:id="rId364" w:history="1">
        <w:r w:rsidR="00A450E1">
          <w:rPr>
            <w:rFonts w:ascii="Palatino" w:hAnsi="Palatino" w:cs="Palatino"/>
            <w:i/>
            <w:iCs/>
            <w:color w:val="000000"/>
            <w:sz w:val="20"/>
            <w:szCs w:val="20"/>
          </w:rPr>
          <w:t xml:space="preserve">Aids to Navigation Authorities. </w:t>
        </w:r>
      </w:hyperlink>
    </w:p>
    <w:p w14:paraId="3E0527B9" w14:textId="77777777" w:rsidR="00541A14" w:rsidRDefault="009E3F25">
      <w:pPr>
        <w:pStyle w:val="CM169"/>
        <w:spacing w:after="65" w:line="293" w:lineRule="atLeast"/>
        <w:ind w:left="300"/>
        <w:rPr>
          <w:rFonts w:ascii="Palatino" w:hAnsi="Palatino" w:cs="Palatino"/>
          <w:color w:val="000000"/>
          <w:sz w:val="20"/>
          <w:szCs w:val="20"/>
        </w:rPr>
      </w:pPr>
      <w:hyperlink r:id="rId365" w:history="1">
        <w:r w:rsidR="00A450E1">
          <w:rPr>
            <w:rFonts w:ascii="Palatino" w:hAnsi="Palatino" w:cs="Palatino"/>
            <w:i/>
            <w:iCs/>
            <w:color w:val="000000"/>
            <w:sz w:val="20"/>
            <w:szCs w:val="20"/>
          </w:rPr>
          <w:t xml:space="preserve">IALA Guideline O-1057 on the Use of Geographic Information Systems (GIS) by Aids to Navigation </w:t>
        </w:r>
      </w:hyperlink>
    </w:p>
    <w:p w14:paraId="66D1A82A" w14:textId="77777777" w:rsidR="00541A14" w:rsidRDefault="009E3F25">
      <w:pPr>
        <w:pStyle w:val="CM18"/>
        <w:ind w:left="300"/>
        <w:rPr>
          <w:rFonts w:ascii="Palatino" w:hAnsi="Palatino" w:cs="Palatino"/>
          <w:color w:val="000000"/>
          <w:sz w:val="20"/>
          <w:szCs w:val="20"/>
        </w:rPr>
      </w:pPr>
      <w:hyperlink r:id="rId366" w:history="1">
        <w:r w:rsidR="00A450E1">
          <w:rPr>
            <w:rFonts w:ascii="Palatino" w:hAnsi="Palatino" w:cs="Palatino"/>
            <w:i/>
            <w:iCs/>
            <w:color w:val="000000"/>
            <w:sz w:val="20"/>
            <w:szCs w:val="20"/>
          </w:rPr>
          <w:t xml:space="preserve">Authorities. </w:t>
        </w:r>
      </w:hyperlink>
    </w:p>
    <w:p w14:paraId="142D49CC" w14:textId="77777777" w:rsidR="00541A14" w:rsidRDefault="009E3F25">
      <w:pPr>
        <w:pStyle w:val="CM18"/>
        <w:ind w:left="300"/>
        <w:rPr>
          <w:rFonts w:ascii="Palatino" w:hAnsi="Palatino" w:cs="Palatino"/>
          <w:color w:val="000000"/>
          <w:sz w:val="20"/>
          <w:szCs w:val="20"/>
        </w:rPr>
      </w:pPr>
      <w:hyperlink r:id="rId367" w:history="1">
        <w:r w:rsidR="00A450E1">
          <w:rPr>
            <w:rFonts w:ascii="Palatino" w:hAnsi="Palatino" w:cs="Palatino"/>
            <w:i/>
            <w:iCs/>
            <w:color w:val="000000"/>
            <w:sz w:val="20"/>
            <w:szCs w:val="20"/>
          </w:rPr>
          <w:t>IALA Guideline O-1058 on  the Use of Simulation as a Tool for Waterway Design and AtoN Planni</w:t>
        </w:r>
        <w:r w:rsidR="00A450E1">
          <w:rPr>
            <w:rFonts w:ascii="Palatino" w:hAnsi="Palatino" w:cs="Palatino"/>
            <w:color w:val="000000"/>
            <w:sz w:val="20"/>
            <w:szCs w:val="20"/>
          </w:rPr>
          <w:t xml:space="preserve">ng. </w:t>
        </w:r>
      </w:hyperlink>
    </w:p>
    <w:p w14:paraId="2874D839" w14:textId="77777777" w:rsidR="00541A14" w:rsidRDefault="009E3F25">
      <w:pPr>
        <w:pStyle w:val="CM169"/>
        <w:spacing w:after="65" w:line="293" w:lineRule="atLeast"/>
        <w:ind w:left="300"/>
        <w:rPr>
          <w:rFonts w:ascii="Palatino" w:hAnsi="Palatino" w:cs="Palatino"/>
          <w:color w:val="000000"/>
          <w:sz w:val="20"/>
          <w:szCs w:val="20"/>
        </w:rPr>
      </w:pPr>
      <w:hyperlink r:id="rId368" w:history="1">
        <w:r w:rsidR="00A450E1">
          <w:rPr>
            <w:rFonts w:ascii="Palatino" w:hAnsi="Palatino" w:cs="Palatino"/>
            <w:i/>
            <w:iCs/>
            <w:color w:val="000000"/>
            <w:sz w:val="20"/>
            <w:szCs w:val="20"/>
          </w:rPr>
          <w:t xml:space="preserve">IALA Guideline No. 1079 on Establishing and Conducting User Consultancy by Aids to Navigation </w:t>
        </w:r>
      </w:hyperlink>
    </w:p>
    <w:p w14:paraId="2597D6A1" w14:textId="77777777" w:rsidR="00541A14" w:rsidRDefault="009E3F25">
      <w:pPr>
        <w:pStyle w:val="CM180"/>
        <w:spacing w:after="732" w:line="293" w:lineRule="atLeast"/>
        <w:ind w:left="300"/>
        <w:rPr>
          <w:rFonts w:ascii="Palatino" w:hAnsi="Palatino" w:cs="Palatino"/>
          <w:color w:val="000000"/>
          <w:sz w:val="20"/>
          <w:szCs w:val="20"/>
        </w:rPr>
      </w:pPr>
      <w:hyperlink r:id="rId369" w:history="1">
        <w:r w:rsidR="00A450E1">
          <w:rPr>
            <w:rFonts w:ascii="Palatino" w:hAnsi="Palatino" w:cs="Palatino"/>
            <w:i/>
            <w:iCs/>
            <w:color w:val="000000"/>
            <w:sz w:val="20"/>
            <w:szCs w:val="20"/>
          </w:rPr>
          <w:t xml:space="preserve">Authorities. </w:t>
        </w:r>
      </w:hyperlink>
    </w:p>
    <w:p w14:paraId="4D11A2BF"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63187C83" wp14:editId="3D6D89D4">
            <wp:extent cx="7542530" cy="420370"/>
            <wp:effectExtent l="0" t="0" r="1270" b="1143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389D656F" w14:textId="77777777" w:rsidR="00541A14" w:rsidRDefault="00DD420F">
      <w:pPr>
        <w:pStyle w:val="Default"/>
        <w:pageBreakBefore/>
        <w:framePr w:w="24782" w:wrap="auto" w:vAnchor="page" w:hAnchor="page" w:x="101" w:y="1"/>
        <w:spacing w:after="860"/>
        <w:rPr>
          <w:rFonts w:ascii="Palatino" w:hAnsi="Palatino" w:cs="Palatino"/>
          <w:sz w:val="20"/>
          <w:szCs w:val="20"/>
        </w:rPr>
      </w:pPr>
      <w:r>
        <w:rPr>
          <w:rFonts w:ascii="Palatino" w:hAnsi="Palatino" w:cs="Palatino"/>
          <w:noProof/>
          <w:sz w:val="20"/>
          <w:szCs w:val="20"/>
        </w:rPr>
        <w:drawing>
          <wp:inline distT="0" distB="0" distL="0" distR="0" wp14:anchorId="2E4D547F" wp14:editId="67AF54BD">
            <wp:extent cx="7553960" cy="1067435"/>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09492A52" w14:textId="77777777" w:rsidR="00541A14" w:rsidRDefault="00A450E1">
      <w:pPr>
        <w:pStyle w:val="CM185"/>
        <w:spacing w:after="140"/>
        <w:rPr>
          <w:rFonts w:ascii="Futura Book" w:hAnsi="Futura Book" w:cs="Futura Book"/>
          <w:color w:val="2C5062"/>
          <w:sz w:val="28"/>
          <w:szCs w:val="28"/>
        </w:rPr>
      </w:pPr>
      <w:r>
        <w:rPr>
          <w:rFonts w:ascii="Futura Book" w:hAnsi="Futura Book" w:cs="Futura Book"/>
          <w:b/>
          <w:bCs/>
          <w:color w:val="2C5062"/>
          <w:sz w:val="28"/>
          <w:szCs w:val="28"/>
        </w:rPr>
        <w:t xml:space="preserve">8.6 Performance Measurement </w:t>
      </w:r>
    </w:p>
    <w:p w14:paraId="56E93AD8" w14:textId="77777777" w:rsidR="00541A14" w:rsidRDefault="00A450E1">
      <w:pPr>
        <w:pStyle w:val="Default"/>
        <w:rPr>
          <w:rFonts w:ascii="Palatino" w:hAnsi="Palatino" w:cs="Palatino"/>
          <w:sz w:val="20"/>
          <w:szCs w:val="20"/>
        </w:rPr>
      </w:pPr>
      <w:r>
        <w:rPr>
          <w:rFonts w:ascii="Palatino" w:hAnsi="Palatino" w:cs="Palatino"/>
          <w:sz w:val="20"/>
          <w:szCs w:val="20"/>
        </w:rPr>
        <w:t xml:space="preserve">Performance measurement is a management tool that can be used to measure, analyse and monitor </w:t>
      </w:r>
    </w:p>
    <w:p w14:paraId="4C834D01"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the performance of a network of aids to navigation and/or specific systems and equipment. The </w:t>
      </w:r>
    </w:p>
    <w:p w14:paraId="642E05B7"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information obtained can be used to: </w:t>
      </w:r>
    </w:p>
    <w:p w14:paraId="549E1BF7" w14:textId="77777777" w:rsidR="00541A14" w:rsidRDefault="00A450E1">
      <w:pPr>
        <w:pStyle w:val="Default"/>
        <w:numPr>
          <w:ilvl w:val="0"/>
          <w:numId w:val="173"/>
        </w:numPr>
        <w:rPr>
          <w:rFonts w:ascii="Palatino" w:hAnsi="Palatino" w:cs="Palatino"/>
          <w:sz w:val="20"/>
          <w:szCs w:val="20"/>
        </w:rPr>
      </w:pPr>
      <w:r>
        <w:rPr>
          <w:rFonts w:ascii="Palatino" w:hAnsi="Palatino" w:cs="Palatino"/>
          <w:sz w:val="20"/>
          <w:szCs w:val="20"/>
        </w:rPr>
        <w:t xml:space="preserve">show accountability to government and stake holders; </w:t>
      </w:r>
    </w:p>
    <w:p w14:paraId="50A3AE71" w14:textId="77777777" w:rsidR="00541A14" w:rsidRDefault="00A450E1">
      <w:pPr>
        <w:pStyle w:val="Default"/>
        <w:numPr>
          <w:ilvl w:val="0"/>
          <w:numId w:val="173"/>
        </w:numPr>
        <w:rPr>
          <w:rFonts w:ascii="Palatino" w:hAnsi="Palatino" w:cs="Palatino"/>
          <w:sz w:val="20"/>
          <w:szCs w:val="20"/>
        </w:rPr>
      </w:pPr>
      <w:r>
        <w:rPr>
          <w:rFonts w:ascii="Palatino" w:hAnsi="Palatino" w:cs="Palatino"/>
          <w:sz w:val="20"/>
          <w:szCs w:val="20"/>
        </w:rPr>
        <w:t xml:space="preserve">demonstrate the efficiency and effectiveness of the service being provided; </w:t>
      </w:r>
    </w:p>
    <w:p w14:paraId="32680B7B" w14:textId="77777777" w:rsidR="00541A14" w:rsidRDefault="00A450E1">
      <w:pPr>
        <w:pStyle w:val="Default"/>
        <w:numPr>
          <w:ilvl w:val="0"/>
          <w:numId w:val="173"/>
        </w:numPr>
        <w:rPr>
          <w:rFonts w:ascii="Palatino" w:hAnsi="Palatino" w:cs="Palatino"/>
          <w:sz w:val="20"/>
          <w:szCs w:val="20"/>
        </w:rPr>
      </w:pPr>
      <w:r>
        <w:rPr>
          <w:rFonts w:ascii="Palatino" w:hAnsi="Palatino" w:cs="Palatino"/>
          <w:sz w:val="20"/>
          <w:szCs w:val="20"/>
        </w:rPr>
        <w:t xml:space="preserve">monitor and improve occupational health and safety performance; </w:t>
      </w:r>
    </w:p>
    <w:p w14:paraId="5C8D2CC6" w14:textId="77777777" w:rsidR="00541A14" w:rsidRDefault="00A450E1">
      <w:pPr>
        <w:pStyle w:val="Default"/>
        <w:numPr>
          <w:ilvl w:val="0"/>
          <w:numId w:val="173"/>
        </w:numPr>
        <w:rPr>
          <w:rFonts w:ascii="Palatino" w:hAnsi="Palatino" w:cs="Palatino"/>
          <w:sz w:val="20"/>
          <w:szCs w:val="20"/>
        </w:rPr>
      </w:pPr>
      <w:r>
        <w:rPr>
          <w:rFonts w:ascii="Palatino" w:hAnsi="Palatino" w:cs="Palatino"/>
          <w:sz w:val="20"/>
          <w:szCs w:val="20"/>
        </w:rPr>
        <w:t xml:space="preserve">compare the performance of: </w:t>
      </w:r>
    </w:p>
    <w:p w14:paraId="2EFB7F86" w14:textId="77777777" w:rsidR="00541A14" w:rsidRDefault="00541A14">
      <w:pPr>
        <w:pStyle w:val="Default"/>
        <w:rPr>
          <w:rFonts w:ascii="Palatino" w:hAnsi="Palatino" w:cs="Palatino"/>
          <w:sz w:val="20"/>
          <w:szCs w:val="20"/>
        </w:rPr>
      </w:pPr>
    </w:p>
    <w:p w14:paraId="0157F81F" w14:textId="77777777" w:rsidR="00541A14" w:rsidRDefault="00A450E1">
      <w:pPr>
        <w:pStyle w:val="Default"/>
        <w:numPr>
          <w:ilvl w:val="0"/>
          <w:numId w:val="174"/>
        </w:numPr>
        <w:rPr>
          <w:rFonts w:ascii="Palatino" w:hAnsi="Palatino" w:cs="Palatino"/>
          <w:sz w:val="20"/>
          <w:szCs w:val="20"/>
        </w:rPr>
      </w:pPr>
      <w:r>
        <w:rPr>
          <w:rFonts w:ascii="Palatino" w:hAnsi="Palatino" w:cs="Palatino"/>
          <w:sz w:val="20"/>
          <w:szCs w:val="20"/>
        </w:rPr>
        <w:t xml:space="preserve">similar systems or equipment in different locations; </w:t>
      </w:r>
    </w:p>
    <w:p w14:paraId="26D678D5" w14:textId="77777777" w:rsidR="00541A14" w:rsidRDefault="00A450E1">
      <w:pPr>
        <w:pStyle w:val="Default"/>
        <w:numPr>
          <w:ilvl w:val="0"/>
          <w:numId w:val="174"/>
        </w:numPr>
        <w:rPr>
          <w:rFonts w:ascii="Palatino" w:hAnsi="Palatino" w:cs="Palatino"/>
          <w:sz w:val="20"/>
          <w:szCs w:val="20"/>
        </w:rPr>
      </w:pPr>
      <w:r>
        <w:rPr>
          <w:rFonts w:ascii="Palatino" w:hAnsi="Palatino" w:cs="Palatino"/>
          <w:sz w:val="20"/>
          <w:szCs w:val="20"/>
        </w:rPr>
        <w:t>contract and internally provided services</w:t>
      </w:r>
      <w:r>
        <w:rPr>
          <w:rFonts w:ascii="Palatino" w:hAnsi="Palatino" w:cs="Palatino"/>
          <w:position w:val="7"/>
          <w:sz w:val="11"/>
          <w:szCs w:val="11"/>
          <w:vertAlign w:val="superscript"/>
        </w:rPr>
        <w:t>51</w:t>
      </w:r>
      <w:r>
        <w:rPr>
          <w:rFonts w:ascii="Palatino" w:hAnsi="Palatino" w:cs="Palatino"/>
          <w:sz w:val="20"/>
          <w:szCs w:val="20"/>
        </w:rPr>
        <w:t xml:space="preserve">; </w:t>
      </w:r>
    </w:p>
    <w:p w14:paraId="0CE6465F" w14:textId="77777777" w:rsidR="00541A14" w:rsidRDefault="00541A14">
      <w:pPr>
        <w:pStyle w:val="Default"/>
        <w:rPr>
          <w:rFonts w:ascii="Palatino" w:hAnsi="Palatino" w:cs="Palatino"/>
          <w:sz w:val="20"/>
          <w:szCs w:val="20"/>
        </w:rPr>
      </w:pPr>
    </w:p>
    <w:p w14:paraId="792651F5"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amend: </w:t>
      </w:r>
    </w:p>
    <w:p w14:paraId="4E232957" w14:textId="77777777" w:rsidR="00541A14" w:rsidRDefault="00A450E1">
      <w:pPr>
        <w:pStyle w:val="Default"/>
        <w:numPr>
          <w:ilvl w:val="0"/>
          <w:numId w:val="175"/>
        </w:numPr>
        <w:rPr>
          <w:rFonts w:ascii="Palatino" w:hAnsi="Palatino" w:cs="Palatino"/>
          <w:sz w:val="20"/>
          <w:szCs w:val="20"/>
        </w:rPr>
      </w:pPr>
      <w:r>
        <w:rPr>
          <w:rFonts w:ascii="Palatino" w:hAnsi="Palatino" w:cs="Palatino"/>
          <w:sz w:val="20"/>
          <w:szCs w:val="20"/>
        </w:rPr>
        <w:t xml:space="preserve">system designs; </w:t>
      </w:r>
    </w:p>
    <w:p w14:paraId="35F5BE1B" w14:textId="77777777" w:rsidR="00541A14" w:rsidRDefault="00A450E1">
      <w:pPr>
        <w:pStyle w:val="Default"/>
        <w:numPr>
          <w:ilvl w:val="0"/>
          <w:numId w:val="175"/>
        </w:numPr>
        <w:rPr>
          <w:rFonts w:ascii="Palatino" w:hAnsi="Palatino" w:cs="Palatino"/>
          <w:sz w:val="20"/>
          <w:szCs w:val="20"/>
        </w:rPr>
      </w:pPr>
      <w:r>
        <w:rPr>
          <w:rFonts w:ascii="Palatino" w:hAnsi="Palatino" w:cs="Palatino"/>
          <w:sz w:val="20"/>
          <w:szCs w:val="20"/>
        </w:rPr>
        <w:t xml:space="preserve">procurement decisions; </w:t>
      </w:r>
    </w:p>
    <w:p w14:paraId="2F8AE0EF" w14:textId="77777777" w:rsidR="00541A14" w:rsidRDefault="00A450E1">
      <w:pPr>
        <w:pStyle w:val="Default"/>
        <w:numPr>
          <w:ilvl w:val="0"/>
          <w:numId w:val="175"/>
        </w:numPr>
        <w:rPr>
          <w:rFonts w:ascii="Palatino" w:hAnsi="Palatino" w:cs="Palatino"/>
          <w:sz w:val="20"/>
          <w:szCs w:val="20"/>
        </w:rPr>
      </w:pPr>
      <w:r>
        <w:rPr>
          <w:rFonts w:ascii="Palatino" w:hAnsi="Palatino" w:cs="Palatino"/>
          <w:sz w:val="20"/>
          <w:szCs w:val="20"/>
        </w:rPr>
        <w:t xml:space="preserve">equipment choices; </w:t>
      </w:r>
    </w:p>
    <w:p w14:paraId="7DE40377" w14:textId="77777777" w:rsidR="00541A14" w:rsidRDefault="00A450E1">
      <w:pPr>
        <w:pStyle w:val="Default"/>
        <w:numPr>
          <w:ilvl w:val="0"/>
          <w:numId w:val="175"/>
        </w:numPr>
        <w:rPr>
          <w:rFonts w:ascii="Palatino" w:hAnsi="Palatino" w:cs="Palatino"/>
          <w:sz w:val="20"/>
          <w:szCs w:val="20"/>
        </w:rPr>
      </w:pPr>
      <w:r>
        <w:rPr>
          <w:rFonts w:ascii="Palatino" w:hAnsi="Palatino" w:cs="Palatino"/>
          <w:sz w:val="20"/>
          <w:szCs w:val="20"/>
        </w:rPr>
        <w:t xml:space="preserve">maintenance procedures and practices. </w:t>
      </w:r>
    </w:p>
    <w:p w14:paraId="2F65F9D9" w14:textId="77777777" w:rsidR="00541A14" w:rsidRDefault="00541A14">
      <w:pPr>
        <w:pStyle w:val="Default"/>
        <w:rPr>
          <w:rFonts w:ascii="Palatino" w:hAnsi="Palatino" w:cs="Palatino"/>
          <w:sz w:val="20"/>
          <w:szCs w:val="20"/>
        </w:rPr>
      </w:pPr>
    </w:p>
    <w:p w14:paraId="762EB8FE" w14:textId="77777777" w:rsidR="00541A14" w:rsidRDefault="00A450E1">
      <w:pPr>
        <w:pStyle w:val="Default"/>
        <w:numPr>
          <w:ilvl w:val="0"/>
          <w:numId w:val="176"/>
        </w:numPr>
        <w:rPr>
          <w:rFonts w:ascii="Palatino" w:hAnsi="Palatino" w:cs="Palatino"/>
          <w:sz w:val="20"/>
          <w:szCs w:val="20"/>
        </w:rPr>
      </w:pPr>
      <w:r>
        <w:rPr>
          <w:rFonts w:ascii="Palatino" w:hAnsi="Palatino" w:cs="Palatino"/>
          <w:sz w:val="20"/>
          <w:szCs w:val="20"/>
        </w:rPr>
        <w:t xml:space="preserve">increase or reduce maintenance effort; </w:t>
      </w:r>
    </w:p>
    <w:p w14:paraId="797BED31" w14:textId="77777777" w:rsidR="00541A14" w:rsidRDefault="00A450E1">
      <w:pPr>
        <w:pStyle w:val="Default"/>
        <w:numPr>
          <w:ilvl w:val="0"/>
          <w:numId w:val="176"/>
        </w:numPr>
        <w:rPr>
          <w:rFonts w:ascii="Palatino" w:hAnsi="Palatino" w:cs="Palatino"/>
          <w:sz w:val="20"/>
          <w:szCs w:val="20"/>
        </w:rPr>
      </w:pPr>
      <w:r>
        <w:rPr>
          <w:rFonts w:ascii="Palatino" w:hAnsi="Palatino" w:cs="Palatino"/>
          <w:sz w:val="20"/>
          <w:szCs w:val="20"/>
        </w:rPr>
        <w:t xml:space="preserve">extend maintenance intervals. </w:t>
      </w:r>
    </w:p>
    <w:p w14:paraId="224779FF" w14:textId="77777777" w:rsidR="00541A14" w:rsidRDefault="00541A14">
      <w:pPr>
        <w:pStyle w:val="Default"/>
        <w:rPr>
          <w:rFonts w:ascii="Palatino" w:hAnsi="Palatino" w:cs="Palatino"/>
          <w:sz w:val="20"/>
          <w:szCs w:val="20"/>
        </w:rPr>
      </w:pPr>
    </w:p>
    <w:p w14:paraId="2B1FF598"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8.7 Quality Management </w:t>
      </w:r>
    </w:p>
    <w:p w14:paraId="041D866A"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Quality Management Systems have been developed and introduced by numerous businesses, but increasingly are being based on the ISO 9000 series of standards. These standards provide a broadly accepted framework for implementing a quality management system. </w:t>
      </w:r>
    </w:p>
    <w:p w14:paraId="7BBA3AD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 generic quality management system is process focused and defines procedures for how things are to </w:t>
      </w:r>
    </w:p>
    <w:p w14:paraId="32703BF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be done and what resources are necessary. It addresses: </w:t>
      </w:r>
    </w:p>
    <w:p w14:paraId="16BA8313" w14:textId="77777777" w:rsidR="00541A14" w:rsidRDefault="00A450E1">
      <w:pPr>
        <w:pStyle w:val="Default"/>
        <w:numPr>
          <w:ilvl w:val="0"/>
          <w:numId w:val="177"/>
        </w:numPr>
        <w:rPr>
          <w:rFonts w:ascii="Palatino" w:hAnsi="Palatino" w:cs="Palatino"/>
          <w:sz w:val="20"/>
          <w:szCs w:val="20"/>
        </w:rPr>
      </w:pPr>
      <w:r>
        <w:rPr>
          <w:rFonts w:ascii="Palatino" w:hAnsi="Palatino" w:cs="Palatino"/>
          <w:sz w:val="20"/>
          <w:szCs w:val="20"/>
        </w:rPr>
        <w:t xml:space="preserve">who does what? </w:t>
      </w:r>
    </w:p>
    <w:p w14:paraId="0C4336CA" w14:textId="77777777" w:rsidR="00541A14" w:rsidRDefault="00A450E1">
      <w:pPr>
        <w:pStyle w:val="Default"/>
        <w:numPr>
          <w:ilvl w:val="0"/>
          <w:numId w:val="177"/>
        </w:numPr>
        <w:rPr>
          <w:rFonts w:ascii="Palatino" w:hAnsi="Palatino" w:cs="Palatino"/>
          <w:sz w:val="20"/>
          <w:szCs w:val="20"/>
        </w:rPr>
      </w:pPr>
      <w:r>
        <w:rPr>
          <w:rFonts w:ascii="Palatino" w:hAnsi="Palatino" w:cs="Palatino"/>
          <w:sz w:val="20"/>
          <w:szCs w:val="20"/>
        </w:rPr>
        <w:t xml:space="preserve">what skills and qualifications are necessary? </w:t>
      </w:r>
    </w:p>
    <w:p w14:paraId="0999906B" w14:textId="77777777" w:rsidR="00541A14" w:rsidRDefault="00A450E1">
      <w:pPr>
        <w:pStyle w:val="Default"/>
        <w:numPr>
          <w:ilvl w:val="0"/>
          <w:numId w:val="177"/>
        </w:numPr>
        <w:rPr>
          <w:rFonts w:ascii="Palatino" w:hAnsi="Palatino" w:cs="Palatino"/>
          <w:sz w:val="20"/>
          <w:szCs w:val="20"/>
        </w:rPr>
      </w:pPr>
      <w:r>
        <w:rPr>
          <w:rFonts w:ascii="Palatino" w:hAnsi="Palatino" w:cs="Palatino"/>
          <w:sz w:val="20"/>
          <w:szCs w:val="20"/>
        </w:rPr>
        <w:t xml:space="preserve">what processes have to be followed to get consistent outcomes? </w:t>
      </w:r>
    </w:p>
    <w:p w14:paraId="634612B7" w14:textId="77777777" w:rsidR="00541A14" w:rsidRDefault="00A450E1">
      <w:pPr>
        <w:pStyle w:val="Default"/>
        <w:numPr>
          <w:ilvl w:val="0"/>
          <w:numId w:val="177"/>
        </w:numPr>
        <w:rPr>
          <w:rFonts w:ascii="Palatino" w:hAnsi="Palatino" w:cs="Palatino"/>
          <w:sz w:val="20"/>
          <w:szCs w:val="20"/>
        </w:rPr>
      </w:pPr>
      <w:r>
        <w:rPr>
          <w:rFonts w:ascii="Palatino" w:hAnsi="Palatino" w:cs="Palatino"/>
          <w:sz w:val="20"/>
          <w:szCs w:val="20"/>
        </w:rPr>
        <w:t xml:space="preserve">what resources are necessary to do the work efficiently? </w:t>
      </w:r>
    </w:p>
    <w:p w14:paraId="1248D904" w14:textId="77777777" w:rsidR="00541A14" w:rsidRDefault="00541A14">
      <w:pPr>
        <w:pStyle w:val="Default"/>
        <w:rPr>
          <w:rFonts w:ascii="Palatino" w:hAnsi="Palatino" w:cs="Palatino"/>
          <w:sz w:val="20"/>
          <w:szCs w:val="20"/>
        </w:rPr>
      </w:pPr>
    </w:p>
    <w:p w14:paraId="0FBA1C7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equipment in aids to navigation systems can be divided into two aspects: the specific AtoN aspect, </w:t>
      </w:r>
    </w:p>
    <w:p w14:paraId="71E2A292"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and the more generic aspect. Each aspect must comply with applicable standards and regulations. </w:t>
      </w:r>
    </w:p>
    <w:p w14:paraId="1E83B4B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IALA Recommendations and Guidelines provide a basis for the AtoN specific aspect, while </w:t>
      </w:r>
    </w:p>
    <w:p w14:paraId="3DB8F672"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international, national or regional regulations apply to the more generic aspects. </w:t>
      </w:r>
    </w:p>
    <w:p w14:paraId="7BD35A10"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7633122B" w14:textId="77777777" w:rsidR="00541A14" w:rsidRDefault="009E3F25">
      <w:pPr>
        <w:pStyle w:val="CM165"/>
        <w:spacing w:after="85" w:line="293" w:lineRule="atLeast"/>
        <w:ind w:left="300"/>
        <w:rPr>
          <w:rFonts w:ascii="Palatino" w:hAnsi="Palatino" w:cs="Palatino"/>
          <w:color w:val="000000"/>
          <w:sz w:val="20"/>
          <w:szCs w:val="20"/>
        </w:rPr>
      </w:pPr>
      <w:hyperlink r:id="rId371" w:history="1">
        <w:r w:rsidR="00A450E1">
          <w:rPr>
            <w:rFonts w:ascii="Palatino" w:hAnsi="Palatino" w:cs="Palatino"/>
            <w:i/>
            <w:iCs/>
            <w:color w:val="000000"/>
            <w:sz w:val="20"/>
            <w:szCs w:val="20"/>
          </w:rPr>
          <w:t xml:space="preserve">IALA Recommendation O-132 on Quality Management for Aids to Navigation Authorities. </w:t>
        </w:r>
      </w:hyperlink>
    </w:p>
    <w:p w14:paraId="204CED4A" w14:textId="77777777" w:rsidR="00541A14" w:rsidRDefault="009E3F25">
      <w:pPr>
        <w:pStyle w:val="CM165"/>
        <w:spacing w:after="85" w:line="293" w:lineRule="atLeast"/>
        <w:ind w:left="300"/>
        <w:rPr>
          <w:rFonts w:ascii="Palatino" w:hAnsi="Palatino" w:cs="Palatino"/>
          <w:color w:val="000000"/>
          <w:sz w:val="20"/>
          <w:szCs w:val="20"/>
        </w:rPr>
      </w:pPr>
      <w:hyperlink r:id="rId372" w:history="1">
        <w:r w:rsidR="00A450E1">
          <w:rPr>
            <w:rFonts w:ascii="Palatino" w:hAnsi="Palatino" w:cs="Palatino"/>
            <w:i/>
            <w:iCs/>
            <w:color w:val="000000"/>
            <w:sz w:val="20"/>
            <w:szCs w:val="20"/>
          </w:rPr>
          <w:t xml:space="preserve">IALA Guideline 1034 on product certification procedures. </w:t>
        </w:r>
      </w:hyperlink>
    </w:p>
    <w:p w14:paraId="4237F87D" w14:textId="77777777" w:rsidR="00541A14" w:rsidRDefault="009E3F25">
      <w:pPr>
        <w:pStyle w:val="CM163"/>
        <w:spacing w:after="642" w:line="293" w:lineRule="atLeast"/>
        <w:ind w:left="300"/>
        <w:rPr>
          <w:rFonts w:ascii="Palatino" w:hAnsi="Palatino" w:cs="Palatino"/>
          <w:color w:val="000000"/>
          <w:sz w:val="20"/>
          <w:szCs w:val="20"/>
        </w:rPr>
      </w:pPr>
      <w:hyperlink r:id="rId373" w:history="1">
        <w:r w:rsidR="00A450E1">
          <w:rPr>
            <w:rFonts w:ascii="Palatino" w:hAnsi="Palatino" w:cs="Palatino"/>
            <w:i/>
            <w:iCs/>
            <w:color w:val="000000"/>
            <w:sz w:val="20"/>
            <w:szCs w:val="20"/>
          </w:rPr>
          <w:t xml:space="preserve">IALA Guideline 1052 on Quality Management in Aids to Navigation Service Delivery. </w:t>
        </w:r>
      </w:hyperlink>
    </w:p>
    <w:p w14:paraId="7844AD9F" w14:textId="77777777" w:rsidR="00541A14" w:rsidRDefault="00A450E1">
      <w:pPr>
        <w:pStyle w:val="CM162"/>
        <w:spacing w:after="552"/>
        <w:jc w:val="center"/>
        <w:rPr>
          <w:rFonts w:ascii="Palatino" w:hAnsi="Palatino" w:cs="Palatino"/>
          <w:color w:val="000000"/>
          <w:sz w:val="20"/>
          <w:szCs w:val="20"/>
        </w:rPr>
      </w:pPr>
      <w:r>
        <w:rPr>
          <w:rFonts w:ascii="Palatino" w:hAnsi="Palatino" w:cs="Palatino"/>
          <w:color w:val="000000"/>
          <w:position w:val="6"/>
          <w:sz w:val="20"/>
          <w:szCs w:val="20"/>
          <w:vertAlign w:val="superscript"/>
        </w:rPr>
        <w:t>51</w:t>
      </w:r>
      <w:r>
        <w:rPr>
          <w:rFonts w:ascii="Palatino" w:hAnsi="Palatino" w:cs="Palatino"/>
          <w:color w:val="000000"/>
          <w:sz w:val="20"/>
          <w:szCs w:val="20"/>
        </w:rPr>
        <w:t xml:space="preserve">Only where the opportunity arises and where both are engaged in substantially similar work. </w:t>
      </w:r>
    </w:p>
    <w:p w14:paraId="7DC5A146"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4C52D73D" wp14:editId="21180D50">
            <wp:extent cx="7553960" cy="420370"/>
            <wp:effectExtent l="0" t="0" r="0" b="1143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21C8E5A7" w14:textId="77777777" w:rsidR="00541A14" w:rsidRDefault="00DD420F">
      <w:pPr>
        <w:pStyle w:val="Default"/>
        <w:pageBreakBefore/>
        <w:framePr w:w="12876" w:wrap="auto" w:vAnchor="page" w:hAnchor="page" w:x="101" w:y="1"/>
        <w:spacing w:after="880"/>
        <w:rPr>
          <w:rFonts w:ascii="Palatino" w:hAnsi="Palatino" w:cs="Palatino"/>
          <w:sz w:val="20"/>
          <w:szCs w:val="20"/>
        </w:rPr>
      </w:pPr>
      <w:r>
        <w:rPr>
          <w:rFonts w:ascii="Palatino" w:hAnsi="Palatino" w:cs="Palatino"/>
          <w:noProof/>
          <w:sz w:val="20"/>
          <w:szCs w:val="20"/>
        </w:rPr>
        <w:drawing>
          <wp:inline distT="0" distB="0" distL="0" distR="0" wp14:anchorId="32C37AD9" wp14:editId="104CA6EF">
            <wp:extent cx="7553960" cy="1056640"/>
            <wp:effectExtent l="0" t="0" r="0" b="1016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331F0ED0" w14:textId="77777777" w:rsidR="00541A14" w:rsidRDefault="00A450E1">
      <w:pPr>
        <w:pStyle w:val="CM172"/>
        <w:spacing w:after="202"/>
        <w:jc w:val="both"/>
        <w:rPr>
          <w:rFonts w:ascii="Futura Book" w:hAnsi="Futura Book" w:cs="Futura Book"/>
          <w:color w:val="2C5062"/>
          <w:sz w:val="22"/>
          <w:szCs w:val="22"/>
        </w:rPr>
      </w:pPr>
      <w:r>
        <w:rPr>
          <w:rFonts w:ascii="Futura Book" w:hAnsi="Futura Book" w:cs="Futura Book"/>
          <w:b/>
          <w:bCs/>
          <w:color w:val="2C5062"/>
          <w:sz w:val="22"/>
          <w:szCs w:val="22"/>
        </w:rPr>
        <w:t xml:space="preserve">8.7.1 International Standards </w:t>
      </w:r>
    </w:p>
    <w:p w14:paraId="4987FE8E" w14:textId="77777777" w:rsidR="00541A14" w:rsidRDefault="00A450E1">
      <w:pPr>
        <w:pStyle w:val="CM165"/>
        <w:spacing w:after="85" w:line="296"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ISO 9000 Series </w:t>
      </w:r>
    </w:p>
    <w:p w14:paraId="013D61E2" w14:textId="77777777" w:rsidR="00541A14" w:rsidRDefault="00A450E1">
      <w:pPr>
        <w:pStyle w:val="CM165"/>
        <w:spacing w:after="85" w:line="300" w:lineRule="atLeast"/>
        <w:ind w:right="1182"/>
        <w:jc w:val="both"/>
        <w:rPr>
          <w:rFonts w:ascii="Palatino" w:hAnsi="Palatino" w:cs="Palatino"/>
          <w:color w:val="000000"/>
          <w:sz w:val="20"/>
          <w:szCs w:val="20"/>
        </w:rPr>
      </w:pPr>
      <w:r>
        <w:rPr>
          <w:rFonts w:ascii="Palatino" w:hAnsi="Palatino" w:cs="Palatino"/>
          <w:color w:val="000000"/>
          <w:sz w:val="20"/>
          <w:szCs w:val="20"/>
        </w:rPr>
        <w:t xml:space="preserve">The 1994 quality standard series of ISO 9001, 9002 and 9003 have been jointly revised and amalgamated into ISO 9001-2000. </w:t>
      </w:r>
    </w:p>
    <w:p w14:paraId="2AE0DBD7"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The new series of standards designated as ISO 9000 comprises: </w:t>
      </w:r>
    </w:p>
    <w:p w14:paraId="0F5E9E8D" w14:textId="77777777" w:rsidR="00541A14" w:rsidRDefault="00A450E1">
      <w:pPr>
        <w:pStyle w:val="Default"/>
        <w:numPr>
          <w:ilvl w:val="0"/>
          <w:numId w:val="178"/>
        </w:numPr>
        <w:rPr>
          <w:rFonts w:ascii="Palatino" w:hAnsi="Palatino" w:cs="Palatino"/>
          <w:sz w:val="20"/>
          <w:szCs w:val="20"/>
        </w:rPr>
      </w:pPr>
      <w:r>
        <w:rPr>
          <w:rFonts w:ascii="Palatino" w:hAnsi="Palatino" w:cs="Palatino"/>
          <w:sz w:val="20"/>
          <w:szCs w:val="20"/>
        </w:rPr>
        <w:t xml:space="preserve">ISO 9000 Quality management systems - Fundamentals and vocabulary. </w:t>
      </w:r>
    </w:p>
    <w:p w14:paraId="3BF5453A" w14:textId="77777777" w:rsidR="00541A14" w:rsidRDefault="00A450E1">
      <w:pPr>
        <w:pStyle w:val="Default"/>
        <w:numPr>
          <w:ilvl w:val="0"/>
          <w:numId w:val="178"/>
        </w:numPr>
        <w:rPr>
          <w:rFonts w:ascii="Palatino" w:hAnsi="Palatino" w:cs="Palatino"/>
          <w:sz w:val="20"/>
          <w:szCs w:val="20"/>
        </w:rPr>
      </w:pPr>
      <w:r>
        <w:rPr>
          <w:rFonts w:ascii="Palatino" w:hAnsi="Palatino" w:cs="Palatino"/>
          <w:sz w:val="20"/>
          <w:szCs w:val="20"/>
        </w:rPr>
        <w:t xml:space="preserve">ISO 9001 Quality management systems – Requirements. </w:t>
      </w:r>
    </w:p>
    <w:p w14:paraId="4B6D9487" w14:textId="77777777" w:rsidR="00541A14" w:rsidRDefault="00A450E1">
      <w:pPr>
        <w:pStyle w:val="Default"/>
        <w:numPr>
          <w:ilvl w:val="0"/>
          <w:numId w:val="178"/>
        </w:numPr>
        <w:rPr>
          <w:rFonts w:ascii="Palatino" w:hAnsi="Palatino" w:cs="Palatino"/>
          <w:sz w:val="20"/>
          <w:szCs w:val="20"/>
        </w:rPr>
      </w:pPr>
      <w:r>
        <w:rPr>
          <w:rFonts w:ascii="Palatino" w:hAnsi="Palatino" w:cs="Palatino"/>
          <w:sz w:val="20"/>
          <w:szCs w:val="20"/>
        </w:rPr>
        <w:t xml:space="preserve">ISO 9004 Quality management systems - Guidance for Performance Improvement. </w:t>
      </w:r>
    </w:p>
    <w:p w14:paraId="45E7E818" w14:textId="77777777" w:rsidR="00541A14" w:rsidRDefault="00541A14">
      <w:pPr>
        <w:pStyle w:val="Default"/>
        <w:rPr>
          <w:rFonts w:ascii="Palatino" w:hAnsi="Palatino" w:cs="Palatino"/>
          <w:sz w:val="20"/>
          <w:szCs w:val="20"/>
        </w:rPr>
      </w:pPr>
    </w:p>
    <w:p w14:paraId="6CBFAD85" w14:textId="77777777" w:rsidR="00541A14" w:rsidRDefault="00A450E1">
      <w:pPr>
        <w:pStyle w:val="CM165"/>
        <w:spacing w:after="85" w:line="296"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ISO 9001 - 2000 </w:t>
      </w:r>
    </w:p>
    <w:p w14:paraId="1070A821" w14:textId="77777777" w:rsidR="00541A14" w:rsidRDefault="00A450E1">
      <w:pPr>
        <w:pStyle w:val="Default"/>
        <w:spacing w:line="300" w:lineRule="atLeast"/>
        <w:ind w:right="737"/>
        <w:jc w:val="both"/>
        <w:rPr>
          <w:rFonts w:ascii="Palatino" w:hAnsi="Palatino" w:cs="Palatino"/>
          <w:sz w:val="20"/>
          <w:szCs w:val="20"/>
        </w:rPr>
      </w:pPr>
      <w:r>
        <w:rPr>
          <w:rFonts w:ascii="Palatino" w:hAnsi="Palatino" w:cs="Palatino"/>
          <w:sz w:val="20"/>
          <w:szCs w:val="20"/>
        </w:rPr>
        <w:t xml:space="preserve">ISO 9001 specifies requirements for a quality management system that can be used for internal application by organizations, or for certification, or for contractual purposes.  It focuses on the </w:t>
      </w:r>
    </w:p>
    <w:p w14:paraId="4CEEA12D" w14:textId="77777777" w:rsidR="00541A14" w:rsidRDefault="00A450E1">
      <w:pPr>
        <w:pStyle w:val="CM175"/>
        <w:spacing w:after="267" w:line="296" w:lineRule="atLeast"/>
        <w:jc w:val="both"/>
        <w:rPr>
          <w:rFonts w:ascii="Palatino" w:hAnsi="Palatino" w:cs="Palatino"/>
          <w:color w:val="000000"/>
          <w:sz w:val="20"/>
          <w:szCs w:val="20"/>
        </w:rPr>
      </w:pPr>
      <w:r>
        <w:rPr>
          <w:rFonts w:ascii="Palatino" w:hAnsi="Palatino" w:cs="Palatino"/>
          <w:color w:val="000000"/>
          <w:sz w:val="20"/>
          <w:szCs w:val="20"/>
        </w:rPr>
        <w:t xml:space="preserve">effectiveness of the quality management system in meeting customer requirements.  See Figure 33. </w:t>
      </w:r>
    </w:p>
    <w:p w14:paraId="79AA151C" w14:textId="77777777" w:rsidR="00541A14" w:rsidRDefault="00A450E1">
      <w:pPr>
        <w:pStyle w:val="CM165"/>
        <w:spacing w:after="85" w:line="296" w:lineRule="atLeast"/>
        <w:jc w:val="both"/>
        <w:rPr>
          <w:rFonts w:ascii="Futura Book" w:hAnsi="Futura Book" w:cs="Futura Book"/>
          <w:color w:val="2C5062"/>
          <w:sz w:val="20"/>
          <w:szCs w:val="20"/>
        </w:rPr>
      </w:pPr>
      <w:r>
        <w:rPr>
          <w:rFonts w:ascii="Futura Book" w:hAnsi="Futura Book" w:cs="Futura Book"/>
          <w:b/>
          <w:bCs/>
          <w:color w:val="2C5062"/>
          <w:sz w:val="20"/>
          <w:szCs w:val="20"/>
        </w:rPr>
        <w:t xml:space="preserve">ISO 9004 - 2000 </w:t>
      </w:r>
    </w:p>
    <w:p w14:paraId="0CF8C43E" w14:textId="77777777" w:rsidR="00541A14" w:rsidRDefault="00A450E1">
      <w:pPr>
        <w:pStyle w:val="CM42"/>
        <w:ind w:right="335"/>
        <w:jc w:val="both"/>
        <w:rPr>
          <w:rFonts w:ascii="Palatino" w:hAnsi="Palatino" w:cs="Palatino"/>
          <w:color w:val="000000"/>
          <w:sz w:val="20"/>
          <w:szCs w:val="20"/>
        </w:rPr>
      </w:pPr>
      <w:r>
        <w:rPr>
          <w:rFonts w:ascii="Palatino" w:hAnsi="Palatino" w:cs="Palatino"/>
          <w:color w:val="000000"/>
          <w:sz w:val="20"/>
          <w:szCs w:val="20"/>
        </w:rPr>
        <w:t xml:space="preserve">ISO 9004 gives guidance on a wider range of objectives of a quality management system than does ISO 9001, particularly for the continual improvement of an organization’s overall performance and </w:t>
      </w:r>
    </w:p>
    <w:p w14:paraId="3E8D35BF" w14:textId="77777777" w:rsidR="00541A14" w:rsidRDefault="00A450E1">
      <w:pPr>
        <w:pStyle w:val="CM42"/>
        <w:ind w:right="335"/>
        <w:jc w:val="both"/>
        <w:rPr>
          <w:rFonts w:ascii="Palatino" w:hAnsi="Palatino" w:cs="Palatino"/>
          <w:color w:val="000000"/>
          <w:sz w:val="20"/>
          <w:szCs w:val="20"/>
        </w:rPr>
      </w:pPr>
      <w:r>
        <w:rPr>
          <w:rFonts w:ascii="Palatino" w:hAnsi="Palatino" w:cs="Palatino"/>
          <w:color w:val="000000"/>
          <w:sz w:val="20"/>
          <w:szCs w:val="20"/>
        </w:rPr>
        <w:t xml:space="preserve">efficiency, as well as its effectiveness.  ISO 9004 is recommended as a guide for organizations whose </w:t>
      </w:r>
    </w:p>
    <w:p w14:paraId="4A53B535"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top management wishes to move beyond the requirements of ISO 9001, in pursuit of continual </w:t>
      </w:r>
    </w:p>
    <w:p w14:paraId="085B7D69" w14:textId="77777777" w:rsidR="00541A14" w:rsidRDefault="00A450E1">
      <w:pPr>
        <w:pStyle w:val="CM174"/>
        <w:spacing w:after="437" w:line="296" w:lineRule="atLeast"/>
        <w:jc w:val="both"/>
        <w:rPr>
          <w:rFonts w:ascii="Palatino" w:hAnsi="Palatino" w:cs="Palatino"/>
          <w:color w:val="000000"/>
          <w:sz w:val="20"/>
          <w:szCs w:val="20"/>
        </w:rPr>
      </w:pPr>
      <w:r>
        <w:rPr>
          <w:rFonts w:ascii="Palatino" w:hAnsi="Palatino" w:cs="Palatino"/>
          <w:color w:val="000000"/>
          <w:sz w:val="20"/>
          <w:szCs w:val="20"/>
        </w:rPr>
        <w:t xml:space="preserve">improvement of performance.  However, it is not intended for certification or for contractual purposes. </w:t>
      </w:r>
    </w:p>
    <w:p w14:paraId="38E6DFBD" w14:textId="77777777" w:rsidR="00541A14" w:rsidRDefault="00DD420F">
      <w:pPr>
        <w:pStyle w:val="Default"/>
        <w:framePr w:w="7500" w:wrap="auto" w:vAnchor="page" w:hAnchor="page" w:x="2571" w:y="9418"/>
        <w:spacing w:after="220"/>
        <w:rPr>
          <w:rFonts w:ascii="Palatino" w:hAnsi="Palatino" w:cs="Palatino"/>
          <w:sz w:val="20"/>
          <w:szCs w:val="20"/>
        </w:rPr>
      </w:pPr>
      <w:r>
        <w:rPr>
          <w:rFonts w:ascii="Palatino" w:hAnsi="Palatino" w:cs="Palatino"/>
          <w:noProof/>
          <w:sz w:val="20"/>
          <w:szCs w:val="20"/>
        </w:rPr>
        <w:drawing>
          <wp:inline distT="0" distB="0" distL="0" distR="0" wp14:anchorId="67ACD8F7" wp14:editId="6D0C7A22">
            <wp:extent cx="4253865" cy="3300095"/>
            <wp:effectExtent l="0" t="0" r="0" b="190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4253865" cy="3300095"/>
                    </a:xfrm>
                    <a:prstGeom prst="rect">
                      <a:avLst/>
                    </a:prstGeom>
                    <a:noFill/>
                    <a:ln>
                      <a:noFill/>
                    </a:ln>
                  </pic:spPr>
                </pic:pic>
              </a:graphicData>
            </a:graphic>
          </wp:inline>
        </w:drawing>
      </w:r>
    </w:p>
    <w:p w14:paraId="0C223127" w14:textId="77777777" w:rsidR="00541A14" w:rsidRDefault="00A450E1">
      <w:pPr>
        <w:pStyle w:val="CM164"/>
        <w:spacing w:after="1215"/>
        <w:jc w:val="center"/>
        <w:rPr>
          <w:rFonts w:ascii="Palatino" w:hAnsi="Palatino" w:cs="Palatino"/>
          <w:color w:val="000000"/>
          <w:sz w:val="20"/>
          <w:szCs w:val="20"/>
        </w:rPr>
      </w:pPr>
      <w:r>
        <w:rPr>
          <w:rFonts w:ascii="Palatino" w:hAnsi="Palatino" w:cs="Palatino"/>
          <w:i/>
          <w:iCs/>
          <w:color w:val="000000"/>
          <w:sz w:val="20"/>
          <w:szCs w:val="20"/>
        </w:rPr>
        <w:t xml:space="preserve">Figure 33 – Diagram from ISO 9001 showing the emphasis on satisfying customer requirements. </w:t>
      </w:r>
    </w:p>
    <w:p w14:paraId="16C45054"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12B6549A" wp14:editId="77D8614C">
            <wp:extent cx="7542530" cy="420370"/>
            <wp:effectExtent l="0" t="0" r="1270" b="1143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044A71F9" w14:textId="77777777" w:rsidR="00541A14" w:rsidRDefault="00DD420F">
      <w:pPr>
        <w:pStyle w:val="Default"/>
        <w:pageBreakBefore/>
        <w:framePr w:w="24782" w:wrap="auto" w:vAnchor="page" w:hAnchor="page" w:x="101" w:y="1"/>
        <w:spacing w:after="760"/>
        <w:rPr>
          <w:rFonts w:ascii="Palatino" w:hAnsi="Palatino" w:cs="Palatino"/>
          <w:sz w:val="20"/>
          <w:szCs w:val="20"/>
        </w:rPr>
      </w:pPr>
      <w:r>
        <w:rPr>
          <w:rFonts w:ascii="Palatino" w:hAnsi="Palatino" w:cs="Palatino"/>
          <w:noProof/>
          <w:sz w:val="20"/>
          <w:szCs w:val="20"/>
        </w:rPr>
        <w:drawing>
          <wp:inline distT="0" distB="0" distL="0" distR="0" wp14:anchorId="43199A25" wp14:editId="483B48E5">
            <wp:extent cx="7553960" cy="1067435"/>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37030D90"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ISO 14000 </w:t>
      </w:r>
    </w:p>
    <w:p w14:paraId="0B2C1852"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This is a collection of voluntary consensus standards that have been developed to assist organizations to achieve environmental and economic gains through the implementation of effective environmental management systems. </w:t>
      </w:r>
    </w:p>
    <w:p w14:paraId="35ADAE73" w14:textId="77777777" w:rsidR="00541A14" w:rsidRDefault="00A450E1">
      <w:pPr>
        <w:pStyle w:val="CM172"/>
        <w:spacing w:after="202" w:line="293" w:lineRule="atLeast"/>
        <w:ind w:right="245"/>
        <w:rPr>
          <w:rFonts w:ascii="Palatino" w:hAnsi="Palatino" w:cs="Palatino"/>
          <w:color w:val="000000"/>
          <w:sz w:val="20"/>
          <w:szCs w:val="20"/>
        </w:rPr>
      </w:pPr>
      <w:r>
        <w:rPr>
          <w:rFonts w:ascii="Palatino" w:hAnsi="Palatino" w:cs="Palatino"/>
          <w:color w:val="000000"/>
          <w:sz w:val="20"/>
          <w:szCs w:val="20"/>
        </w:rPr>
        <w:t xml:space="preserve">There are three standards that deal with Environmental Management Systems (EMS). These are ISO 14001, 14002 and 14004. ISO 14001 is the only standard intended for third party accreditation. The other standards are for guidance. </w:t>
      </w:r>
    </w:p>
    <w:p w14:paraId="630A2F24"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ISO 14001 </w:t>
      </w:r>
    </w:p>
    <w:p w14:paraId="18BF6F38"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ISO 14001 specifies the requirements for an environmental management system, to enable an </w:t>
      </w:r>
    </w:p>
    <w:p w14:paraId="031A637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organization to: </w:t>
      </w:r>
    </w:p>
    <w:p w14:paraId="266718A3" w14:textId="77777777" w:rsidR="00541A14" w:rsidRDefault="00A450E1">
      <w:pPr>
        <w:pStyle w:val="Default"/>
        <w:numPr>
          <w:ilvl w:val="0"/>
          <w:numId w:val="179"/>
        </w:numPr>
        <w:spacing w:after="22"/>
        <w:rPr>
          <w:rFonts w:ascii="Palatino" w:hAnsi="Palatino" w:cs="Palatino"/>
          <w:sz w:val="20"/>
          <w:szCs w:val="20"/>
        </w:rPr>
      </w:pPr>
      <w:r>
        <w:rPr>
          <w:rFonts w:ascii="Palatino" w:hAnsi="Palatino" w:cs="Palatino"/>
          <w:sz w:val="20"/>
          <w:szCs w:val="20"/>
        </w:rPr>
        <w:t xml:space="preserve">formulate a policy and objectives taking into account legislative requirements and information about significant environmental impacts; </w:t>
      </w:r>
    </w:p>
    <w:p w14:paraId="5C28EC79" w14:textId="77777777" w:rsidR="00541A14" w:rsidRDefault="00A450E1">
      <w:pPr>
        <w:pStyle w:val="Default"/>
        <w:numPr>
          <w:ilvl w:val="0"/>
          <w:numId w:val="179"/>
        </w:numPr>
        <w:spacing w:after="22"/>
        <w:rPr>
          <w:rFonts w:ascii="Palatino" w:hAnsi="Palatino" w:cs="Palatino"/>
          <w:sz w:val="20"/>
          <w:szCs w:val="20"/>
        </w:rPr>
      </w:pPr>
      <w:r>
        <w:rPr>
          <w:rFonts w:ascii="Palatino" w:hAnsi="Palatino" w:cs="Palatino"/>
          <w:sz w:val="20"/>
          <w:szCs w:val="20"/>
        </w:rPr>
        <w:t xml:space="preserve">apply the requirements to those environmental aspects that the organization can control and over which it can be expected to have an influence; </w:t>
      </w:r>
    </w:p>
    <w:p w14:paraId="2904C4D6" w14:textId="77777777" w:rsidR="00541A14" w:rsidRDefault="00A450E1">
      <w:pPr>
        <w:pStyle w:val="Default"/>
        <w:numPr>
          <w:ilvl w:val="0"/>
          <w:numId w:val="179"/>
        </w:numPr>
        <w:rPr>
          <w:rFonts w:ascii="Palatino" w:hAnsi="Palatino" w:cs="Palatino"/>
          <w:sz w:val="20"/>
          <w:szCs w:val="20"/>
        </w:rPr>
      </w:pPr>
      <w:r>
        <w:rPr>
          <w:rFonts w:ascii="Palatino" w:hAnsi="Palatino" w:cs="Palatino"/>
          <w:sz w:val="20"/>
          <w:szCs w:val="20"/>
        </w:rPr>
        <w:t xml:space="preserve">demonstrate to itself, and to other interested parties, conformance with its stated environmental </w:t>
      </w:r>
    </w:p>
    <w:p w14:paraId="37000848" w14:textId="77777777" w:rsidR="00541A14" w:rsidRDefault="00541A14">
      <w:pPr>
        <w:pStyle w:val="Default"/>
        <w:rPr>
          <w:rFonts w:ascii="Palatino" w:hAnsi="Palatino" w:cs="Palatino"/>
          <w:sz w:val="20"/>
          <w:szCs w:val="20"/>
        </w:rPr>
      </w:pPr>
    </w:p>
    <w:p w14:paraId="174A7106" w14:textId="77777777" w:rsidR="00541A14" w:rsidRDefault="00A450E1">
      <w:pPr>
        <w:pStyle w:val="CM165"/>
        <w:spacing w:after="85" w:line="260" w:lineRule="atLeast"/>
        <w:ind w:left="295"/>
        <w:rPr>
          <w:rFonts w:ascii="Palatino" w:hAnsi="Palatino" w:cs="Palatino"/>
          <w:color w:val="000000"/>
          <w:sz w:val="20"/>
          <w:szCs w:val="20"/>
        </w:rPr>
      </w:pPr>
      <w:r>
        <w:rPr>
          <w:rFonts w:ascii="Palatino" w:hAnsi="Palatino" w:cs="Palatino"/>
          <w:color w:val="000000"/>
          <w:sz w:val="20"/>
          <w:szCs w:val="20"/>
        </w:rPr>
        <w:t xml:space="preserve">policy; </w:t>
      </w:r>
    </w:p>
    <w:p w14:paraId="1DDEB5DE" w14:textId="77777777" w:rsidR="00541A14" w:rsidRDefault="00A450E1">
      <w:pPr>
        <w:pStyle w:val="Default"/>
        <w:numPr>
          <w:ilvl w:val="0"/>
          <w:numId w:val="180"/>
        </w:numPr>
        <w:spacing w:after="52"/>
        <w:rPr>
          <w:rFonts w:ascii="Palatino" w:hAnsi="Palatino" w:cs="Palatino"/>
          <w:sz w:val="20"/>
          <w:szCs w:val="20"/>
        </w:rPr>
      </w:pPr>
      <w:r>
        <w:rPr>
          <w:rFonts w:ascii="Palatino" w:hAnsi="Palatino" w:cs="Palatino"/>
          <w:sz w:val="20"/>
          <w:szCs w:val="20"/>
        </w:rPr>
        <w:t xml:space="preserve">seek certification/registration of its environmental management system by an external organization; </w:t>
      </w:r>
    </w:p>
    <w:p w14:paraId="03F3D274" w14:textId="77777777" w:rsidR="00541A14" w:rsidRDefault="00A450E1">
      <w:pPr>
        <w:pStyle w:val="Default"/>
        <w:numPr>
          <w:ilvl w:val="0"/>
          <w:numId w:val="180"/>
        </w:numPr>
        <w:rPr>
          <w:rFonts w:ascii="Palatino" w:hAnsi="Palatino" w:cs="Palatino"/>
          <w:sz w:val="20"/>
          <w:szCs w:val="20"/>
        </w:rPr>
      </w:pPr>
      <w:r>
        <w:rPr>
          <w:rFonts w:ascii="Palatino" w:hAnsi="Palatino" w:cs="Palatino"/>
          <w:sz w:val="20"/>
          <w:szCs w:val="20"/>
        </w:rPr>
        <w:t xml:space="preserve">manage and measure a program of continual improvement. </w:t>
      </w:r>
    </w:p>
    <w:p w14:paraId="3BDD6696" w14:textId="77777777" w:rsidR="00541A14" w:rsidRDefault="00541A14">
      <w:pPr>
        <w:pStyle w:val="Default"/>
        <w:rPr>
          <w:rFonts w:ascii="Palatino" w:hAnsi="Palatino" w:cs="Palatino"/>
          <w:sz w:val="20"/>
          <w:szCs w:val="20"/>
        </w:rPr>
      </w:pPr>
    </w:p>
    <w:p w14:paraId="37B5560B" w14:textId="77777777" w:rsidR="00541A14" w:rsidRDefault="00A450E1">
      <w:pPr>
        <w:pStyle w:val="CM175"/>
        <w:spacing w:after="267" w:line="291" w:lineRule="atLeast"/>
        <w:rPr>
          <w:rFonts w:ascii="Palatino" w:hAnsi="Palatino" w:cs="Palatino"/>
          <w:color w:val="000000"/>
          <w:sz w:val="20"/>
          <w:szCs w:val="20"/>
        </w:rPr>
      </w:pPr>
      <w:r>
        <w:rPr>
          <w:rFonts w:ascii="Palatino" w:hAnsi="Palatino" w:cs="Palatino"/>
          <w:color w:val="000000"/>
          <w:sz w:val="20"/>
          <w:szCs w:val="20"/>
        </w:rPr>
        <w:t xml:space="preserve">ISO 14001 does not itself state specific environmental performance criteria. </w:t>
      </w:r>
    </w:p>
    <w:p w14:paraId="42B2BDC3" w14:textId="77777777" w:rsidR="00541A14" w:rsidRDefault="00A450E1">
      <w:pPr>
        <w:pStyle w:val="CM172"/>
        <w:spacing w:after="202"/>
        <w:rPr>
          <w:rFonts w:ascii="Futura Book" w:hAnsi="Futura Book" w:cs="Futura Book"/>
          <w:color w:val="2C5062"/>
          <w:sz w:val="28"/>
          <w:szCs w:val="28"/>
        </w:rPr>
      </w:pPr>
      <w:r>
        <w:rPr>
          <w:rFonts w:ascii="Futura Book" w:hAnsi="Futura Book" w:cs="Futura Book"/>
          <w:b/>
          <w:bCs/>
          <w:color w:val="2C5062"/>
          <w:sz w:val="28"/>
          <w:szCs w:val="28"/>
        </w:rPr>
        <w:t xml:space="preserve">8.8 Maintenance </w:t>
      </w:r>
    </w:p>
    <w:p w14:paraId="5E26AC8B"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8.8.1 Guiding Principles for Maintenance </w:t>
      </w:r>
    </w:p>
    <w:p w14:paraId="0CB62E03" w14:textId="77777777" w:rsidR="00541A14" w:rsidRDefault="00A450E1">
      <w:pPr>
        <w:pStyle w:val="CM25"/>
        <w:ind w:right="245"/>
        <w:rPr>
          <w:rFonts w:ascii="Palatino" w:hAnsi="Palatino" w:cs="Palatino"/>
          <w:color w:val="000000"/>
          <w:sz w:val="20"/>
          <w:szCs w:val="20"/>
        </w:rPr>
      </w:pPr>
      <w:r>
        <w:rPr>
          <w:rFonts w:ascii="Palatino" w:hAnsi="Palatino" w:cs="Palatino"/>
          <w:color w:val="000000"/>
          <w:sz w:val="20"/>
          <w:szCs w:val="20"/>
        </w:rPr>
        <w:t xml:space="preserve">Maintenance is required to ensure that AtoN equipment and systems continue to perform at the levels required by mariners to safely navigate the world’s waterways. A maintenance system should be adopted to ensure that AtoN assets deliver the desired performance while minimizing Total </w:t>
      </w:r>
    </w:p>
    <w:p w14:paraId="440FD094"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Ownership Cost. This performance is normally defined as the level of availability required. Depending </w:t>
      </w:r>
    </w:p>
    <w:p w14:paraId="2DC18D0B"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on the criticality or category of the AtoN, the same AtoN type might require different maintenance approaches to deliver the required availability outcome in a given location. </w:t>
      </w:r>
    </w:p>
    <w:p w14:paraId="754C9936"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The following guiding principles may assist Authorities in developing their overall AtoN maintenance strategy. </w:t>
      </w:r>
    </w:p>
    <w:p w14:paraId="169EB1FE"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Minimise the Cost of Ownership </w:t>
      </w:r>
    </w:p>
    <w:p w14:paraId="611F1D09" w14:textId="77777777" w:rsidR="00541A14" w:rsidRDefault="00A450E1">
      <w:pPr>
        <w:pStyle w:val="CM172"/>
        <w:spacing w:after="202" w:line="293" w:lineRule="atLeast"/>
        <w:ind w:right="245"/>
        <w:rPr>
          <w:rFonts w:ascii="Palatino" w:hAnsi="Palatino" w:cs="Palatino"/>
          <w:color w:val="000000"/>
          <w:sz w:val="20"/>
          <w:szCs w:val="20"/>
        </w:rPr>
      </w:pPr>
      <w:r>
        <w:rPr>
          <w:rFonts w:ascii="Palatino" w:hAnsi="Palatino" w:cs="Palatino"/>
          <w:color w:val="000000"/>
          <w:sz w:val="20"/>
          <w:szCs w:val="20"/>
        </w:rPr>
        <w:t xml:space="preserve">AtoN service providers are accountable to their stakeholders for the provision of a reliable AtoN network that meets international standards for a reasonable cost. Maintenance strategies adopted by authorities should be seeking to reduce the total cost of ownership of their AtoN. </w:t>
      </w:r>
    </w:p>
    <w:p w14:paraId="01A9D237"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Design for Maintenance </w:t>
      </w:r>
    </w:p>
    <w:p w14:paraId="6AF249B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majority of maintenance costs are determined by the design of the equipment itself. Maintenance </w:t>
      </w:r>
    </w:p>
    <w:p w14:paraId="6C01F09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costs are the most significant component of the total ownership cost of the equipment or system. </w:t>
      </w:r>
    </w:p>
    <w:p w14:paraId="21783F81" w14:textId="77777777" w:rsidR="00541A14" w:rsidRDefault="00A450E1">
      <w:pPr>
        <w:pStyle w:val="CM173"/>
        <w:spacing w:after="340" w:line="291" w:lineRule="atLeast"/>
        <w:rPr>
          <w:rFonts w:ascii="Palatino" w:hAnsi="Palatino" w:cs="Palatino"/>
          <w:color w:val="000000"/>
          <w:sz w:val="20"/>
          <w:szCs w:val="20"/>
        </w:rPr>
      </w:pPr>
      <w:r>
        <w:rPr>
          <w:rFonts w:ascii="Palatino" w:hAnsi="Palatino" w:cs="Palatino"/>
          <w:color w:val="000000"/>
          <w:sz w:val="20"/>
          <w:szCs w:val="20"/>
        </w:rPr>
        <w:t xml:space="preserve">Therefore, it is crucial to account for long-term maintenance and logistics support early on in the design process. The goal should be to reduce the need for maintenance, extend the time interval for required maintenance, enable maintenance upon the evidence of need (condition-based maintenance), facilitate the maintenance task by the servicing personnel, and reduce the “logistics footprint” required for maintenance and support. All of these factors will contribute to reducing the total ownership cost over the entire life cycle of the equipment or system. To accomplish this, the focus of the design effort should be on ensuring that the attributes of ‘reliability,’ ‘maintainability,’ and ‘supportability’ are key components of the equipment or system. These three factors contribute to AtoN availability. </w:t>
      </w:r>
    </w:p>
    <w:p w14:paraId="1D28FF92"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25684FA9" wp14:editId="2DC4D166">
            <wp:extent cx="7553960" cy="420370"/>
            <wp:effectExtent l="0" t="0" r="0" b="1143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48E1575C" w14:textId="77777777" w:rsidR="00541A14" w:rsidRDefault="00DD420F">
      <w:pPr>
        <w:pStyle w:val="Default"/>
        <w:pageBreakBefore/>
        <w:framePr w:w="12876" w:wrap="auto" w:vAnchor="page" w:hAnchor="page" w:x="101" w:y="1"/>
        <w:spacing w:after="780"/>
        <w:rPr>
          <w:rFonts w:ascii="Palatino" w:hAnsi="Palatino" w:cs="Palatino"/>
          <w:sz w:val="20"/>
          <w:szCs w:val="20"/>
        </w:rPr>
      </w:pPr>
      <w:r>
        <w:rPr>
          <w:rFonts w:ascii="Palatino" w:hAnsi="Palatino" w:cs="Palatino"/>
          <w:noProof/>
          <w:sz w:val="20"/>
          <w:szCs w:val="20"/>
        </w:rPr>
        <w:drawing>
          <wp:inline distT="0" distB="0" distL="0" distR="0" wp14:anchorId="72A20913" wp14:editId="4D4301A2">
            <wp:extent cx="7553960" cy="1056640"/>
            <wp:effectExtent l="0" t="0" r="0" b="1016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07E13DAA"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Minimise Impact on the Environment </w:t>
      </w:r>
    </w:p>
    <w:p w14:paraId="6707630B" w14:textId="77777777" w:rsidR="00541A14" w:rsidRDefault="00A450E1">
      <w:pPr>
        <w:pStyle w:val="CM173"/>
        <w:spacing w:after="340" w:line="296" w:lineRule="atLeast"/>
        <w:ind w:right="402"/>
        <w:rPr>
          <w:rFonts w:ascii="Palatino" w:hAnsi="Palatino" w:cs="Palatino"/>
          <w:color w:val="000000"/>
          <w:sz w:val="20"/>
          <w:szCs w:val="20"/>
        </w:rPr>
      </w:pPr>
      <w:r>
        <w:rPr>
          <w:rFonts w:ascii="Palatino" w:hAnsi="Palatino" w:cs="Palatino"/>
          <w:color w:val="000000"/>
          <w:sz w:val="20"/>
          <w:szCs w:val="20"/>
        </w:rPr>
        <w:t xml:space="preserve">Legislative obligations and community expectations require AtoN authorities to ensure that their activities do not have an adverse impact on the environment. Cleaning up after pollution incidents and the associated rehabilitation of the environment can be costly. </w:t>
      </w:r>
    </w:p>
    <w:p w14:paraId="216F975B"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Comply with Legislation and International Standards </w:t>
      </w:r>
    </w:p>
    <w:p w14:paraId="510E4949" w14:textId="77777777" w:rsidR="00541A14" w:rsidRDefault="00A450E1">
      <w:pPr>
        <w:pStyle w:val="CM173"/>
        <w:spacing w:after="340" w:line="298" w:lineRule="atLeast"/>
        <w:ind w:right="507"/>
        <w:rPr>
          <w:rFonts w:ascii="Palatino" w:hAnsi="Palatino" w:cs="Palatino"/>
          <w:color w:val="000000"/>
          <w:sz w:val="20"/>
          <w:szCs w:val="20"/>
        </w:rPr>
      </w:pPr>
      <w:r>
        <w:rPr>
          <w:rFonts w:ascii="Palatino" w:hAnsi="Palatino" w:cs="Palatino"/>
          <w:color w:val="000000"/>
          <w:sz w:val="20"/>
          <w:szCs w:val="20"/>
        </w:rPr>
        <w:t xml:space="preserve">AtoN authorities are required to ensure that AtoN maintenance is carried out in compliance with their local legislation. AtoN services should also be delivered in accordance with international standards and best practice to ensure that a seamless worldwide network of AtoN is provided for mariners. In order to comply with relevant legislation, Competent Authorities may need to consider environmental, safety, heritage, category of AtoN and compliance with the latest standards in their maintenance strategy. </w:t>
      </w:r>
    </w:p>
    <w:p w14:paraId="2C1E5D72"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Consider Health and Safety of Workers and Public </w:t>
      </w:r>
    </w:p>
    <w:p w14:paraId="23F3B5C8" w14:textId="77777777" w:rsidR="00541A14" w:rsidRDefault="00A450E1">
      <w:pPr>
        <w:pStyle w:val="CM16"/>
        <w:ind w:right="327"/>
        <w:rPr>
          <w:rFonts w:ascii="Palatino" w:hAnsi="Palatino" w:cs="Palatino"/>
          <w:color w:val="000000"/>
          <w:sz w:val="20"/>
          <w:szCs w:val="20"/>
        </w:rPr>
      </w:pPr>
      <w:r>
        <w:rPr>
          <w:rFonts w:ascii="Palatino" w:hAnsi="Palatino" w:cs="Palatino"/>
          <w:color w:val="000000"/>
          <w:sz w:val="20"/>
          <w:szCs w:val="20"/>
        </w:rPr>
        <w:t xml:space="preserve">Authorities should be aware that many of the activities described in this document have applicable worker health and safety requirements. These requirements vary from region to region, and </w:t>
      </w:r>
    </w:p>
    <w:p w14:paraId="57918B8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Authorities should comply with the specific requirements in their area. The health and safety of </w:t>
      </w:r>
    </w:p>
    <w:p w14:paraId="05A38E85" w14:textId="77777777" w:rsidR="00541A14" w:rsidRDefault="00A450E1">
      <w:pPr>
        <w:pStyle w:val="CM173"/>
        <w:spacing w:after="340" w:line="293" w:lineRule="atLeast"/>
        <w:ind w:right="177"/>
        <w:rPr>
          <w:rFonts w:ascii="Palatino" w:hAnsi="Palatino" w:cs="Palatino"/>
          <w:color w:val="000000"/>
          <w:sz w:val="20"/>
          <w:szCs w:val="20"/>
        </w:rPr>
      </w:pPr>
      <w:r>
        <w:rPr>
          <w:rFonts w:ascii="Palatino" w:hAnsi="Palatino" w:cs="Palatino"/>
          <w:color w:val="000000"/>
          <w:sz w:val="20"/>
          <w:szCs w:val="20"/>
        </w:rPr>
        <w:t xml:space="preserve">workers and the public is of paramount importance. Maintenance strategies should include training and awareness programs to ensure that all staff are adequately trained in the activities and tasks that they are required to carry out. </w:t>
      </w:r>
    </w:p>
    <w:p w14:paraId="6E9F462D"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Assess and Improve Performance </w:t>
      </w:r>
    </w:p>
    <w:p w14:paraId="6F541F9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 continuous assessment of reliability, maintainability, and supportability should be undertaken to permit the ongoing improvement of equipment design and maintenance procedures. Consistent feedback on equipment performance from the maintenance personnel is fundamental to this process. Keeping track of </w:t>
      </w:r>
    </w:p>
    <w:p w14:paraId="094CA56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maintenance is absolutely necessary to measure and thus improve the efficiency of a system. </w:t>
      </w:r>
    </w:p>
    <w:p w14:paraId="5C72D15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Breakdowns to AtoN systems can have a significant impact on the cost of service provision. Thus, </w:t>
      </w:r>
    </w:p>
    <w:p w14:paraId="3BD4C2EE" w14:textId="77777777" w:rsidR="00541A14" w:rsidRDefault="00A450E1">
      <w:pPr>
        <w:pStyle w:val="CM172"/>
        <w:spacing w:after="202" w:line="291" w:lineRule="atLeast"/>
        <w:ind w:right="107"/>
        <w:rPr>
          <w:rFonts w:ascii="Palatino" w:hAnsi="Palatino" w:cs="Palatino"/>
          <w:color w:val="000000"/>
          <w:sz w:val="20"/>
          <w:szCs w:val="20"/>
        </w:rPr>
      </w:pPr>
      <w:r>
        <w:rPr>
          <w:rFonts w:ascii="Palatino" w:hAnsi="Palatino" w:cs="Palatino"/>
          <w:color w:val="000000"/>
          <w:sz w:val="20"/>
          <w:szCs w:val="20"/>
        </w:rPr>
        <w:t xml:space="preserve">maintenance of systems to ensure continuing performance is critical. There are two main ways to carry out maintenance: corrective maintenance and preventive maintenance. Corrective Maintenance restores the functions of an item after failure has occurred, or performance fails to meet stated limits. Preventive maintenance may be carried out at planned intervals (Planned Maintenance) or according to condition-based criteria (Condition-Based Maintenance) to reduce the probability of failure or degradation in order to retain the functioning of an item or to detect a hidden fault. </w:t>
      </w:r>
    </w:p>
    <w:p w14:paraId="6C46E845" w14:textId="77777777" w:rsidR="00541A14" w:rsidRDefault="00A450E1">
      <w:pPr>
        <w:pStyle w:val="CM39"/>
        <w:ind w:left="367"/>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774987AA" w14:textId="77777777" w:rsidR="00541A14" w:rsidRDefault="009E3F25">
      <w:pPr>
        <w:pStyle w:val="CM39"/>
        <w:ind w:left="367"/>
        <w:rPr>
          <w:rFonts w:ascii="Palatino" w:hAnsi="Palatino" w:cs="Palatino"/>
          <w:color w:val="000000"/>
          <w:sz w:val="20"/>
          <w:szCs w:val="20"/>
        </w:rPr>
      </w:pPr>
      <w:hyperlink r:id="rId378" w:history="1">
        <w:r w:rsidR="00A450E1">
          <w:rPr>
            <w:rFonts w:ascii="Palatino" w:hAnsi="Palatino" w:cs="Palatino"/>
            <w:i/>
            <w:iCs/>
            <w:color w:val="000000"/>
            <w:sz w:val="20"/>
            <w:szCs w:val="20"/>
          </w:rPr>
          <w:t xml:space="preserve">IALA Guideline 1077 on Maintenance of Aids to Navigation. </w:t>
        </w:r>
      </w:hyperlink>
    </w:p>
    <w:p w14:paraId="5AE67479" w14:textId="77777777" w:rsidR="00541A14" w:rsidRDefault="009E3F25">
      <w:pPr>
        <w:pStyle w:val="CM39"/>
        <w:ind w:left="367"/>
        <w:rPr>
          <w:rFonts w:ascii="Palatino" w:hAnsi="Palatino" w:cs="Palatino"/>
          <w:color w:val="000000"/>
          <w:sz w:val="20"/>
          <w:szCs w:val="20"/>
        </w:rPr>
      </w:pPr>
      <w:hyperlink r:id="rId379" w:history="1">
        <w:r w:rsidR="00A450E1">
          <w:rPr>
            <w:rFonts w:ascii="Palatino" w:hAnsi="Palatino" w:cs="Palatino"/>
            <w:i/>
            <w:iCs/>
            <w:color w:val="000000"/>
            <w:sz w:val="20"/>
            <w:szCs w:val="20"/>
          </w:rPr>
          <w:t xml:space="preserve">IALA Guideline 1052 on Quality Management in Aids to Navigation Service Delivery. </w:t>
        </w:r>
      </w:hyperlink>
    </w:p>
    <w:p w14:paraId="560F3F91" w14:textId="77777777" w:rsidR="00541A14" w:rsidRDefault="009E3F25">
      <w:pPr>
        <w:pStyle w:val="CM180"/>
        <w:spacing w:after="732" w:line="298" w:lineRule="atLeast"/>
        <w:ind w:left="367"/>
        <w:rPr>
          <w:rFonts w:ascii="Palatino" w:hAnsi="Palatino" w:cs="Palatino"/>
          <w:color w:val="000000"/>
          <w:sz w:val="20"/>
          <w:szCs w:val="20"/>
        </w:rPr>
      </w:pPr>
      <w:hyperlink r:id="rId380" w:history="1">
        <w:r w:rsidR="00A450E1">
          <w:rPr>
            <w:rFonts w:ascii="Palatino" w:hAnsi="Palatino" w:cs="Palatino"/>
            <w:i/>
            <w:iCs/>
            <w:color w:val="000000"/>
            <w:sz w:val="20"/>
            <w:szCs w:val="20"/>
          </w:rPr>
          <w:t xml:space="preserve">IALA Guideline 1076 on Building Conditioning of Lighthouses. </w:t>
        </w:r>
      </w:hyperlink>
    </w:p>
    <w:p w14:paraId="22066FF3"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1EA274B4" wp14:editId="5963D07E">
            <wp:extent cx="7542530" cy="420370"/>
            <wp:effectExtent l="0" t="0" r="1270" b="1143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6C0181AF" w14:textId="77777777" w:rsidR="00541A14" w:rsidRDefault="00DD420F">
      <w:pPr>
        <w:pStyle w:val="Default"/>
        <w:pageBreakBefore/>
        <w:framePr w:w="24782" w:wrap="auto" w:vAnchor="page" w:hAnchor="page" w:x="101" w:y="1"/>
        <w:spacing w:after="820"/>
        <w:rPr>
          <w:rFonts w:ascii="Palatino" w:hAnsi="Palatino" w:cs="Palatino"/>
          <w:sz w:val="20"/>
          <w:szCs w:val="20"/>
        </w:rPr>
      </w:pPr>
      <w:r>
        <w:rPr>
          <w:rFonts w:ascii="Palatino" w:hAnsi="Palatino" w:cs="Palatino"/>
          <w:noProof/>
          <w:sz w:val="20"/>
          <w:szCs w:val="20"/>
        </w:rPr>
        <w:drawing>
          <wp:inline distT="0" distB="0" distL="0" distR="0" wp14:anchorId="654246F7" wp14:editId="3AA95FBA">
            <wp:extent cx="7553960" cy="1067435"/>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10D91090"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8.8.2 Improving efficiency </w:t>
      </w:r>
    </w:p>
    <w:p w14:paraId="725D0CB2"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Authorities have been able to achieve significant cost savings by a number of means. </w:t>
      </w:r>
    </w:p>
    <w:p w14:paraId="76BD0531"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Automation </w:t>
      </w:r>
    </w:p>
    <w:p w14:paraId="4C7D24CF"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Automation can reduce the work load for lightkeepers or allow for de-staffing, which reduces: </w:t>
      </w:r>
    </w:p>
    <w:p w14:paraId="77F9E459" w14:textId="77777777" w:rsidR="00541A14" w:rsidRDefault="00A450E1">
      <w:pPr>
        <w:pStyle w:val="Default"/>
        <w:numPr>
          <w:ilvl w:val="0"/>
          <w:numId w:val="181"/>
        </w:numPr>
        <w:rPr>
          <w:rFonts w:ascii="Palatino" w:hAnsi="Palatino" w:cs="Palatino"/>
          <w:sz w:val="20"/>
          <w:szCs w:val="20"/>
        </w:rPr>
      </w:pPr>
      <w:r>
        <w:rPr>
          <w:rFonts w:ascii="Palatino" w:hAnsi="Palatino" w:cs="Palatino"/>
          <w:sz w:val="20"/>
          <w:szCs w:val="20"/>
        </w:rPr>
        <w:t xml:space="preserve">staff costs (payroll); </w:t>
      </w:r>
    </w:p>
    <w:p w14:paraId="48BA31A7" w14:textId="77777777" w:rsidR="00541A14" w:rsidRDefault="00A450E1">
      <w:pPr>
        <w:pStyle w:val="Default"/>
        <w:numPr>
          <w:ilvl w:val="0"/>
          <w:numId w:val="181"/>
        </w:numPr>
        <w:rPr>
          <w:rFonts w:ascii="Palatino" w:hAnsi="Palatino" w:cs="Palatino"/>
          <w:sz w:val="20"/>
          <w:szCs w:val="20"/>
        </w:rPr>
      </w:pPr>
      <w:r>
        <w:rPr>
          <w:rFonts w:ascii="Palatino" w:hAnsi="Palatino" w:cs="Palatino"/>
          <w:sz w:val="20"/>
          <w:szCs w:val="20"/>
        </w:rPr>
        <w:t xml:space="preserve">power consumption; </w:t>
      </w:r>
    </w:p>
    <w:p w14:paraId="2A0FAF4F" w14:textId="77777777" w:rsidR="00541A14" w:rsidRDefault="00A450E1">
      <w:pPr>
        <w:pStyle w:val="Default"/>
        <w:numPr>
          <w:ilvl w:val="0"/>
          <w:numId w:val="181"/>
        </w:numPr>
        <w:rPr>
          <w:rFonts w:ascii="Palatino" w:hAnsi="Palatino" w:cs="Palatino"/>
          <w:sz w:val="20"/>
          <w:szCs w:val="20"/>
        </w:rPr>
      </w:pPr>
      <w:r>
        <w:rPr>
          <w:rFonts w:ascii="Palatino" w:hAnsi="Palatino" w:cs="Palatino"/>
          <w:sz w:val="20"/>
          <w:szCs w:val="20"/>
        </w:rPr>
        <w:t xml:space="preserve">the frequency of stores replenishment; </w:t>
      </w:r>
    </w:p>
    <w:p w14:paraId="36C522CC" w14:textId="77777777" w:rsidR="00541A14" w:rsidRDefault="00A450E1">
      <w:pPr>
        <w:pStyle w:val="Default"/>
        <w:numPr>
          <w:ilvl w:val="0"/>
          <w:numId w:val="181"/>
        </w:numPr>
        <w:rPr>
          <w:rFonts w:ascii="Palatino" w:hAnsi="Palatino" w:cs="Palatino"/>
          <w:sz w:val="20"/>
          <w:szCs w:val="20"/>
        </w:rPr>
      </w:pPr>
      <w:r>
        <w:rPr>
          <w:rFonts w:ascii="Palatino" w:hAnsi="Palatino" w:cs="Palatino"/>
          <w:sz w:val="20"/>
          <w:szCs w:val="20"/>
        </w:rPr>
        <w:t xml:space="preserve">commitments on infrastructure such as houses or accommodation facilities, water and fuel </w:t>
      </w:r>
    </w:p>
    <w:p w14:paraId="43D4AF52" w14:textId="77777777" w:rsidR="00541A14" w:rsidRDefault="00541A14">
      <w:pPr>
        <w:pStyle w:val="Default"/>
        <w:rPr>
          <w:rFonts w:ascii="Palatino" w:hAnsi="Palatino" w:cs="Palatino"/>
          <w:sz w:val="20"/>
          <w:szCs w:val="20"/>
        </w:rPr>
      </w:pPr>
    </w:p>
    <w:p w14:paraId="5156B401" w14:textId="77777777" w:rsidR="00541A14" w:rsidRDefault="00A450E1">
      <w:pPr>
        <w:pStyle w:val="CM165"/>
        <w:spacing w:after="85"/>
        <w:ind w:left="302"/>
        <w:rPr>
          <w:rFonts w:ascii="Palatino" w:hAnsi="Palatino" w:cs="Palatino"/>
          <w:color w:val="000000"/>
          <w:sz w:val="20"/>
          <w:szCs w:val="20"/>
        </w:rPr>
      </w:pPr>
      <w:r>
        <w:rPr>
          <w:rFonts w:ascii="Palatino" w:hAnsi="Palatino" w:cs="Palatino"/>
          <w:color w:val="000000"/>
          <w:sz w:val="20"/>
          <w:szCs w:val="20"/>
        </w:rPr>
        <w:t xml:space="preserve">storage and in some cases jetties and cargo handling equipment; </w:t>
      </w:r>
    </w:p>
    <w:p w14:paraId="064474B1" w14:textId="77777777" w:rsidR="00541A14" w:rsidRDefault="00A450E1">
      <w:pPr>
        <w:pStyle w:val="CM172"/>
        <w:spacing w:after="202"/>
        <w:rPr>
          <w:rFonts w:ascii="Palatino" w:hAnsi="Palatino" w:cs="Palatino"/>
          <w:color w:val="000000"/>
          <w:sz w:val="20"/>
          <w:szCs w:val="20"/>
        </w:rPr>
      </w:pPr>
      <w:r>
        <w:rPr>
          <w:rFonts w:ascii="Palatino" w:hAnsi="Palatino" w:cs="Palatino"/>
          <w:color w:val="000000"/>
          <w:sz w:val="20"/>
          <w:szCs w:val="20"/>
        </w:rPr>
        <w:t xml:space="preserve">• the requirements for station vehicles and equipment. </w:t>
      </w:r>
    </w:p>
    <w:p w14:paraId="0B3D541D" w14:textId="77777777" w:rsidR="00541A14" w:rsidRDefault="00A450E1">
      <w:pPr>
        <w:pStyle w:val="CM165"/>
        <w:spacing w:after="85"/>
        <w:rPr>
          <w:rFonts w:ascii="Futura Book" w:hAnsi="Futura Book" w:cs="Futura Book"/>
          <w:color w:val="2C5062"/>
          <w:sz w:val="20"/>
          <w:szCs w:val="20"/>
        </w:rPr>
      </w:pPr>
      <w:r>
        <w:rPr>
          <w:rFonts w:ascii="Futura Book" w:hAnsi="Futura Book" w:cs="Futura Book"/>
          <w:b/>
          <w:bCs/>
          <w:color w:val="2C5062"/>
          <w:sz w:val="20"/>
          <w:szCs w:val="20"/>
        </w:rPr>
        <w:t xml:space="preserve">Equipment </w:t>
      </w:r>
    </w:p>
    <w:p w14:paraId="4AD09DA6" w14:textId="77777777" w:rsidR="00541A14" w:rsidRDefault="00A450E1">
      <w:pPr>
        <w:pStyle w:val="CM165"/>
        <w:spacing w:after="85" w:line="268" w:lineRule="atLeast"/>
        <w:ind w:right="250"/>
        <w:rPr>
          <w:rFonts w:ascii="Palatino" w:hAnsi="Palatino" w:cs="Palatino"/>
          <w:color w:val="000000"/>
          <w:sz w:val="20"/>
          <w:szCs w:val="20"/>
        </w:rPr>
      </w:pPr>
      <w:r>
        <w:rPr>
          <w:rFonts w:ascii="Palatino" w:hAnsi="Palatino" w:cs="Palatino"/>
          <w:color w:val="000000"/>
          <w:sz w:val="20"/>
          <w:szCs w:val="20"/>
        </w:rPr>
        <w:t xml:space="preserve">It may be possible to use more reliable equipment, better system designs, with “fail safe” or “fail bystages” features coupled with: </w:t>
      </w:r>
    </w:p>
    <w:p w14:paraId="403CBD3A" w14:textId="77777777" w:rsidR="00541A14" w:rsidRDefault="00A450E1">
      <w:pPr>
        <w:pStyle w:val="Default"/>
        <w:numPr>
          <w:ilvl w:val="0"/>
          <w:numId w:val="182"/>
        </w:numPr>
        <w:rPr>
          <w:rFonts w:ascii="Palatino" w:hAnsi="Palatino" w:cs="Palatino"/>
          <w:sz w:val="20"/>
          <w:szCs w:val="20"/>
        </w:rPr>
      </w:pPr>
      <w:r>
        <w:rPr>
          <w:rFonts w:ascii="Palatino" w:hAnsi="Palatino" w:cs="Palatino"/>
          <w:sz w:val="20"/>
          <w:szCs w:val="20"/>
        </w:rPr>
        <w:t xml:space="preserve">longer intervals between maintenance visits; </w:t>
      </w:r>
    </w:p>
    <w:p w14:paraId="75341E54" w14:textId="77777777" w:rsidR="00541A14" w:rsidRDefault="00A450E1">
      <w:pPr>
        <w:pStyle w:val="Default"/>
        <w:numPr>
          <w:ilvl w:val="0"/>
          <w:numId w:val="182"/>
        </w:numPr>
        <w:rPr>
          <w:rFonts w:ascii="Palatino" w:hAnsi="Palatino" w:cs="Palatino"/>
          <w:sz w:val="20"/>
          <w:szCs w:val="20"/>
        </w:rPr>
      </w:pPr>
      <w:r>
        <w:rPr>
          <w:rFonts w:ascii="Palatino" w:hAnsi="Palatino" w:cs="Palatino"/>
          <w:sz w:val="20"/>
          <w:szCs w:val="20"/>
        </w:rPr>
        <w:t xml:space="preserve">a review of maintenance management procedures; </w:t>
      </w:r>
    </w:p>
    <w:p w14:paraId="6B7C688F" w14:textId="77777777" w:rsidR="00541A14" w:rsidRDefault="00541A14">
      <w:pPr>
        <w:pStyle w:val="Default"/>
        <w:rPr>
          <w:rFonts w:ascii="Palatino" w:hAnsi="Palatino" w:cs="Palatino"/>
          <w:sz w:val="20"/>
          <w:szCs w:val="20"/>
        </w:rPr>
      </w:pPr>
    </w:p>
    <w:p w14:paraId="1EC43375" w14:textId="77777777" w:rsidR="00541A14" w:rsidRDefault="00A450E1">
      <w:pPr>
        <w:pStyle w:val="CM165"/>
        <w:spacing w:after="85" w:line="268" w:lineRule="atLeast"/>
        <w:ind w:right="352"/>
        <w:rPr>
          <w:rFonts w:ascii="Palatino" w:hAnsi="Palatino" w:cs="Palatino"/>
          <w:color w:val="000000"/>
          <w:sz w:val="20"/>
          <w:szCs w:val="20"/>
        </w:rPr>
      </w:pPr>
      <w:r>
        <w:rPr>
          <w:rFonts w:ascii="Palatino" w:hAnsi="Palatino" w:cs="Palatino"/>
          <w:color w:val="000000"/>
          <w:sz w:val="20"/>
          <w:szCs w:val="20"/>
        </w:rPr>
        <w:t xml:space="preserve">In addition, it may be possible to use standardised equipment to simplify spare part management.This could also: </w:t>
      </w:r>
    </w:p>
    <w:p w14:paraId="67F6CC91" w14:textId="77777777" w:rsidR="00541A14" w:rsidRDefault="00A450E1">
      <w:pPr>
        <w:pStyle w:val="Default"/>
        <w:numPr>
          <w:ilvl w:val="0"/>
          <w:numId w:val="183"/>
        </w:numPr>
        <w:rPr>
          <w:rFonts w:ascii="Palatino" w:hAnsi="Palatino" w:cs="Palatino"/>
          <w:sz w:val="20"/>
          <w:szCs w:val="20"/>
        </w:rPr>
      </w:pPr>
      <w:r>
        <w:rPr>
          <w:rFonts w:ascii="Palatino" w:hAnsi="Palatino" w:cs="Palatino"/>
          <w:sz w:val="20"/>
          <w:szCs w:val="20"/>
        </w:rPr>
        <w:t xml:space="preserve">benefit the purchasing power of the organisation; </w:t>
      </w:r>
    </w:p>
    <w:p w14:paraId="0212D84E" w14:textId="77777777" w:rsidR="00541A14" w:rsidRDefault="00A450E1">
      <w:pPr>
        <w:pStyle w:val="Default"/>
        <w:numPr>
          <w:ilvl w:val="0"/>
          <w:numId w:val="183"/>
        </w:numPr>
        <w:rPr>
          <w:rFonts w:ascii="Palatino" w:hAnsi="Palatino" w:cs="Palatino"/>
          <w:sz w:val="20"/>
          <w:szCs w:val="20"/>
        </w:rPr>
      </w:pPr>
      <w:r>
        <w:rPr>
          <w:rFonts w:ascii="Palatino" w:hAnsi="Palatino" w:cs="Palatino"/>
          <w:sz w:val="20"/>
          <w:szCs w:val="20"/>
        </w:rPr>
        <w:t xml:space="preserve">reduce the range of skills required by maintenance staff; </w:t>
      </w:r>
    </w:p>
    <w:p w14:paraId="2800E4F4" w14:textId="77777777" w:rsidR="00541A14" w:rsidRDefault="00A450E1">
      <w:pPr>
        <w:pStyle w:val="Default"/>
        <w:numPr>
          <w:ilvl w:val="0"/>
          <w:numId w:val="183"/>
        </w:numPr>
        <w:rPr>
          <w:rFonts w:ascii="Palatino" w:hAnsi="Palatino" w:cs="Palatino"/>
          <w:sz w:val="20"/>
          <w:szCs w:val="20"/>
        </w:rPr>
      </w:pPr>
      <w:r>
        <w:rPr>
          <w:rFonts w:ascii="Palatino" w:hAnsi="Palatino" w:cs="Palatino"/>
          <w:sz w:val="20"/>
          <w:szCs w:val="20"/>
        </w:rPr>
        <w:t xml:space="preserve">give more flexibility on the choice of basic qualification when recruiting maintenance staff; </w:t>
      </w:r>
    </w:p>
    <w:p w14:paraId="455C3C75" w14:textId="77777777" w:rsidR="00541A14" w:rsidRDefault="00A450E1">
      <w:pPr>
        <w:pStyle w:val="Default"/>
        <w:numPr>
          <w:ilvl w:val="0"/>
          <w:numId w:val="183"/>
        </w:numPr>
        <w:rPr>
          <w:rFonts w:ascii="Palatino" w:hAnsi="Palatino" w:cs="Palatino"/>
          <w:sz w:val="20"/>
          <w:szCs w:val="20"/>
        </w:rPr>
      </w:pPr>
      <w:r>
        <w:rPr>
          <w:rFonts w:ascii="Palatino" w:hAnsi="Palatino" w:cs="Palatino"/>
          <w:sz w:val="20"/>
          <w:szCs w:val="20"/>
        </w:rPr>
        <w:t>provide more opportunity to understand the inherent deficiencies in particular pieces of</w:t>
      </w:r>
    </w:p>
    <w:p w14:paraId="7E8840D9" w14:textId="77777777" w:rsidR="00541A14" w:rsidRDefault="00541A14">
      <w:pPr>
        <w:pStyle w:val="Default"/>
        <w:rPr>
          <w:rFonts w:ascii="Palatino" w:hAnsi="Palatino" w:cs="Palatino"/>
          <w:sz w:val="20"/>
          <w:szCs w:val="20"/>
        </w:rPr>
      </w:pPr>
    </w:p>
    <w:p w14:paraId="4C2CB7B2" w14:textId="77777777" w:rsidR="00541A14" w:rsidRDefault="00A450E1">
      <w:pPr>
        <w:pStyle w:val="CM172"/>
        <w:spacing w:after="202" w:line="260" w:lineRule="atLeast"/>
        <w:ind w:left="295"/>
        <w:rPr>
          <w:rFonts w:ascii="Palatino" w:hAnsi="Palatino" w:cs="Palatino"/>
          <w:color w:val="000000"/>
          <w:sz w:val="20"/>
          <w:szCs w:val="20"/>
        </w:rPr>
      </w:pPr>
      <w:r>
        <w:rPr>
          <w:rFonts w:ascii="Palatino" w:hAnsi="Palatino" w:cs="Palatino"/>
          <w:color w:val="000000"/>
          <w:sz w:val="20"/>
          <w:szCs w:val="20"/>
        </w:rPr>
        <w:t xml:space="preserve">equipment and for remedial actions to be implemented. </w:t>
      </w:r>
    </w:p>
    <w:p w14:paraId="6A901309"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Power </w:t>
      </w:r>
    </w:p>
    <w:p w14:paraId="3437254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The conversion of aids to navigation that operate on oil, gas or primary battery to solar power or self-</w:t>
      </w:r>
    </w:p>
    <w:p w14:paraId="429DC29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powered LED lanterns, may provide greater flexibility in scheduling maintenance visits because of the </w:t>
      </w:r>
    </w:p>
    <w:p w14:paraId="393E5A91"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renewable energy source and opportunities for extending maintenance intervals. </w:t>
      </w:r>
    </w:p>
    <w:p w14:paraId="28254C5C"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Fixed vs Floating </w:t>
      </w:r>
    </w:p>
    <w:p w14:paraId="39EF3D8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Depending on location, it may be possible to replace floating aids with fixed structures in waterways</w:t>
      </w:r>
    </w:p>
    <w:p w14:paraId="2A18A1F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of moderate depth; particularly if it also allows a dedicated buoy tender to be replaced by some other</w:t>
      </w:r>
    </w:p>
    <w:p w14:paraId="0E0B2BF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means of transport such as smaller vessel or launch. A whole-of-life cost benefit analysis should be</w:t>
      </w:r>
    </w:p>
    <w:p w14:paraId="5DA39B3E"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carried out to assist in any such decisions. </w:t>
      </w:r>
    </w:p>
    <w:p w14:paraId="68878FE8"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Materials </w:t>
      </w:r>
    </w:p>
    <w:p w14:paraId="33A8B72F"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By introducing low maintenance materials such as high density polyethylene, GRP, stainless steel, etcit may be possible to reduce maintenance requirements and time on site. This may also decrease thenumber of ship-day requirements and reduce the need for construction (or structural maintenance) skills. </w:t>
      </w:r>
    </w:p>
    <w:p w14:paraId="6A88623C"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Remote Monitoring </w:t>
      </w:r>
    </w:p>
    <w:p w14:paraId="0D2D81AD" w14:textId="77777777" w:rsidR="00541A14" w:rsidRDefault="00A450E1">
      <w:pPr>
        <w:pStyle w:val="CM163"/>
        <w:spacing w:after="642" w:line="291" w:lineRule="atLeast"/>
        <w:ind w:right="107"/>
        <w:rPr>
          <w:rFonts w:ascii="Palatino" w:hAnsi="Palatino" w:cs="Palatino"/>
          <w:color w:val="000000"/>
          <w:sz w:val="20"/>
          <w:szCs w:val="20"/>
        </w:rPr>
      </w:pPr>
      <w:r>
        <w:rPr>
          <w:rFonts w:ascii="Palatino" w:hAnsi="Palatino" w:cs="Palatino"/>
          <w:color w:val="000000"/>
          <w:sz w:val="20"/>
          <w:szCs w:val="20"/>
        </w:rPr>
        <w:t xml:space="preserve">Remote monitoring (and control) of distant or isolated aids to navigation can save on the cost of responding to what is later found to be a false outage report. It can also allow for analysis of aids tonavigation systems using risk analysis / risk management techniques that may produce cost savings from a rearrangement and or reduction of the aids to navigation within a nominated area. </w:t>
      </w:r>
    </w:p>
    <w:p w14:paraId="25D47036"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0ECA2EED" wp14:editId="7D76F117">
            <wp:extent cx="7553960" cy="420370"/>
            <wp:effectExtent l="0" t="0" r="0" b="1143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61E1A174" w14:textId="77777777" w:rsidR="00541A14" w:rsidRDefault="00DD420F">
      <w:pPr>
        <w:pStyle w:val="Default"/>
        <w:pageBreakBefore/>
        <w:framePr w:w="12876" w:wrap="auto" w:vAnchor="page" w:hAnchor="page" w:x="101" w:y="1"/>
        <w:spacing w:after="840"/>
        <w:rPr>
          <w:rFonts w:ascii="Palatino" w:hAnsi="Palatino" w:cs="Palatino"/>
          <w:sz w:val="20"/>
          <w:szCs w:val="20"/>
        </w:rPr>
      </w:pPr>
      <w:r>
        <w:rPr>
          <w:rFonts w:ascii="Palatino" w:hAnsi="Palatino" w:cs="Palatino"/>
          <w:noProof/>
          <w:sz w:val="20"/>
          <w:szCs w:val="20"/>
        </w:rPr>
        <w:drawing>
          <wp:inline distT="0" distB="0" distL="0" distR="0" wp14:anchorId="570C0BFF" wp14:editId="04350D3B">
            <wp:extent cx="7553960" cy="1056640"/>
            <wp:effectExtent l="0" t="0" r="0" b="1016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27FBD72D"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8.9 Service Delivery </w:t>
      </w:r>
    </w:p>
    <w:p w14:paraId="037AB2B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Authorities with the responsibility for the provision of aids to navigation are generally at a state or national level. They are usually the sole national regulator of marine aids to navigation infrastructure and services, but are not necessarily the sole provider of these services.  In some countries there is a division of responsibility between the authority representing the national government and other organisations that include: </w:t>
      </w:r>
    </w:p>
    <w:p w14:paraId="1527CAE3" w14:textId="77777777" w:rsidR="00541A14" w:rsidRDefault="00A450E1">
      <w:pPr>
        <w:pStyle w:val="Default"/>
        <w:numPr>
          <w:ilvl w:val="0"/>
          <w:numId w:val="184"/>
        </w:numPr>
        <w:spacing w:after="32"/>
        <w:rPr>
          <w:rFonts w:ascii="Palatino" w:hAnsi="Palatino" w:cs="Palatino"/>
          <w:sz w:val="20"/>
          <w:szCs w:val="20"/>
        </w:rPr>
      </w:pPr>
      <w:r>
        <w:rPr>
          <w:rFonts w:ascii="Palatino" w:hAnsi="Palatino" w:cs="Palatino"/>
          <w:sz w:val="20"/>
          <w:szCs w:val="20"/>
        </w:rPr>
        <w:t xml:space="preserve">state and territorial authorities; </w:t>
      </w:r>
    </w:p>
    <w:p w14:paraId="329F3238" w14:textId="77777777" w:rsidR="00541A14" w:rsidRDefault="00A450E1">
      <w:pPr>
        <w:pStyle w:val="Default"/>
        <w:numPr>
          <w:ilvl w:val="0"/>
          <w:numId w:val="184"/>
        </w:numPr>
        <w:spacing w:after="32"/>
        <w:rPr>
          <w:rFonts w:ascii="Palatino" w:hAnsi="Palatino" w:cs="Palatino"/>
          <w:sz w:val="20"/>
          <w:szCs w:val="20"/>
        </w:rPr>
      </w:pPr>
      <w:r>
        <w:rPr>
          <w:rFonts w:ascii="Palatino" w:hAnsi="Palatino" w:cs="Palatino"/>
          <w:sz w:val="20"/>
          <w:szCs w:val="20"/>
        </w:rPr>
        <w:t xml:space="preserve">local government organisations; </w:t>
      </w:r>
    </w:p>
    <w:p w14:paraId="20565A53" w14:textId="77777777" w:rsidR="00541A14" w:rsidRDefault="00A450E1">
      <w:pPr>
        <w:pStyle w:val="Default"/>
        <w:numPr>
          <w:ilvl w:val="0"/>
          <w:numId w:val="184"/>
        </w:numPr>
        <w:spacing w:after="32"/>
        <w:rPr>
          <w:rFonts w:ascii="Palatino" w:hAnsi="Palatino" w:cs="Palatino"/>
          <w:sz w:val="20"/>
          <w:szCs w:val="20"/>
        </w:rPr>
      </w:pPr>
      <w:r>
        <w:rPr>
          <w:rFonts w:ascii="Palatino" w:hAnsi="Palatino" w:cs="Palatino"/>
          <w:sz w:val="20"/>
          <w:szCs w:val="20"/>
        </w:rPr>
        <w:t xml:space="preserve">port, harbour or waterway authorities, and; </w:t>
      </w:r>
    </w:p>
    <w:p w14:paraId="2BD3DCAC" w14:textId="77777777" w:rsidR="00541A14" w:rsidRDefault="00A450E1">
      <w:pPr>
        <w:pStyle w:val="Default"/>
        <w:numPr>
          <w:ilvl w:val="0"/>
          <w:numId w:val="184"/>
        </w:numPr>
        <w:rPr>
          <w:rFonts w:ascii="Palatino" w:hAnsi="Palatino" w:cs="Palatino"/>
          <w:sz w:val="20"/>
          <w:szCs w:val="20"/>
        </w:rPr>
      </w:pPr>
      <w:r>
        <w:rPr>
          <w:rFonts w:ascii="Palatino" w:hAnsi="Palatino" w:cs="Palatino"/>
          <w:sz w:val="20"/>
          <w:szCs w:val="20"/>
        </w:rPr>
        <w:t xml:space="preserve">local private organisations. </w:t>
      </w:r>
    </w:p>
    <w:p w14:paraId="79C58700" w14:textId="77777777" w:rsidR="00541A14" w:rsidRDefault="00541A14">
      <w:pPr>
        <w:pStyle w:val="Default"/>
        <w:rPr>
          <w:rFonts w:ascii="Palatino" w:hAnsi="Palatino" w:cs="Palatino"/>
          <w:sz w:val="20"/>
          <w:szCs w:val="20"/>
        </w:rPr>
      </w:pPr>
    </w:p>
    <w:p w14:paraId="29D90702" w14:textId="77777777" w:rsidR="00541A14" w:rsidRDefault="00DD420F">
      <w:pPr>
        <w:pStyle w:val="Default"/>
        <w:framePr w:w="9870" w:wrap="auto" w:vAnchor="page" w:hAnchor="page" w:x="1418" w:y="6292"/>
        <w:spacing w:after="60"/>
        <w:rPr>
          <w:rFonts w:ascii="Palatino" w:hAnsi="Palatino" w:cs="Palatino"/>
          <w:sz w:val="20"/>
          <w:szCs w:val="20"/>
        </w:rPr>
      </w:pPr>
      <w:r>
        <w:rPr>
          <w:rFonts w:ascii="Palatino" w:hAnsi="Palatino" w:cs="Palatino"/>
          <w:noProof/>
          <w:sz w:val="20"/>
          <w:szCs w:val="20"/>
        </w:rPr>
        <w:drawing>
          <wp:inline distT="0" distB="0" distL="0" distR="0" wp14:anchorId="024950E0" wp14:editId="51B05CF1">
            <wp:extent cx="5753100" cy="5753100"/>
            <wp:effectExtent l="0" t="0" r="12700" b="1270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5753100" cy="5753100"/>
                    </a:xfrm>
                    <a:prstGeom prst="rect">
                      <a:avLst/>
                    </a:prstGeom>
                    <a:noFill/>
                    <a:ln>
                      <a:noFill/>
                    </a:ln>
                  </pic:spPr>
                </pic:pic>
              </a:graphicData>
            </a:graphic>
          </wp:inline>
        </w:drawing>
      </w:r>
    </w:p>
    <w:p w14:paraId="05EEA2E2" w14:textId="77777777" w:rsidR="00541A14" w:rsidRDefault="00A450E1">
      <w:pPr>
        <w:pStyle w:val="CM163"/>
        <w:spacing w:after="642"/>
        <w:jc w:val="center"/>
        <w:rPr>
          <w:rFonts w:ascii="Palatino" w:hAnsi="Palatino" w:cs="Palatino"/>
          <w:color w:val="000000"/>
          <w:sz w:val="20"/>
          <w:szCs w:val="20"/>
        </w:rPr>
      </w:pPr>
      <w:r>
        <w:rPr>
          <w:rFonts w:ascii="Palatino" w:hAnsi="Palatino" w:cs="Palatino"/>
          <w:i/>
          <w:iCs/>
          <w:color w:val="000000"/>
          <w:sz w:val="20"/>
          <w:szCs w:val="20"/>
        </w:rPr>
        <w:t xml:space="preserve">Photo courtesy of Northern Lighthouse Board (Scotland) </w:t>
      </w:r>
    </w:p>
    <w:p w14:paraId="2EEB72B2"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75EA72E6" wp14:editId="3E46E13C">
            <wp:extent cx="7542530" cy="420370"/>
            <wp:effectExtent l="0" t="0" r="1270" b="1143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199BF227" w14:textId="77777777" w:rsidR="00541A14" w:rsidRDefault="00DD420F">
      <w:pPr>
        <w:pStyle w:val="Default"/>
        <w:pageBreakBefore/>
        <w:framePr w:w="24782" w:wrap="auto" w:vAnchor="page" w:hAnchor="page" w:x="101" w:y="1"/>
        <w:spacing w:after="820"/>
        <w:rPr>
          <w:rFonts w:ascii="Palatino" w:hAnsi="Palatino" w:cs="Palatino"/>
          <w:sz w:val="20"/>
          <w:szCs w:val="20"/>
        </w:rPr>
      </w:pPr>
      <w:r>
        <w:rPr>
          <w:rFonts w:ascii="Palatino" w:hAnsi="Palatino" w:cs="Palatino"/>
          <w:noProof/>
          <w:sz w:val="20"/>
          <w:szCs w:val="20"/>
        </w:rPr>
        <w:drawing>
          <wp:inline distT="0" distB="0" distL="0" distR="0" wp14:anchorId="403B820E" wp14:editId="45F922F6">
            <wp:extent cx="7553960" cy="106743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0EA593B1"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8.9.1 Service Delivery Requirements </w:t>
      </w:r>
    </w:p>
    <w:p w14:paraId="011FB8C2"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The SOLAS Convention applies to a range of vessels, depending on the chapter that is being invoked. For SOLAS Chapter V, Regulation 13 on aids to navigation, the Convention applies to: </w:t>
      </w:r>
    </w:p>
    <w:p w14:paraId="38FF9A95" w14:textId="77777777" w:rsidR="00541A14" w:rsidRDefault="00A450E1">
      <w:pPr>
        <w:pStyle w:val="CM33"/>
        <w:ind w:left="305"/>
        <w:jc w:val="both"/>
        <w:rPr>
          <w:rFonts w:ascii="Palatino" w:hAnsi="Palatino" w:cs="Palatino"/>
          <w:color w:val="000000"/>
          <w:sz w:val="20"/>
          <w:szCs w:val="20"/>
        </w:rPr>
      </w:pPr>
      <w:r>
        <w:rPr>
          <w:rFonts w:ascii="Palatino" w:hAnsi="Palatino" w:cs="Palatino"/>
          <w:i/>
          <w:iCs/>
          <w:color w:val="000000"/>
          <w:sz w:val="20"/>
          <w:szCs w:val="20"/>
        </w:rPr>
        <w:t xml:space="preserve">“…all vessels on all voyages, except: </w:t>
      </w:r>
    </w:p>
    <w:p w14:paraId="40DA1122" w14:textId="77777777" w:rsidR="00541A14" w:rsidRDefault="00A450E1">
      <w:pPr>
        <w:pStyle w:val="CM33"/>
        <w:ind w:left="305"/>
        <w:jc w:val="both"/>
        <w:rPr>
          <w:rFonts w:ascii="Palatino" w:hAnsi="Palatino" w:cs="Palatino"/>
          <w:color w:val="000000"/>
          <w:sz w:val="20"/>
          <w:szCs w:val="20"/>
        </w:rPr>
      </w:pPr>
      <w:r>
        <w:rPr>
          <w:rFonts w:ascii="Palatino" w:hAnsi="Palatino" w:cs="Palatino"/>
          <w:i/>
          <w:iCs/>
          <w:color w:val="000000"/>
          <w:sz w:val="20"/>
          <w:szCs w:val="20"/>
        </w:rPr>
        <w:t>.1 warships, naval auxiliaries and other ships owned or operated by a Contracting Government and</w:t>
      </w:r>
    </w:p>
    <w:p w14:paraId="08D023D7" w14:textId="77777777" w:rsidR="00541A14" w:rsidRDefault="00A450E1">
      <w:pPr>
        <w:pStyle w:val="CM165"/>
        <w:spacing w:after="85" w:line="296" w:lineRule="atLeast"/>
        <w:ind w:left="305"/>
        <w:jc w:val="both"/>
        <w:rPr>
          <w:rFonts w:ascii="Palatino" w:hAnsi="Palatino" w:cs="Palatino"/>
          <w:color w:val="000000"/>
          <w:sz w:val="20"/>
          <w:szCs w:val="20"/>
        </w:rPr>
      </w:pPr>
      <w:r>
        <w:rPr>
          <w:rFonts w:ascii="Palatino" w:hAnsi="Palatino" w:cs="Palatino"/>
          <w:i/>
          <w:iCs/>
          <w:color w:val="000000"/>
          <w:sz w:val="20"/>
          <w:szCs w:val="20"/>
        </w:rPr>
        <w:t xml:space="preserve">used only on government non-commercial services; and </w:t>
      </w:r>
    </w:p>
    <w:p w14:paraId="33FBA475" w14:textId="77777777" w:rsidR="00541A14" w:rsidRDefault="00A450E1">
      <w:pPr>
        <w:pStyle w:val="CM165"/>
        <w:spacing w:after="85" w:line="263" w:lineRule="atLeast"/>
        <w:ind w:left="320" w:right="410"/>
        <w:jc w:val="both"/>
        <w:rPr>
          <w:rFonts w:ascii="Palatino" w:hAnsi="Palatino" w:cs="Palatino"/>
          <w:color w:val="000000"/>
          <w:sz w:val="11"/>
          <w:szCs w:val="11"/>
        </w:rPr>
      </w:pPr>
      <w:r>
        <w:rPr>
          <w:rFonts w:ascii="Palatino" w:hAnsi="Palatino" w:cs="Palatino"/>
          <w:i/>
          <w:iCs/>
          <w:color w:val="000000"/>
          <w:sz w:val="20"/>
          <w:szCs w:val="20"/>
        </w:rPr>
        <w:t>.2 ships solely navigating the Great Lakes of North America and their connecting and tributary watersas far east as the lower exit of the St. Lambert Lock at Montreal in the Province of Quebec, Canada.”</w:t>
      </w:r>
      <w:r>
        <w:rPr>
          <w:rFonts w:ascii="Palatino" w:hAnsi="Palatino" w:cs="Palatino"/>
          <w:i/>
          <w:iCs/>
          <w:color w:val="000000"/>
          <w:position w:val="7"/>
          <w:sz w:val="11"/>
          <w:szCs w:val="11"/>
          <w:vertAlign w:val="superscript"/>
        </w:rPr>
        <w:t xml:space="preserve">52 </w:t>
      </w:r>
    </w:p>
    <w:p w14:paraId="57E0DC91" w14:textId="77777777" w:rsidR="00541A14" w:rsidRDefault="00A450E1">
      <w:pPr>
        <w:pStyle w:val="CM165"/>
        <w:spacing w:after="85" w:line="300" w:lineRule="atLeast"/>
        <w:ind w:right="1002"/>
        <w:jc w:val="both"/>
        <w:rPr>
          <w:rFonts w:ascii="Palatino" w:hAnsi="Palatino" w:cs="Palatino"/>
          <w:color w:val="000000"/>
          <w:sz w:val="20"/>
          <w:szCs w:val="20"/>
        </w:rPr>
      </w:pPr>
      <w:r>
        <w:rPr>
          <w:rFonts w:ascii="Palatino" w:hAnsi="Palatino" w:cs="Palatino"/>
          <w:color w:val="000000"/>
          <w:sz w:val="20"/>
          <w:szCs w:val="20"/>
        </w:rPr>
        <w:t xml:space="preserve">Where more than one local authority provides aids to navigation services, the Contracting Government has ultimate responsibility for obligations under the SOLAS Convention. </w:t>
      </w:r>
    </w:p>
    <w:p w14:paraId="687A8C20"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Aids to navigation may be provided to meet the specific needs of these vessels and it is these that are </w:t>
      </w:r>
    </w:p>
    <w:p w14:paraId="405EA594" w14:textId="77777777" w:rsidR="00541A14" w:rsidRDefault="00A450E1">
      <w:pPr>
        <w:pStyle w:val="CM173"/>
        <w:spacing w:after="340" w:line="296" w:lineRule="atLeast"/>
        <w:jc w:val="both"/>
        <w:rPr>
          <w:rFonts w:ascii="Palatino" w:hAnsi="Palatino" w:cs="Palatino"/>
          <w:color w:val="000000"/>
          <w:sz w:val="20"/>
          <w:szCs w:val="20"/>
        </w:rPr>
      </w:pPr>
      <w:r>
        <w:rPr>
          <w:rFonts w:ascii="Palatino" w:hAnsi="Palatino" w:cs="Palatino"/>
          <w:color w:val="000000"/>
          <w:sz w:val="20"/>
          <w:szCs w:val="20"/>
        </w:rPr>
        <w:t xml:space="preserve">often operated by state, territories and local government organisations or private groups. </w:t>
      </w:r>
    </w:p>
    <w:p w14:paraId="0A030592"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8.9.2 Contracting Out </w:t>
      </w:r>
    </w:p>
    <w:p w14:paraId="30F96D9C" w14:textId="77777777" w:rsidR="00541A14" w:rsidRDefault="00A450E1">
      <w:pPr>
        <w:pStyle w:val="CM165"/>
        <w:spacing w:after="85" w:line="286" w:lineRule="atLeast"/>
        <w:ind w:right="197"/>
        <w:jc w:val="both"/>
        <w:rPr>
          <w:rFonts w:ascii="Palatino" w:hAnsi="Palatino" w:cs="Palatino"/>
          <w:color w:val="000000"/>
          <w:sz w:val="20"/>
          <w:szCs w:val="20"/>
        </w:rPr>
      </w:pPr>
      <w:r>
        <w:rPr>
          <w:rFonts w:ascii="Palatino" w:hAnsi="Palatino" w:cs="Palatino"/>
          <w:color w:val="000000"/>
          <w:sz w:val="20"/>
          <w:szCs w:val="20"/>
        </w:rPr>
        <w:t xml:space="preserve">In many parts of the world governments have been selling off government business activities to the private sector. The motivation for this varies, but includes: </w:t>
      </w:r>
    </w:p>
    <w:p w14:paraId="6BEEBCA8" w14:textId="77777777" w:rsidR="00541A14" w:rsidRDefault="00A450E1">
      <w:pPr>
        <w:pStyle w:val="Default"/>
        <w:numPr>
          <w:ilvl w:val="0"/>
          <w:numId w:val="185"/>
        </w:numPr>
        <w:rPr>
          <w:rFonts w:ascii="Palatino" w:hAnsi="Palatino" w:cs="Palatino"/>
          <w:sz w:val="20"/>
          <w:szCs w:val="20"/>
        </w:rPr>
      </w:pPr>
      <w:r>
        <w:rPr>
          <w:rFonts w:ascii="Palatino" w:hAnsi="Palatino" w:cs="Palatino"/>
          <w:sz w:val="20"/>
          <w:szCs w:val="20"/>
        </w:rPr>
        <w:t xml:space="preserve">adding flexibility to how work is carried out; </w:t>
      </w:r>
    </w:p>
    <w:p w14:paraId="40C861B5" w14:textId="77777777" w:rsidR="00541A14" w:rsidRDefault="00A450E1">
      <w:pPr>
        <w:pStyle w:val="Default"/>
        <w:numPr>
          <w:ilvl w:val="0"/>
          <w:numId w:val="185"/>
        </w:numPr>
        <w:rPr>
          <w:rFonts w:ascii="Palatino" w:hAnsi="Palatino" w:cs="Palatino"/>
          <w:sz w:val="20"/>
          <w:szCs w:val="20"/>
        </w:rPr>
      </w:pPr>
      <w:r>
        <w:rPr>
          <w:rFonts w:ascii="Palatino" w:hAnsi="Palatino" w:cs="Palatino"/>
          <w:sz w:val="20"/>
          <w:szCs w:val="20"/>
        </w:rPr>
        <w:t xml:space="preserve">breaking down entrenched work practices that are perceived to be inefficient; </w:t>
      </w:r>
    </w:p>
    <w:p w14:paraId="62592D26" w14:textId="77777777" w:rsidR="00541A14" w:rsidRDefault="00A450E1">
      <w:pPr>
        <w:pStyle w:val="Default"/>
        <w:numPr>
          <w:ilvl w:val="0"/>
          <w:numId w:val="185"/>
        </w:numPr>
        <w:rPr>
          <w:rFonts w:ascii="Palatino" w:hAnsi="Palatino" w:cs="Palatino"/>
          <w:sz w:val="20"/>
          <w:szCs w:val="20"/>
        </w:rPr>
      </w:pPr>
      <w:r>
        <w:rPr>
          <w:rFonts w:ascii="Palatino" w:hAnsi="Palatino" w:cs="Palatino"/>
          <w:sz w:val="20"/>
          <w:szCs w:val="20"/>
        </w:rPr>
        <w:t xml:space="preserve">accessing a wider range of skills and resources on demand; </w:t>
      </w:r>
    </w:p>
    <w:p w14:paraId="12260730" w14:textId="77777777" w:rsidR="00541A14" w:rsidRDefault="00A450E1">
      <w:pPr>
        <w:pStyle w:val="Default"/>
        <w:numPr>
          <w:ilvl w:val="0"/>
          <w:numId w:val="185"/>
        </w:numPr>
        <w:rPr>
          <w:rFonts w:ascii="Palatino" w:hAnsi="Palatino" w:cs="Palatino"/>
          <w:sz w:val="20"/>
          <w:szCs w:val="20"/>
        </w:rPr>
      </w:pPr>
      <w:r>
        <w:rPr>
          <w:rFonts w:ascii="Palatino" w:hAnsi="Palatino" w:cs="Palatino"/>
          <w:sz w:val="20"/>
          <w:szCs w:val="20"/>
        </w:rPr>
        <w:t xml:space="preserve">recognition that as aids to navigation become more reliable and maintenance intervals are increased, it becomes more difficult to: </w:t>
      </w:r>
    </w:p>
    <w:p w14:paraId="57EE83FE" w14:textId="77777777" w:rsidR="00541A14" w:rsidRDefault="00541A14">
      <w:pPr>
        <w:pStyle w:val="Default"/>
        <w:rPr>
          <w:rFonts w:ascii="Palatino" w:hAnsi="Palatino" w:cs="Palatino"/>
          <w:sz w:val="20"/>
          <w:szCs w:val="20"/>
        </w:rPr>
      </w:pPr>
    </w:p>
    <w:p w14:paraId="744A9304" w14:textId="77777777" w:rsidR="00541A14" w:rsidRDefault="00A450E1">
      <w:pPr>
        <w:pStyle w:val="Default"/>
        <w:numPr>
          <w:ilvl w:val="0"/>
          <w:numId w:val="186"/>
        </w:numPr>
        <w:rPr>
          <w:rFonts w:ascii="Palatino" w:hAnsi="Palatino" w:cs="Palatino"/>
          <w:sz w:val="20"/>
          <w:szCs w:val="20"/>
        </w:rPr>
      </w:pPr>
      <w:r>
        <w:rPr>
          <w:rFonts w:ascii="Palatino" w:hAnsi="Palatino" w:cs="Palatino"/>
          <w:sz w:val="20"/>
          <w:szCs w:val="20"/>
        </w:rPr>
        <w:t xml:space="preserve">justify having permanently staffed maintenance depots; </w:t>
      </w:r>
    </w:p>
    <w:p w14:paraId="6BF7084C" w14:textId="77777777" w:rsidR="00541A14" w:rsidRDefault="00A450E1">
      <w:pPr>
        <w:pStyle w:val="Default"/>
        <w:numPr>
          <w:ilvl w:val="0"/>
          <w:numId w:val="186"/>
        </w:numPr>
        <w:rPr>
          <w:rFonts w:ascii="Palatino" w:hAnsi="Palatino" w:cs="Palatino"/>
          <w:sz w:val="20"/>
          <w:szCs w:val="20"/>
        </w:rPr>
      </w:pPr>
      <w:r>
        <w:rPr>
          <w:rFonts w:ascii="Palatino" w:hAnsi="Palatino" w:cs="Palatino"/>
          <w:sz w:val="20"/>
          <w:szCs w:val="20"/>
        </w:rPr>
        <w:t xml:space="preserve">maintain the currency of work skills; </w:t>
      </w:r>
    </w:p>
    <w:p w14:paraId="7F063195" w14:textId="77777777" w:rsidR="00541A14" w:rsidRDefault="00A450E1">
      <w:pPr>
        <w:pStyle w:val="Default"/>
        <w:numPr>
          <w:ilvl w:val="0"/>
          <w:numId w:val="186"/>
        </w:numPr>
        <w:rPr>
          <w:rFonts w:ascii="Palatino" w:hAnsi="Palatino" w:cs="Palatino"/>
          <w:sz w:val="20"/>
          <w:szCs w:val="20"/>
        </w:rPr>
      </w:pPr>
      <w:r>
        <w:rPr>
          <w:rFonts w:ascii="Palatino" w:hAnsi="Palatino" w:cs="Palatino"/>
          <w:sz w:val="20"/>
          <w:szCs w:val="20"/>
        </w:rPr>
        <w:t xml:space="preserve">using on-call contractors in regional locations to improve fault rectification times through </w:t>
      </w:r>
    </w:p>
    <w:p w14:paraId="2BA92993" w14:textId="77777777" w:rsidR="00541A14" w:rsidRDefault="00541A14">
      <w:pPr>
        <w:pStyle w:val="Default"/>
        <w:rPr>
          <w:rFonts w:ascii="Palatino" w:hAnsi="Palatino" w:cs="Palatino"/>
          <w:sz w:val="20"/>
          <w:szCs w:val="20"/>
        </w:rPr>
      </w:pPr>
    </w:p>
    <w:p w14:paraId="13ACBD67" w14:textId="77777777" w:rsidR="00541A14" w:rsidRDefault="00A450E1">
      <w:pPr>
        <w:pStyle w:val="Default"/>
        <w:spacing w:line="336" w:lineRule="atLeast"/>
        <w:ind w:right="4187" w:firstLine="600"/>
        <w:rPr>
          <w:rFonts w:ascii="Palatino" w:hAnsi="Palatino" w:cs="Palatino"/>
          <w:sz w:val="20"/>
          <w:szCs w:val="20"/>
        </w:rPr>
      </w:pPr>
      <w:r>
        <w:rPr>
          <w:rFonts w:ascii="Palatino" w:hAnsi="Palatino" w:cs="Palatino"/>
          <w:sz w:val="20"/>
          <w:szCs w:val="20"/>
        </w:rPr>
        <w:t xml:space="preserve">reducing the travelling time to the aid. The key elements to success when contracting out are: </w:t>
      </w:r>
    </w:p>
    <w:p w14:paraId="64EAD974" w14:textId="77777777" w:rsidR="00541A14" w:rsidRDefault="00A450E1">
      <w:pPr>
        <w:pStyle w:val="CM169"/>
        <w:spacing w:after="65" w:line="353" w:lineRule="atLeast"/>
        <w:ind w:left="300" w:hanging="300"/>
        <w:jc w:val="both"/>
        <w:rPr>
          <w:rFonts w:ascii="Palatino" w:hAnsi="Palatino" w:cs="Palatino"/>
          <w:color w:val="000000"/>
          <w:sz w:val="20"/>
          <w:szCs w:val="20"/>
        </w:rPr>
      </w:pPr>
      <w:r>
        <w:rPr>
          <w:rFonts w:ascii="Palatino" w:hAnsi="Palatino" w:cs="Palatino"/>
          <w:color w:val="000000"/>
          <w:sz w:val="20"/>
          <w:szCs w:val="20"/>
        </w:rPr>
        <w:t xml:space="preserve">a) to retain sufficient skills within the Authority to understand the functional requirements of the </w:t>
      </w:r>
    </w:p>
    <w:p w14:paraId="20A52A75" w14:textId="77777777" w:rsidR="00541A14" w:rsidRDefault="00A450E1">
      <w:pPr>
        <w:pStyle w:val="CM124"/>
        <w:ind w:left="295"/>
        <w:jc w:val="both"/>
        <w:rPr>
          <w:rFonts w:ascii="Palatino" w:hAnsi="Palatino" w:cs="Palatino"/>
          <w:color w:val="000000"/>
          <w:sz w:val="20"/>
          <w:szCs w:val="20"/>
        </w:rPr>
      </w:pPr>
      <w:r>
        <w:rPr>
          <w:rFonts w:ascii="Palatino" w:hAnsi="Palatino" w:cs="Palatino"/>
          <w:color w:val="000000"/>
          <w:sz w:val="20"/>
          <w:szCs w:val="20"/>
        </w:rPr>
        <w:t xml:space="preserve">aids to navigational network. This includes: </w:t>
      </w:r>
    </w:p>
    <w:p w14:paraId="7B5A92E2" w14:textId="77777777" w:rsidR="00541A14" w:rsidRDefault="00A450E1">
      <w:pPr>
        <w:pStyle w:val="Default"/>
        <w:numPr>
          <w:ilvl w:val="0"/>
          <w:numId w:val="187"/>
        </w:numPr>
        <w:rPr>
          <w:rFonts w:ascii="Palatino" w:hAnsi="Palatino" w:cs="Palatino"/>
          <w:sz w:val="20"/>
          <w:szCs w:val="20"/>
        </w:rPr>
      </w:pPr>
      <w:r>
        <w:rPr>
          <w:rFonts w:ascii="Palatino" w:hAnsi="Palatino" w:cs="Palatino"/>
          <w:sz w:val="20"/>
          <w:szCs w:val="20"/>
        </w:rPr>
        <w:t xml:space="preserve">good contract management skills to handle the day-to-day operational issues; </w:t>
      </w:r>
    </w:p>
    <w:p w14:paraId="5CC1D3C6" w14:textId="77777777" w:rsidR="00541A14" w:rsidRDefault="00A450E1">
      <w:pPr>
        <w:pStyle w:val="Default"/>
        <w:numPr>
          <w:ilvl w:val="0"/>
          <w:numId w:val="187"/>
        </w:numPr>
        <w:rPr>
          <w:rFonts w:ascii="Palatino" w:hAnsi="Palatino" w:cs="Palatino"/>
          <w:sz w:val="20"/>
          <w:szCs w:val="20"/>
        </w:rPr>
      </w:pPr>
      <w:r>
        <w:rPr>
          <w:rFonts w:ascii="Palatino" w:hAnsi="Palatino" w:cs="Palatino"/>
          <w:sz w:val="20"/>
          <w:szCs w:val="20"/>
        </w:rPr>
        <w:t xml:space="preserve">personnel to engage in user consultation and forward planning; </w:t>
      </w:r>
    </w:p>
    <w:p w14:paraId="12E62D85" w14:textId="77777777" w:rsidR="00541A14" w:rsidRDefault="00A450E1">
      <w:pPr>
        <w:pStyle w:val="Default"/>
        <w:numPr>
          <w:ilvl w:val="0"/>
          <w:numId w:val="187"/>
        </w:numPr>
        <w:rPr>
          <w:rFonts w:ascii="Palatino" w:hAnsi="Palatino" w:cs="Palatino"/>
          <w:sz w:val="20"/>
          <w:szCs w:val="20"/>
        </w:rPr>
      </w:pPr>
      <w:r>
        <w:rPr>
          <w:rFonts w:ascii="Palatino" w:hAnsi="Palatino" w:cs="Palatino"/>
          <w:sz w:val="20"/>
          <w:szCs w:val="20"/>
        </w:rPr>
        <w:t xml:space="preserve">the knowledge to act as an “informed purchaser” of services; </w:t>
      </w:r>
    </w:p>
    <w:p w14:paraId="236D11F2" w14:textId="77777777" w:rsidR="00541A14" w:rsidRDefault="00541A14">
      <w:pPr>
        <w:pStyle w:val="Default"/>
        <w:rPr>
          <w:rFonts w:ascii="Palatino" w:hAnsi="Palatino" w:cs="Palatino"/>
          <w:sz w:val="20"/>
          <w:szCs w:val="20"/>
        </w:rPr>
      </w:pPr>
    </w:p>
    <w:p w14:paraId="2A564775" w14:textId="77777777" w:rsidR="00541A14" w:rsidRDefault="00A450E1">
      <w:pPr>
        <w:pStyle w:val="CM13"/>
        <w:jc w:val="both"/>
        <w:rPr>
          <w:rFonts w:ascii="Palatino" w:hAnsi="Palatino" w:cs="Palatino"/>
          <w:color w:val="000000"/>
          <w:sz w:val="20"/>
          <w:szCs w:val="20"/>
        </w:rPr>
      </w:pPr>
      <w:r>
        <w:rPr>
          <w:rFonts w:ascii="Palatino" w:hAnsi="Palatino" w:cs="Palatino"/>
          <w:color w:val="000000"/>
          <w:sz w:val="20"/>
          <w:szCs w:val="20"/>
        </w:rPr>
        <w:t xml:space="preserve">b) to retain control of intellectual property such as: </w:t>
      </w:r>
    </w:p>
    <w:p w14:paraId="4B00257A" w14:textId="77777777" w:rsidR="00541A14" w:rsidRDefault="00A450E1">
      <w:pPr>
        <w:pStyle w:val="CM140"/>
        <w:ind w:left="600" w:hanging="300"/>
        <w:jc w:val="both"/>
        <w:rPr>
          <w:rFonts w:ascii="Palatino" w:hAnsi="Palatino" w:cs="Palatino"/>
          <w:color w:val="000000"/>
          <w:sz w:val="20"/>
          <w:szCs w:val="20"/>
        </w:rPr>
      </w:pPr>
      <w:r>
        <w:rPr>
          <w:rFonts w:ascii="Palatino" w:hAnsi="Palatino" w:cs="Palatino"/>
          <w:color w:val="000000"/>
          <w:sz w:val="20"/>
          <w:szCs w:val="20"/>
        </w:rPr>
        <w:t xml:space="preserve">• original drawings; </w:t>
      </w:r>
    </w:p>
    <w:p w14:paraId="5FAA8838" w14:textId="77777777" w:rsidR="00541A14" w:rsidRDefault="00A450E1">
      <w:pPr>
        <w:pStyle w:val="Default"/>
        <w:numPr>
          <w:ilvl w:val="0"/>
          <w:numId w:val="188"/>
        </w:numPr>
        <w:rPr>
          <w:rFonts w:ascii="Palatino" w:hAnsi="Palatino" w:cs="Palatino"/>
          <w:sz w:val="20"/>
          <w:szCs w:val="20"/>
        </w:rPr>
      </w:pPr>
      <w:r>
        <w:rPr>
          <w:rFonts w:ascii="Palatino" w:hAnsi="Palatino" w:cs="Palatino"/>
          <w:sz w:val="20"/>
          <w:szCs w:val="20"/>
        </w:rPr>
        <w:t xml:space="preserve">documentation covering the design and configuration of individual aids to navigation; </w:t>
      </w:r>
    </w:p>
    <w:p w14:paraId="2C38B073" w14:textId="77777777" w:rsidR="00541A14" w:rsidRDefault="00A450E1">
      <w:pPr>
        <w:pStyle w:val="Default"/>
        <w:numPr>
          <w:ilvl w:val="0"/>
          <w:numId w:val="188"/>
        </w:numPr>
        <w:rPr>
          <w:rFonts w:ascii="Palatino" w:hAnsi="Palatino" w:cs="Palatino"/>
          <w:sz w:val="20"/>
          <w:szCs w:val="20"/>
        </w:rPr>
      </w:pPr>
      <w:r>
        <w:rPr>
          <w:rFonts w:ascii="Palatino" w:hAnsi="Palatino" w:cs="Palatino"/>
          <w:sz w:val="20"/>
          <w:szCs w:val="20"/>
        </w:rPr>
        <w:t xml:space="preserve">a register of assets and spares; </w:t>
      </w:r>
    </w:p>
    <w:p w14:paraId="15D5F908" w14:textId="77777777" w:rsidR="00541A14" w:rsidRDefault="00A450E1">
      <w:pPr>
        <w:pStyle w:val="Default"/>
        <w:numPr>
          <w:ilvl w:val="0"/>
          <w:numId w:val="188"/>
        </w:numPr>
        <w:rPr>
          <w:rFonts w:ascii="Palatino" w:hAnsi="Palatino" w:cs="Palatino"/>
          <w:sz w:val="20"/>
          <w:szCs w:val="20"/>
        </w:rPr>
      </w:pPr>
      <w:r>
        <w:rPr>
          <w:rFonts w:ascii="Palatino" w:hAnsi="Palatino" w:cs="Palatino"/>
          <w:sz w:val="20"/>
          <w:szCs w:val="20"/>
        </w:rPr>
        <w:t xml:space="preserve">defining a set of key performance indicators to measure the performance of the contractor. </w:t>
      </w:r>
    </w:p>
    <w:p w14:paraId="4CBF65CC" w14:textId="77777777" w:rsidR="00541A14" w:rsidRDefault="00541A14">
      <w:pPr>
        <w:pStyle w:val="Default"/>
        <w:rPr>
          <w:rFonts w:ascii="Palatino" w:hAnsi="Palatino" w:cs="Palatino"/>
          <w:sz w:val="20"/>
          <w:szCs w:val="20"/>
        </w:rPr>
      </w:pPr>
    </w:p>
    <w:p w14:paraId="65B11E4C" w14:textId="77777777" w:rsidR="00541A14" w:rsidRDefault="00A450E1">
      <w:pPr>
        <w:pStyle w:val="CM124"/>
        <w:ind w:left="295"/>
        <w:jc w:val="both"/>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56E4259F" w14:textId="77777777" w:rsidR="00541A14" w:rsidRDefault="009E3F25">
      <w:pPr>
        <w:pStyle w:val="CM162"/>
        <w:spacing w:after="552" w:line="336" w:lineRule="atLeast"/>
        <w:ind w:left="295"/>
        <w:jc w:val="both"/>
        <w:rPr>
          <w:rFonts w:ascii="Palatino" w:hAnsi="Palatino" w:cs="Palatino"/>
          <w:color w:val="000000"/>
          <w:sz w:val="20"/>
          <w:szCs w:val="20"/>
        </w:rPr>
      </w:pPr>
      <w:hyperlink r:id="rId385" w:history="1">
        <w:r w:rsidR="00A450E1">
          <w:rPr>
            <w:rFonts w:ascii="Palatino" w:hAnsi="Palatino" w:cs="Palatino"/>
            <w:i/>
            <w:iCs/>
            <w:color w:val="000000"/>
            <w:sz w:val="20"/>
            <w:szCs w:val="20"/>
          </w:rPr>
          <w:t xml:space="preserve">IALA Guideline 1005 on Contracting Out Aids to Navigation Services. </w:t>
        </w:r>
      </w:hyperlink>
    </w:p>
    <w:p w14:paraId="098420B4" w14:textId="77777777" w:rsidR="00541A14" w:rsidRDefault="00A450E1">
      <w:pPr>
        <w:pStyle w:val="CM163"/>
        <w:spacing w:after="642"/>
        <w:rPr>
          <w:rFonts w:ascii="Palatino" w:hAnsi="Palatino" w:cs="Palatino"/>
          <w:color w:val="000000"/>
          <w:sz w:val="20"/>
          <w:szCs w:val="20"/>
        </w:rPr>
      </w:pPr>
      <w:r>
        <w:rPr>
          <w:rFonts w:ascii="Palatino" w:hAnsi="Palatino" w:cs="Palatino"/>
          <w:color w:val="000000"/>
          <w:position w:val="6"/>
          <w:sz w:val="20"/>
          <w:szCs w:val="20"/>
          <w:vertAlign w:val="superscript"/>
        </w:rPr>
        <w:t>52</w:t>
      </w:r>
      <w:r>
        <w:rPr>
          <w:rFonts w:ascii="Palatino" w:hAnsi="Palatino" w:cs="Palatino"/>
          <w:color w:val="000000"/>
          <w:sz w:val="20"/>
          <w:szCs w:val="20"/>
        </w:rPr>
        <w:t xml:space="preserve">SOLAS, Chapter V, Regulation 1 refers. </w:t>
      </w:r>
    </w:p>
    <w:p w14:paraId="2CE747FF"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01BF02F9" wp14:editId="17E1C880">
            <wp:extent cx="7553960" cy="420370"/>
            <wp:effectExtent l="0" t="0" r="0" b="1143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3FC1DABA" w14:textId="77777777" w:rsidR="00541A14" w:rsidRDefault="00DD420F">
      <w:pPr>
        <w:pStyle w:val="Default"/>
        <w:pageBreakBefore/>
        <w:framePr w:w="12876" w:wrap="auto" w:vAnchor="page" w:hAnchor="page" w:x="101" w:y="1"/>
        <w:spacing w:after="820"/>
        <w:rPr>
          <w:rFonts w:ascii="Palatino" w:hAnsi="Palatino" w:cs="Palatino"/>
          <w:sz w:val="20"/>
          <w:szCs w:val="20"/>
        </w:rPr>
      </w:pPr>
      <w:r>
        <w:rPr>
          <w:rFonts w:ascii="Palatino" w:hAnsi="Palatino" w:cs="Palatino"/>
          <w:noProof/>
          <w:sz w:val="20"/>
          <w:szCs w:val="20"/>
        </w:rPr>
        <w:drawing>
          <wp:inline distT="0" distB="0" distL="0" distR="0" wp14:anchorId="4BD59943" wp14:editId="5C658A1C">
            <wp:extent cx="7553960" cy="1056640"/>
            <wp:effectExtent l="0" t="0" r="0" b="1016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0AF0EA4A"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8.10 Environment </w:t>
      </w:r>
    </w:p>
    <w:p w14:paraId="5758CEC1" w14:textId="77777777" w:rsidR="00541A14" w:rsidRDefault="00A450E1">
      <w:pPr>
        <w:pStyle w:val="CM16"/>
        <w:ind w:right="327"/>
        <w:rPr>
          <w:rFonts w:ascii="Palatino" w:hAnsi="Palatino" w:cs="Palatino"/>
          <w:color w:val="000000"/>
          <w:sz w:val="20"/>
          <w:szCs w:val="20"/>
        </w:rPr>
      </w:pPr>
      <w:r>
        <w:rPr>
          <w:rFonts w:ascii="Palatino" w:hAnsi="Palatino" w:cs="Palatino"/>
          <w:color w:val="000000"/>
          <w:sz w:val="20"/>
          <w:szCs w:val="20"/>
        </w:rPr>
        <w:t xml:space="preserve">Aids to Navigation (AtoN) play a critical role in protecting the environment by preventing maritime disasters that could have potentially catastrophic ecological consequences at sea and on shore.  </w:t>
      </w:r>
    </w:p>
    <w:p w14:paraId="0500B2F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However, the AtoN equipment and activities themselves can create significant environmental damage </w:t>
      </w:r>
    </w:p>
    <w:p w14:paraId="06DE299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through pollution, waste generation, and the disruption of ecosystems.  It is essential to minimize </w:t>
      </w:r>
    </w:p>
    <w:p w14:paraId="13EF1FE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these negative impacts so that the benefits of AtoN are not outweighed by unintended harm to the </w:t>
      </w:r>
    </w:p>
    <w:p w14:paraId="57A7159D"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environment, and to eliminate the potential for pollution and waste of the Earth’s limited resources. </w:t>
      </w:r>
    </w:p>
    <w:p w14:paraId="3FF5132F"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37EDC22C" w14:textId="77777777" w:rsidR="00541A14" w:rsidRDefault="009E3F25">
      <w:pPr>
        <w:pStyle w:val="CM173"/>
        <w:spacing w:after="340" w:line="293" w:lineRule="atLeast"/>
        <w:ind w:left="300"/>
        <w:rPr>
          <w:rFonts w:ascii="Palatino" w:hAnsi="Palatino" w:cs="Palatino"/>
          <w:color w:val="000000"/>
          <w:sz w:val="20"/>
          <w:szCs w:val="20"/>
        </w:rPr>
      </w:pPr>
      <w:hyperlink r:id="rId387" w:history="1">
        <w:r w:rsidR="00A450E1">
          <w:rPr>
            <w:rFonts w:ascii="Palatino" w:hAnsi="Palatino" w:cs="Palatino"/>
            <w:i/>
            <w:iCs/>
            <w:color w:val="000000"/>
            <w:sz w:val="20"/>
            <w:szCs w:val="20"/>
          </w:rPr>
          <w:t xml:space="preserve">IALA Guideline 1036 on Environmental Considerations in Aids to Navigation Engineering. </w:t>
        </w:r>
      </w:hyperlink>
    </w:p>
    <w:p w14:paraId="373EF27E" w14:textId="77777777" w:rsidR="00541A14" w:rsidRDefault="00A450E1">
      <w:pPr>
        <w:pStyle w:val="CM172"/>
        <w:spacing w:after="202"/>
        <w:rPr>
          <w:rFonts w:ascii="Futura Book" w:hAnsi="Futura Book" w:cs="Futura Book"/>
          <w:color w:val="2C5062"/>
          <w:sz w:val="22"/>
          <w:szCs w:val="22"/>
        </w:rPr>
      </w:pPr>
      <w:r>
        <w:rPr>
          <w:rFonts w:ascii="Futura Book" w:hAnsi="Futura Book" w:cs="Futura Book"/>
          <w:b/>
          <w:bCs/>
          <w:color w:val="2C5062"/>
          <w:sz w:val="22"/>
          <w:szCs w:val="22"/>
        </w:rPr>
        <w:t xml:space="preserve">8.10.1 Hazardous Materials </w:t>
      </w:r>
    </w:p>
    <w:p w14:paraId="04E9A3D1" w14:textId="77777777" w:rsidR="00541A14" w:rsidRDefault="00A450E1">
      <w:pPr>
        <w:pStyle w:val="CM165"/>
        <w:spacing w:after="85" w:line="291" w:lineRule="atLeast"/>
        <w:rPr>
          <w:rFonts w:ascii="Futura Book" w:hAnsi="Futura Book" w:cs="Futura Book"/>
          <w:color w:val="2C5062"/>
          <w:sz w:val="20"/>
          <w:szCs w:val="20"/>
        </w:rPr>
      </w:pPr>
      <w:r>
        <w:rPr>
          <w:rFonts w:ascii="Futura Book" w:hAnsi="Futura Book" w:cs="Futura Book"/>
          <w:b/>
          <w:bCs/>
          <w:color w:val="2C5062"/>
          <w:sz w:val="20"/>
          <w:szCs w:val="20"/>
        </w:rPr>
        <w:t xml:space="preserve">Mercury </w:t>
      </w:r>
    </w:p>
    <w:p w14:paraId="123E4CD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 number of historic lighthouses still utilise rotating glass lenses and mercury float pedestals.  This </w:t>
      </w:r>
    </w:p>
    <w:p w14:paraId="7B1590C4"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was a clever method for providing a heavy lens with an almost frictionless bearing so that it could be turned by a clockwork mechanism. However, given the toxic and corrosive properties of mercury, the following information may assist Competent Authorities to implement appropriate safety procedures. </w:t>
      </w:r>
    </w:p>
    <w:p w14:paraId="055F9AC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The mercury float pedestal for a first-order rotating lens</w:t>
      </w:r>
      <w:r>
        <w:rPr>
          <w:rFonts w:ascii="Palatino" w:hAnsi="Palatino" w:cs="Palatino"/>
          <w:color w:val="000000"/>
          <w:position w:val="7"/>
          <w:sz w:val="11"/>
          <w:szCs w:val="11"/>
          <w:vertAlign w:val="superscript"/>
        </w:rPr>
        <w:t>53</w:t>
      </w:r>
      <w:r>
        <w:rPr>
          <w:rFonts w:ascii="Palatino" w:hAnsi="Palatino" w:cs="Palatino"/>
          <w:color w:val="000000"/>
          <w:sz w:val="20"/>
          <w:szCs w:val="20"/>
        </w:rPr>
        <w:t xml:space="preserve"> contains about 13 litres of mercury.  Quantities of mercury may also be found in the electrical slip-ring units in rotating lamp array lighting equipment, some tilt-action switches, high current contact breakers, manometers and thermometers. </w:t>
      </w:r>
    </w:p>
    <w:p w14:paraId="3FC27E05"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Physical Properties </w:t>
      </w:r>
    </w:p>
    <w:p w14:paraId="23694D9A"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Mercury is a heavy metal that has the unusual property of remaining liquid at normal temperatures (above – 38 degC ). </w:t>
      </w:r>
    </w:p>
    <w:p w14:paraId="19D2C0E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spill Risk </w:t>
      </w:r>
    </w:p>
    <w:p w14:paraId="453E002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mercury in a lighthouse optic system does not present a significant hazard, unless personnel </w:t>
      </w:r>
    </w:p>
    <w:p w14:paraId="7697D903"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come into contact with “uncontained” mercury as a result of accidental spills.  Such events are usually the result of a mishap during maintenance work, or as a result of a natural disaster such as an earth tremor that displaces mercury from its containment bath. </w:t>
      </w:r>
    </w:p>
    <w:p w14:paraId="3A6D3EE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If spilt, the mercury can enter cracks in floors, and is readily absorbed into porous surfaces such as </w:t>
      </w:r>
    </w:p>
    <w:p w14:paraId="0C13E73D"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concrete, masonry and timber.  When broken into small globules or droplets, the surface area and vaporisation rate rises rapidly.  Minute droplets will adhere readily to dust and can form particles that can be inhaled. </w:t>
      </w:r>
    </w:p>
    <w:p w14:paraId="729ABA2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Mercury is a corrosive substance if it comes into contact with metals such as zinc and aluminium. </w:t>
      </w:r>
    </w:p>
    <w:p w14:paraId="34E4E78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Occupational Hazard </w:t>
      </w:r>
    </w:p>
    <w:p w14:paraId="4C91F84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occupational hazard associated with mercury relates to: </w:t>
      </w:r>
    </w:p>
    <w:p w14:paraId="16EED9BF" w14:textId="77777777" w:rsidR="00541A14" w:rsidRDefault="00A450E1">
      <w:pPr>
        <w:pStyle w:val="CM163"/>
        <w:spacing w:after="642" w:line="298" w:lineRule="atLeast"/>
        <w:ind w:left="300" w:right="557" w:hanging="300"/>
        <w:rPr>
          <w:rFonts w:ascii="Palatino" w:hAnsi="Palatino" w:cs="Palatino"/>
          <w:color w:val="000000"/>
          <w:sz w:val="20"/>
          <w:szCs w:val="20"/>
        </w:rPr>
      </w:pPr>
      <w:r>
        <w:rPr>
          <w:rFonts w:ascii="Palatino" w:hAnsi="Palatino" w:cs="Palatino"/>
          <w:color w:val="000000"/>
          <w:sz w:val="20"/>
          <w:szCs w:val="20"/>
        </w:rPr>
        <w:t xml:space="preserve">• Vapour inhalation: Some vaporization from a free mercury surface will occur at normal room temperature and this is the most likely first contact that lighthouse personnel will have with </w:t>
      </w:r>
    </w:p>
    <w:p w14:paraId="642423F7" w14:textId="77777777" w:rsidR="00541A14" w:rsidRDefault="00A450E1">
      <w:pPr>
        <w:pStyle w:val="CM163"/>
        <w:spacing w:after="642"/>
        <w:jc w:val="center"/>
        <w:rPr>
          <w:rFonts w:ascii="Palatino" w:hAnsi="Palatino" w:cs="Palatino"/>
          <w:color w:val="000000"/>
          <w:sz w:val="20"/>
          <w:szCs w:val="20"/>
        </w:rPr>
      </w:pPr>
      <w:r>
        <w:rPr>
          <w:rFonts w:ascii="Palatino" w:hAnsi="Palatino" w:cs="Palatino"/>
          <w:color w:val="000000"/>
          <w:position w:val="6"/>
          <w:sz w:val="20"/>
          <w:szCs w:val="20"/>
          <w:vertAlign w:val="superscript"/>
        </w:rPr>
        <w:t>53</w:t>
      </w:r>
      <w:r>
        <w:rPr>
          <w:rFonts w:ascii="Palatino" w:hAnsi="Palatino" w:cs="Palatino"/>
          <w:color w:val="000000"/>
          <w:sz w:val="20"/>
          <w:szCs w:val="20"/>
        </w:rPr>
        <w:t xml:space="preserve">The quantity of mercury used in higher order optics is shown in Section 8.11.1. </w:t>
      </w:r>
    </w:p>
    <w:p w14:paraId="5984A1AE"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3E704E28" wp14:editId="75732347">
            <wp:extent cx="7542530" cy="420370"/>
            <wp:effectExtent l="0" t="0" r="1270" b="1143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503B8014" w14:textId="77777777" w:rsidR="00541A14" w:rsidRDefault="00DD420F">
      <w:pPr>
        <w:pStyle w:val="Default"/>
        <w:pageBreakBefore/>
        <w:framePr w:w="24782" w:wrap="auto" w:vAnchor="page" w:hAnchor="page" w:x="101" w:y="1"/>
        <w:spacing w:after="820"/>
        <w:rPr>
          <w:rFonts w:ascii="Palatino" w:hAnsi="Palatino" w:cs="Palatino"/>
          <w:sz w:val="20"/>
          <w:szCs w:val="20"/>
        </w:rPr>
      </w:pPr>
      <w:r>
        <w:rPr>
          <w:rFonts w:ascii="Palatino" w:hAnsi="Palatino" w:cs="Palatino"/>
          <w:noProof/>
          <w:sz w:val="20"/>
          <w:szCs w:val="20"/>
        </w:rPr>
        <w:drawing>
          <wp:inline distT="0" distB="0" distL="0" distR="0" wp14:anchorId="5D1D5753" wp14:editId="49ABE0CC">
            <wp:extent cx="7553960" cy="106743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15AD6060" w14:textId="77777777" w:rsidR="00541A14" w:rsidRDefault="00A450E1">
      <w:pPr>
        <w:pStyle w:val="CM165"/>
        <w:spacing w:after="85" w:line="286" w:lineRule="atLeast"/>
        <w:ind w:left="300" w:right="95"/>
        <w:rPr>
          <w:rFonts w:ascii="Palatino" w:hAnsi="Palatino" w:cs="Palatino"/>
          <w:color w:val="000000"/>
          <w:sz w:val="20"/>
          <w:szCs w:val="20"/>
        </w:rPr>
      </w:pPr>
      <w:r>
        <w:rPr>
          <w:rFonts w:ascii="Palatino" w:hAnsi="Palatino" w:cs="Palatino"/>
          <w:color w:val="000000"/>
          <w:sz w:val="20"/>
          <w:szCs w:val="20"/>
        </w:rPr>
        <w:t xml:space="preserve">mercury. Unless the mercury vapour levels have been measured, personnel are unlikely to be aware of the hazard. If the work-space around lighthouse equipment containing mercury is not well ventilated, the concentration levels can rise above recommended limits and there is potential for mercury poisoning: </w:t>
      </w:r>
    </w:p>
    <w:p w14:paraId="375705F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mercury vapour is heavier than air and in still air will tend to concentrate in low parts of the work</w:t>
      </w:r>
      <w:r>
        <w:rPr>
          <w:rFonts w:ascii="Palatino" w:hAnsi="Palatino" w:cs="Palatino"/>
          <w:color w:val="000000"/>
          <w:sz w:val="20"/>
          <w:szCs w:val="20"/>
        </w:rPr>
        <w:softHyphen/>
      </w:r>
    </w:p>
    <w:p w14:paraId="208B9178"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space. Well designed ventilation will allow such concentrations to disperse. </w:t>
      </w:r>
    </w:p>
    <w:p w14:paraId="255874CC" w14:textId="77777777" w:rsidR="00541A14" w:rsidRDefault="00A450E1">
      <w:pPr>
        <w:pStyle w:val="Default"/>
        <w:numPr>
          <w:ilvl w:val="0"/>
          <w:numId w:val="189"/>
        </w:numPr>
        <w:spacing w:after="32"/>
        <w:rPr>
          <w:rFonts w:ascii="Palatino" w:hAnsi="Palatino" w:cs="Palatino"/>
          <w:sz w:val="20"/>
          <w:szCs w:val="20"/>
        </w:rPr>
      </w:pPr>
      <w:r>
        <w:rPr>
          <w:rFonts w:ascii="Palatino" w:hAnsi="Palatino" w:cs="Palatino"/>
          <w:sz w:val="20"/>
          <w:szCs w:val="20"/>
        </w:rPr>
        <w:t xml:space="preserve">Ingestion: can lead to acute mercurial poisoning; </w:t>
      </w:r>
    </w:p>
    <w:p w14:paraId="4D858588" w14:textId="77777777" w:rsidR="00541A14" w:rsidRDefault="00A450E1">
      <w:pPr>
        <w:pStyle w:val="Default"/>
        <w:numPr>
          <w:ilvl w:val="0"/>
          <w:numId w:val="189"/>
        </w:numPr>
        <w:rPr>
          <w:rFonts w:ascii="Palatino" w:hAnsi="Palatino" w:cs="Palatino"/>
          <w:sz w:val="20"/>
          <w:szCs w:val="20"/>
        </w:rPr>
      </w:pPr>
      <w:r>
        <w:rPr>
          <w:rFonts w:ascii="Palatino" w:hAnsi="Palatino" w:cs="Palatino"/>
          <w:sz w:val="20"/>
          <w:szCs w:val="20"/>
        </w:rPr>
        <w:t xml:space="preserve">Absorption through the skin: mercury is not easily absorbed through the skin. </w:t>
      </w:r>
    </w:p>
    <w:p w14:paraId="1660A0EE" w14:textId="77777777" w:rsidR="00541A14" w:rsidRDefault="00541A14">
      <w:pPr>
        <w:pStyle w:val="Default"/>
        <w:rPr>
          <w:rFonts w:ascii="Palatino" w:hAnsi="Palatino" w:cs="Palatino"/>
          <w:sz w:val="20"/>
          <w:szCs w:val="20"/>
        </w:rPr>
      </w:pPr>
    </w:p>
    <w:p w14:paraId="140A7ADE"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Precautions </w:t>
      </w:r>
    </w:p>
    <w:p w14:paraId="71185729"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It is essential for the Authority to have detailed and strictly managed working procedures for all personnel working with, or in close proximity to mercury. </w:t>
      </w:r>
    </w:p>
    <w:p w14:paraId="4DD4A8C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Staff must be trained in these work procedures and regularly medically monitored to ensure that they do not become contaminated with mercury. </w:t>
      </w:r>
    </w:p>
    <w:p w14:paraId="725C58F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working procedures must follow national health and safety regulations and should be written by </w:t>
      </w:r>
    </w:p>
    <w:p w14:paraId="5BCE318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an expert in this field. </w:t>
      </w:r>
    </w:p>
    <w:p w14:paraId="104E152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For work on optics the procedure will cover emptying, cleaning and re-filling the optic bath. Clean-up </w:t>
      </w:r>
    </w:p>
    <w:p w14:paraId="1E8F4E18" w14:textId="77777777" w:rsidR="00541A14" w:rsidRDefault="00A450E1">
      <w:pPr>
        <w:pStyle w:val="CM165"/>
        <w:spacing w:after="85" w:line="293" w:lineRule="atLeast"/>
        <w:ind w:right="177"/>
        <w:rPr>
          <w:rFonts w:ascii="Palatino" w:hAnsi="Palatino" w:cs="Palatino"/>
          <w:color w:val="000000"/>
          <w:sz w:val="20"/>
          <w:szCs w:val="20"/>
        </w:rPr>
      </w:pPr>
      <w:r>
        <w:rPr>
          <w:rFonts w:ascii="Palatino" w:hAnsi="Palatino" w:cs="Palatino"/>
          <w:color w:val="000000"/>
          <w:sz w:val="20"/>
          <w:szCs w:val="20"/>
        </w:rPr>
        <w:t xml:space="preserve">procedures will detail methods to recover all visible particles of mercury and the use of chemicals to neutralise smaller spills. </w:t>
      </w:r>
    </w:p>
    <w:p w14:paraId="7AB3B40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Personal protective equipment must be supplied that is specifically designed for use with mercury. </w:t>
      </w:r>
    </w:p>
    <w:p w14:paraId="5B0E4B0E"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This will include overalls, gloves, overshoes, respirator and eye protection. Procedures for the safe storage and disposal of this equipment must be in place. </w:t>
      </w:r>
    </w:p>
    <w:p w14:paraId="4E62421C" w14:textId="77777777" w:rsidR="00541A14" w:rsidRDefault="00A450E1">
      <w:pPr>
        <w:pStyle w:val="CM172"/>
        <w:spacing w:after="202" w:line="293" w:lineRule="atLeast"/>
        <w:ind w:right="245"/>
        <w:rPr>
          <w:rFonts w:ascii="Palatino" w:hAnsi="Palatino" w:cs="Palatino"/>
          <w:color w:val="000000"/>
          <w:sz w:val="20"/>
          <w:szCs w:val="20"/>
        </w:rPr>
      </w:pPr>
      <w:r>
        <w:rPr>
          <w:rFonts w:ascii="Palatino" w:hAnsi="Palatino" w:cs="Palatino"/>
          <w:color w:val="000000"/>
          <w:sz w:val="20"/>
          <w:szCs w:val="20"/>
        </w:rPr>
        <w:t xml:space="preserve">A mercury vapour meter must be available to monitor the working environment and procedures in place for regular testing and calibration. </w:t>
      </w:r>
    </w:p>
    <w:p w14:paraId="2A8F06D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Consignment </w:t>
      </w:r>
    </w:p>
    <w:p w14:paraId="4C061157" w14:textId="77777777" w:rsidR="00541A14" w:rsidRDefault="00A450E1">
      <w:pPr>
        <w:pStyle w:val="CM172"/>
        <w:spacing w:after="202" w:line="291" w:lineRule="atLeast"/>
        <w:ind w:right="107"/>
        <w:rPr>
          <w:rFonts w:ascii="Palatino" w:hAnsi="Palatino" w:cs="Palatino"/>
          <w:color w:val="000000"/>
          <w:sz w:val="20"/>
          <w:szCs w:val="20"/>
        </w:rPr>
      </w:pPr>
      <w:r>
        <w:rPr>
          <w:rFonts w:ascii="Palatino" w:hAnsi="Palatino" w:cs="Palatino"/>
          <w:color w:val="000000"/>
          <w:sz w:val="20"/>
          <w:szCs w:val="20"/>
        </w:rPr>
        <w:t xml:space="preserve">Mercury is a hazardous substance and the relevant national and international regulations must be followed with regard to the type of container to be used, the packaging of this container for transport and the marking of this packaging. </w:t>
      </w:r>
    </w:p>
    <w:p w14:paraId="1FD40907" w14:textId="77777777" w:rsidR="00541A14" w:rsidRDefault="00A450E1">
      <w:pPr>
        <w:pStyle w:val="CM173"/>
        <w:spacing w:after="340" w:line="260" w:lineRule="atLeast"/>
        <w:ind w:left="295"/>
        <w:rPr>
          <w:rFonts w:ascii="Palatino" w:hAnsi="Palatino" w:cs="Palatino"/>
          <w:color w:val="000000"/>
          <w:sz w:val="20"/>
          <w:szCs w:val="20"/>
        </w:rPr>
      </w:pPr>
      <w:r>
        <w:rPr>
          <w:rFonts w:ascii="Palatino" w:hAnsi="Palatino" w:cs="Palatino"/>
          <w:b/>
          <w:bCs/>
          <w:color w:val="000000"/>
          <w:sz w:val="20"/>
          <w:szCs w:val="20"/>
        </w:rPr>
        <w:t>Note</w:t>
      </w:r>
      <w:r>
        <w:rPr>
          <w:rFonts w:ascii="Palatino" w:hAnsi="Palatino" w:cs="Palatino"/>
          <w:color w:val="000000"/>
          <w:sz w:val="20"/>
          <w:szCs w:val="20"/>
        </w:rPr>
        <w:t xml:space="preserve">: Both IMO and the International Air Transport Association (IATA) have regulationscovering the transportation of mercury. </w:t>
      </w:r>
    </w:p>
    <w:p w14:paraId="246B23E4" w14:textId="77777777" w:rsidR="00541A14" w:rsidRDefault="00A450E1">
      <w:pPr>
        <w:pStyle w:val="CM165"/>
        <w:spacing w:after="85" w:line="251" w:lineRule="atLeast"/>
        <w:rPr>
          <w:rFonts w:ascii="Futura Book" w:hAnsi="Futura Book" w:cs="Futura Book"/>
          <w:color w:val="2C5062"/>
          <w:sz w:val="20"/>
          <w:szCs w:val="20"/>
        </w:rPr>
      </w:pPr>
      <w:r>
        <w:rPr>
          <w:rFonts w:ascii="Futura Book" w:hAnsi="Futura Book" w:cs="Futura Book"/>
          <w:b/>
          <w:bCs/>
          <w:color w:val="2C5062"/>
          <w:sz w:val="20"/>
          <w:szCs w:val="20"/>
        </w:rPr>
        <w:t xml:space="preserve">Paints </w:t>
      </w:r>
    </w:p>
    <w:p w14:paraId="3D4CAD35" w14:textId="77777777" w:rsidR="00541A14" w:rsidRDefault="00A450E1">
      <w:pPr>
        <w:pStyle w:val="CM36"/>
        <w:rPr>
          <w:rFonts w:ascii="Palatino" w:hAnsi="Palatino" w:cs="Palatino"/>
          <w:color w:val="000000"/>
          <w:sz w:val="20"/>
          <w:szCs w:val="20"/>
        </w:rPr>
      </w:pPr>
      <w:r>
        <w:rPr>
          <w:rFonts w:ascii="Palatino" w:hAnsi="Palatino" w:cs="Palatino"/>
          <w:color w:val="000000"/>
          <w:sz w:val="20"/>
          <w:szCs w:val="20"/>
        </w:rPr>
        <w:t xml:space="preserve">Aids to Navigation authorities use a significant quantity and variety of paints and related surfacing </w:t>
      </w:r>
    </w:p>
    <w:p w14:paraId="419D99C1" w14:textId="77777777" w:rsidR="00541A14" w:rsidRDefault="00A450E1">
      <w:pPr>
        <w:pStyle w:val="CM16"/>
        <w:ind w:right="327"/>
        <w:rPr>
          <w:rFonts w:ascii="Palatino" w:hAnsi="Palatino" w:cs="Palatino"/>
          <w:color w:val="000000"/>
          <w:sz w:val="20"/>
          <w:szCs w:val="20"/>
        </w:rPr>
      </w:pPr>
      <w:r>
        <w:rPr>
          <w:rFonts w:ascii="Palatino" w:hAnsi="Palatino" w:cs="Palatino"/>
          <w:color w:val="000000"/>
          <w:sz w:val="20"/>
          <w:szCs w:val="20"/>
        </w:rPr>
        <w:t xml:space="preserve">materials. There is potential for hazardous situations to arise and for environmental pollution. For example: </w:t>
      </w:r>
    </w:p>
    <w:p w14:paraId="5620503D" w14:textId="77777777" w:rsidR="00541A14" w:rsidRDefault="00A450E1">
      <w:pPr>
        <w:pStyle w:val="Default"/>
        <w:numPr>
          <w:ilvl w:val="0"/>
          <w:numId w:val="190"/>
        </w:numPr>
        <w:rPr>
          <w:rFonts w:ascii="Palatino" w:hAnsi="Palatino" w:cs="Palatino"/>
          <w:sz w:val="20"/>
          <w:szCs w:val="20"/>
        </w:rPr>
      </w:pPr>
      <w:r>
        <w:rPr>
          <w:rFonts w:ascii="Palatino" w:hAnsi="Palatino" w:cs="Palatino"/>
          <w:sz w:val="20"/>
          <w:szCs w:val="20"/>
        </w:rPr>
        <w:t xml:space="preserve">storage of inflammable paints and solvents; </w:t>
      </w:r>
    </w:p>
    <w:p w14:paraId="30B306CF" w14:textId="77777777" w:rsidR="00541A14" w:rsidRDefault="00A450E1">
      <w:pPr>
        <w:pStyle w:val="Default"/>
        <w:numPr>
          <w:ilvl w:val="0"/>
          <w:numId w:val="190"/>
        </w:numPr>
        <w:rPr>
          <w:rFonts w:ascii="Palatino" w:hAnsi="Palatino" w:cs="Palatino"/>
          <w:sz w:val="20"/>
          <w:szCs w:val="20"/>
        </w:rPr>
      </w:pPr>
      <w:r>
        <w:rPr>
          <w:rFonts w:ascii="Palatino" w:hAnsi="Palatino" w:cs="Palatino"/>
          <w:sz w:val="20"/>
          <w:szCs w:val="20"/>
        </w:rPr>
        <w:t xml:space="preserve">during surface preparation and removal of paint prior to repainting; </w:t>
      </w:r>
    </w:p>
    <w:p w14:paraId="5F18F416" w14:textId="77777777" w:rsidR="00541A14" w:rsidRDefault="00A450E1">
      <w:pPr>
        <w:pStyle w:val="Default"/>
        <w:numPr>
          <w:ilvl w:val="0"/>
          <w:numId w:val="190"/>
        </w:numPr>
        <w:rPr>
          <w:rFonts w:ascii="Palatino" w:hAnsi="Palatino" w:cs="Palatino"/>
          <w:sz w:val="20"/>
          <w:szCs w:val="20"/>
        </w:rPr>
      </w:pPr>
      <w:r>
        <w:rPr>
          <w:rFonts w:ascii="Palatino" w:hAnsi="Palatino" w:cs="Palatino"/>
          <w:sz w:val="20"/>
          <w:szCs w:val="20"/>
        </w:rPr>
        <w:t xml:space="preserve">contact with vapours and solvents during application; </w:t>
      </w:r>
    </w:p>
    <w:p w14:paraId="5B58D55E" w14:textId="77777777" w:rsidR="00541A14" w:rsidRDefault="00A450E1">
      <w:pPr>
        <w:pStyle w:val="Default"/>
        <w:numPr>
          <w:ilvl w:val="0"/>
          <w:numId w:val="190"/>
        </w:numPr>
        <w:rPr>
          <w:rFonts w:ascii="Palatino" w:hAnsi="Palatino" w:cs="Palatino"/>
          <w:sz w:val="20"/>
          <w:szCs w:val="20"/>
        </w:rPr>
      </w:pPr>
      <w:r>
        <w:rPr>
          <w:rFonts w:ascii="Palatino" w:hAnsi="Palatino" w:cs="Palatino"/>
          <w:sz w:val="20"/>
          <w:szCs w:val="20"/>
        </w:rPr>
        <w:t xml:space="preserve">clean-up and waste disposal. </w:t>
      </w:r>
    </w:p>
    <w:p w14:paraId="79FE6E22" w14:textId="77777777" w:rsidR="00541A14" w:rsidRDefault="00541A14">
      <w:pPr>
        <w:pStyle w:val="Default"/>
        <w:rPr>
          <w:rFonts w:ascii="Palatino" w:hAnsi="Palatino" w:cs="Palatino"/>
          <w:sz w:val="20"/>
          <w:szCs w:val="20"/>
        </w:rPr>
      </w:pPr>
    </w:p>
    <w:p w14:paraId="30D3F947" w14:textId="77777777" w:rsidR="00541A14" w:rsidRDefault="00DD420F">
      <w:pPr>
        <w:pStyle w:val="Default"/>
        <w:framePr w:w="10730" w:wrap="auto" w:vAnchor="page" w:hAnchor="page" w:x="608" w:y="16277"/>
        <w:rPr>
          <w:rFonts w:ascii="Palatino" w:hAnsi="Palatino" w:cs="Palatino"/>
          <w:sz w:val="20"/>
          <w:szCs w:val="20"/>
        </w:rPr>
      </w:pPr>
      <w:r>
        <w:rPr>
          <w:rFonts w:ascii="Palatino" w:hAnsi="Palatino" w:cs="Palatino"/>
          <w:noProof/>
          <w:sz w:val="20"/>
          <w:szCs w:val="20"/>
        </w:rPr>
        <w:drawing>
          <wp:inline distT="0" distB="0" distL="0" distR="0" wp14:anchorId="61DBBD30" wp14:editId="45F5B46D">
            <wp:extent cx="7553960" cy="420370"/>
            <wp:effectExtent l="0" t="0" r="0" b="1143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4F0ED410" w14:textId="77777777" w:rsidR="00541A14" w:rsidRDefault="00DD420F">
      <w:pPr>
        <w:pStyle w:val="Default"/>
        <w:pageBreakBefore/>
        <w:framePr w:w="12876" w:wrap="auto" w:vAnchor="page" w:hAnchor="page" w:x="101" w:y="6376"/>
        <w:spacing w:after="120"/>
        <w:rPr>
          <w:rFonts w:ascii="Palatino" w:hAnsi="Palatino" w:cs="Palatino"/>
          <w:sz w:val="20"/>
          <w:szCs w:val="20"/>
        </w:rPr>
      </w:pPr>
      <w:r>
        <w:rPr>
          <w:rFonts w:ascii="Palatino" w:hAnsi="Palatino" w:cs="Palatino"/>
          <w:noProof/>
          <w:sz w:val="20"/>
          <w:szCs w:val="20"/>
        </w:rPr>
        <w:drawing>
          <wp:inline distT="0" distB="0" distL="0" distR="0" wp14:anchorId="7E179934" wp14:editId="6A5D5766">
            <wp:extent cx="7553960" cy="5321935"/>
            <wp:effectExtent l="0" t="0" r="0" b="1206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7553960" cy="5321935"/>
                    </a:xfrm>
                    <a:prstGeom prst="rect">
                      <a:avLst/>
                    </a:prstGeom>
                    <a:noFill/>
                    <a:ln>
                      <a:noFill/>
                    </a:ln>
                  </pic:spPr>
                </pic:pic>
              </a:graphicData>
            </a:graphic>
          </wp:inline>
        </w:drawing>
      </w:r>
    </w:p>
    <w:p w14:paraId="06EA374B" w14:textId="77777777" w:rsidR="00541A14" w:rsidRDefault="00A450E1">
      <w:pPr>
        <w:pStyle w:val="CM197"/>
        <w:spacing w:after="390"/>
        <w:jc w:val="center"/>
        <w:rPr>
          <w:rFonts w:ascii="Palatino" w:hAnsi="Palatino" w:cs="Palatino"/>
          <w:color w:val="000000"/>
          <w:sz w:val="20"/>
          <w:szCs w:val="20"/>
        </w:rPr>
      </w:pPr>
      <w:r>
        <w:rPr>
          <w:rFonts w:ascii="Palatino" w:hAnsi="Palatino" w:cs="Palatino"/>
          <w:i/>
          <w:iCs/>
          <w:color w:val="000000"/>
          <w:sz w:val="20"/>
          <w:szCs w:val="20"/>
        </w:rPr>
        <w:t xml:space="preserve">Photo courtesy of Instituto Hydrografico (Portugal) </w:t>
      </w:r>
    </w:p>
    <w:p w14:paraId="6257E4AD" w14:textId="77777777" w:rsidR="00541A14" w:rsidRDefault="00A450E1">
      <w:pPr>
        <w:pStyle w:val="CM165"/>
        <w:spacing w:after="85"/>
        <w:rPr>
          <w:rFonts w:ascii="Palatino" w:hAnsi="Palatino" w:cs="Palatino"/>
          <w:color w:val="000000"/>
          <w:sz w:val="20"/>
          <w:szCs w:val="20"/>
        </w:rPr>
      </w:pPr>
      <w:r>
        <w:rPr>
          <w:rFonts w:ascii="Palatino" w:hAnsi="Palatino" w:cs="Palatino"/>
          <w:b/>
          <w:bCs/>
          <w:color w:val="000000"/>
          <w:sz w:val="20"/>
          <w:szCs w:val="20"/>
        </w:rPr>
        <w:t xml:space="preserve">lead </w:t>
      </w:r>
    </w:p>
    <w:p w14:paraId="60ECB609"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Lead based paints have been widely used in the past, but are now restricted or prohibited in some countries. Authorities maintaining older lighthouses are likely to be faced, at some stage, with having to remove lead based paint and disposing of the waste. </w:t>
      </w:r>
    </w:p>
    <w:p w14:paraId="74105467" w14:textId="77777777" w:rsidR="00541A14" w:rsidRDefault="00A450E1">
      <w:pPr>
        <w:pStyle w:val="CM165"/>
        <w:spacing w:after="85" w:line="291" w:lineRule="atLeast"/>
        <w:ind w:right="897"/>
        <w:rPr>
          <w:rFonts w:ascii="Palatino" w:hAnsi="Palatino" w:cs="Palatino"/>
          <w:color w:val="000000"/>
          <w:sz w:val="20"/>
          <w:szCs w:val="20"/>
        </w:rPr>
      </w:pPr>
      <w:r>
        <w:rPr>
          <w:rFonts w:ascii="Palatino" w:hAnsi="Palatino" w:cs="Palatino"/>
          <w:color w:val="000000"/>
          <w:sz w:val="20"/>
          <w:szCs w:val="20"/>
        </w:rPr>
        <w:t xml:space="preserve">Members are encouraged to assess the risks and to adopt appropriate measures to safeguard maintenance personnel and the environment.  </w:t>
      </w:r>
    </w:p>
    <w:p w14:paraId="3182EB2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b/>
          <w:bCs/>
          <w:color w:val="000000"/>
          <w:sz w:val="20"/>
          <w:szCs w:val="20"/>
        </w:rPr>
        <w:t xml:space="preserve">Antifouling Coatings </w:t>
      </w:r>
    </w:p>
    <w:p w14:paraId="06841B3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Antifouling paints contain biocides and are applied to vessels and floating aids to navigation to reduce </w:t>
      </w:r>
    </w:p>
    <w:p w14:paraId="151439D0"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accumulation of marine organisms.  </w:t>
      </w:r>
    </w:p>
    <w:p w14:paraId="43FAA293"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For service vessels the antifouling paint assists to minimise fuel consumption. </w:t>
      </w:r>
    </w:p>
    <w:p w14:paraId="013BBC38"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On buoys and lightvessels the build-up of marine growth is not particularly detrimental.  In view of the concentration of these types of aids to navigation in port approaches and internal waterways, less toxic paint systems may be preferred to minimise environmental pollution. </w:t>
      </w:r>
    </w:p>
    <w:p w14:paraId="6BB06983" w14:textId="77777777" w:rsidR="00541A14" w:rsidRDefault="00A450E1">
      <w:pPr>
        <w:pStyle w:val="CM204"/>
        <w:spacing w:after="1725" w:line="291" w:lineRule="atLeast"/>
        <w:rPr>
          <w:rFonts w:ascii="Palatino" w:hAnsi="Palatino" w:cs="Palatino"/>
          <w:color w:val="000000"/>
          <w:sz w:val="20"/>
          <w:szCs w:val="20"/>
        </w:rPr>
      </w:pPr>
      <w:r>
        <w:rPr>
          <w:rFonts w:ascii="Palatino" w:hAnsi="Palatino" w:cs="Palatino"/>
          <w:color w:val="000000"/>
          <w:sz w:val="20"/>
          <w:szCs w:val="20"/>
        </w:rPr>
        <w:t xml:space="preserve">A particular group of antifouling paints using Tributyltin (TBT) has been banned from use. For further information, consult the International Convention on the Control of Harmful Antifouling Systems on Ships, published by the International Maritime Organization (IMO). </w:t>
      </w:r>
    </w:p>
    <w:p w14:paraId="69CCB722" w14:textId="77777777" w:rsidR="00541A14" w:rsidRDefault="00DD420F">
      <w:pPr>
        <w:pStyle w:val="Default"/>
        <w:framePr w:w="10739" w:wrap="auto" w:vAnchor="page" w:hAnchor="page" w:x="1434" w:y="16277"/>
        <w:rPr>
          <w:rFonts w:ascii="Palatino" w:hAnsi="Palatino" w:cs="Palatino"/>
          <w:sz w:val="20"/>
          <w:szCs w:val="20"/>
        </w:rPr>
      </w:pPr>
      <w:r>
        <w:rPr>
          <w:rFonts w:ascii="Palatino" w:hAnsi="Palatino" w:cs="Palatino"/>
          <w:noProof/>
          <w:sz w:val="20"/>
          <w:szCs w:val="20"/>
        </w:rPr>
        <w:drawing>
          <wp:inline distT="0" distB="0" distL="0" distR="0" wp14:anchorId="19EED978" wp14:editId="7B199C45">
            <wp:extent cx="7542530" cy="420370"/>
            <wp:effectExtent l="0" t="0" r="1270" b="1143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6D9A71FC" w14:textId="77777777" w:rsidR="00541A14" w:rsidRDefault="00DD420F">
      <w:pPr>
        <w:pStyle w:val="Default"/>
        <w:pageBreakBefore/>
        <w:framePr w:w="24782" w:wrap="auto" w:vAnchor="page" w:hAnchor="page" w:x="101" w:y="1"/>
        <w:spacing w:after="800"/>
        <w:rPr>
          <w:rFonts w:ascii="Palatino" w:hAnsi="Palatino" w:cs="Palatino"/>
          <w:sz w:val="20"/>
          <w:szCs w:val="20"/>
        </w:rPr>
      </w:pPr>
      <w:r>
        <w:rPr>
          <w:rFonts w:ascii="Palatino" w:hAnsi="Palatino" w:cs="Palatino"/>
          <w:noProof/>
          <w:sz w:val="20"/>
          <w:szCs w:val="20"/>
        </w:rPr>
        <w:drawing>
          <wp:inline distT="0" distB="0" distL="0" distR="0" wp14:anchorId="208CEE71" wp14:editId="59A423C4">
            <wp:extent cx="7553960" cy="106743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5913BA32"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8.11 Preservation of Historic Aids to Navigation </w:t>
      </w:r>
    </w:p>
    <w:p w14:paraId="64DAEE7F"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Many lighthouse authorities are still responsible for the management and maintenance of historic lighthouse structures and their associated aids to navigation equipment. The IALA Advisory Panel on the Preservation of Lighthouses, Aids to Navigation, and Related Equipment of Historic Interest (PHL) was established by the IALA Council in 1996 in response to membership interest in the heritage value of lighthouses. In 2002, this Panel became part of the IALA Committee on Engineering, Environment, and Preservation (EEP). Objectives: </w:t>
      </w:r>
    </w:p>
    <w:p w14:paraId="3DFC7247"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to encourage deeper commitment by members to </w:t>
      </w:r>
    </w:p>
    <w:p w14:paraId="18B8D61A"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preserve historic values; </w:t>
      </w:r>
    </w:p>
    <w:p w14:paraId="05FA61C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to encourage member countries to see the preservation </w:t>
      </w:r>
    </w:p>
    <w:p w14:paraId="71863AA7"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of their own lighthouses in an international context; </w:t>
      </w:r>
    </w:p>
    <w:p w14:paraId="4585025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to share information on the subject between both </w:t>
      </w:r>
    </w:p>
    <w:p w14:paraId="1AB6BBC3"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members and non-members, with particular attention being given to the complementary use of lighthouses; </w:t>
      </w:r>
    </w:p>
    <w:p w14:paraId="6F4DF59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to research and document strategies on the </w:t>
      </w:r>
    </w:p>
    <w:p w14:paraId="1CD476B5" w14:textId="77777777" w:rsidR="00541A14" w:rsidRDefault="00A450E1">
      <w:pPr>
        <w:pStyle w:val="CM172"/>
        <w:spacing w:after="202" w:line="293" w:lineRule="atLeast"/>
        <w:ind w:left="300"/>
        <w:rPr>
          <w:rFonts w:ascii="Palatino" w:hAnsi="Palatino" w:cs="Palatino"/>
          <w:color w:val="000000"/>
          <w:sz w:val="20"/>
          <w:szCs w:val="20"/>
        </w:rPr>
      </w:pPr>
      <w:r>
        <w:rPr>
          <w:rFonts w:ascii="Palatino" w:hAnsi="Palatino" w:cs="Palatino"/>
          <w:color w:val="000000"/>
          <w:sz w:val="20"/>
          <w:szCs w:val="20"/>
        </w:rPr>
        <w:t xml:space="preserve">conservation of historic lighthouses, particularly in relation to changes in technology and working practices. </w:t>
      </w:r>
    </w:p>
    <w:p w14:paraId="1DDABC2C"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Examples of work accomplished to date: </w:t>
      </w:r>
    </w:p>
    <w:p w14:paraId="6B71A33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the creation of the format for an IALA database for </w:t>
      </w:r>
    </w:p>
    <w:p w14:paraId="018FA73D"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recording details of historic lighthouses; </w:t>
      </w:r>
    </w:p>
    <w:p w14:paraId="7F0F876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 book, titled “Lighthouses of the World” was </w:t>
      </w:r>
    </w:p>
    <w:p w14:paraId="11CB709D"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published in 1998 with English, French, German and Spanish versions, featuring over 180 historic lighthouses from around the world; </w:t>
      </w:r>
    </w:p>
    <w:p w14:paraId="44ABFA6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 Workshop in Kristiansand, Norway on “The </w:t>
      </w:r>
    </w:p>
    <w:p w14:paraId="14B1D9D9"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Alternative Use of Historic Lighthouses in 2000; </w:t>
      </w:r>
    </w:p>
    <w:p w14:paraId="05FF158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 Seminar on the “Practical Aspects of Lighthouse </w:t>
      </w:r>
    </w:p>
    <w:p w14:paraId="25EA9326"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Preservation” in 2005 in Gothenburg, Sweden; </w:t>
      </w:r>
    </w:p>
    <w:p w14:paraId="331BD2E0"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the IALA Conservation Manual was published in 2006 </w:t>
      </w:r>
    </w:p>
    <w:p w14:paraId="4D75AC72"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to provide guidance to members on many aspects of Historic Lighthouses Conservation; </w:t>
      </w:r>
    </w:p>
    <w:p w14:paraId="36657FC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 seminar on the “Heritage Issues of Introducing New </w:t>
      </w:r>
    </w:p>
    <w:p w14:paraId="6EE40AD9"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Technologies in Aids to Navigation” in Santander, Spain in 2009. </w:t>
      </w:r>
    </w:p>
    <w:p w14:paraId="3D8115F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purpose of the Working Group was reaffirmed in the </w:t>
      </w:r>
    </w:p>
    <w:p w14:paraId="1C33F381" w14:textId="77777777" w:rsidR="00541A14" w:rsidRDefault="00A450E1">
      <w:pPr>
        <w:pStyle w:val="CM165"/>
        <w:spacing w:after="85" w:line="280" w:lineRule="atLeast"/>
        <w:ind w:right="4080"/>
        <w:rPr>
          <w:rFonts w:ascii="Palatino" w:hAnsi="Palatino" w:cs="Palatino"/>
          <w:color w:val="000000"/>
          <w:sz w:val="20"/>
          <w:szCs w:val="20"/>
        </w:rPr>
      </w:pPr>
      <w:r>
        <w:rPr>
          <w:rFonts w:ascii="Palatino" w:hAnsi="Palatino" w:cs="Palatino"/>
          <w:color w:val="000000"/>
          <w:sz w:val="20"/>
          <w:szCs w:val="20"/>
        </w:rPr>
        <w:t xml:space="preserve">Conclusions of the XV1th IALA Conference in Shanghai, China in 2006 as follows: </w:t>
      </w:r>
    </w:p>
    <w:p w14:paraId="101168BE"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IALA should continue to play a role in the conservation </w:t>
      </w:r>
    </w:p>
    <w:p w14:paraId="06EC0271" w14:textId="77777777" w:rsidR="00541A14" w:rsidRDefault="00A450E1">
      <w:pPr>
        <w:pStyle w:val="CM162"/>
        <w:spacing w:after="552" w:line="293" w:lineRule="atLeast"/>
        <w:ind w:left="300"/>
        <w:rPr>
          <w:rFonts w:ascii="Palatino" w:hAnsi="Palatino" w:cs="Palatino"/>
          <w:color w:val="000000"/>
          <w:sz w:val="20"/>
          <w:szCs w:val="20"/>
        </w:rPr>
      </w:pPr>
      <w:r>
        <w:rPr>
          <w:rFonts w:ascii="Palatino" w:hAnsi="Palatino" w:cs="Palatino"/>
          <w:color w:val="000000"/>
          <w:sz w:val="20"/>
          <w:szCs w:val="20"/>
        </w:rPr>
        <w:t xml:space="preserve">of historic lighthouses, associated aids to navigation and equipment; </w:t>
      </w:r>
    </w:p>
    <w:p w14:paraId="27264C1E" w14:textId="77777777" w:rsidR="00541A14" w:rsidRDefault="00A450E1">
      <w:pPr>
        <w:pStyle w:val="Default"/>
        <w:jc w:val="center"/>
        <w:rPr>
          <w:sz w:val="20"/>
          <w:szCs w:val="20"/>
        </w:rPr>
      </w:pPr>
      <w:r>
        <w:rPr>
          <w:sz w:val="20"/>
          <w:szCs w:val="20"/>
        </w:rPr>
        <w:t>Photo courtesy of</w:t>
      </w:r>
    </w:p>
    <w:p w14:paraId="0342F50B" w14:textId="77777777" w:rsidR="00541A14" w:rsidRDefault="00A450E1">
      <w:pPr>
        <w:pStyle w:val="Default"/>
        <w:spacing w:after="540"/>
        <w:jc w:val="center"/>
        <w:rPr>
          <w:sz w:val="20"/>
          <w:szCs w:val="20"/>
        </w:rPr>
      </w:pPr>
      <w:r>
        <w:rPr>
          <w:sz w:val="20"/>
          <w:szCs w:val="20"/>
        </w:rPr>
        <w:t xml:space="preserve">Instituto Hydrografico (Portugal) </w:t>
      </w:r>
    </w:p>
    <w:p w14:paraId="3ABF47D1" w14:textId="77777777" w:rsidR="00541A14" w:rsidRDefault="00DD420F">
      <w:pPr>
        <w:pStyle w:val="Default"/>
        <w:framePr w:w="4399" w:wrap="auto" w:vAnchor="page" w:hAnchor="page" w:x="6889" w:y="5008"/>
        <w:spacing w:after="540"/>
        <w:rPr>
          <w:sz w:val="20"/>
          <w:szCs w:val="20"/>
        </w:rPr>
      </w:pPr>
      <w:r>
        <w:rPr>
          <w:noProof/>
          <w:sz w:val="20"/>
          <w:szCs w:val="20"/>
        </w:rPr>
        <w:drawing>
          <wp:inline distT="0" distB="0" distL="0" distR="0" wp14:anchorId="08FCF152" wp14:editId="6AC28578">
            <wp:extent cx="2288540" cy="343027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288540" cy="3430270"/>
                    </a:xfrm>
                    <a:prstGeom prst="rect">
                      <a:avLst/>
                    </a:prstGeom>
                    <a:noFill/>
                    <a:ln>
                      <a:noFill/>
                    </a:ln>
                  </pic:spPr>
                </pic:pic>
              </a:graphicData>
            </a:graphic>
          </wp:inline>
        </w:drawing>
      </w:r>
    </w:p>
    <w:p w14:paraId="5732E5D5" w14:textId="77777777" w:rsidR="00541A14" w:rsidRDefault="00A450E1">
      <w:pPr>
        <w:pStyle w:val="Default"/>
        <w:spacing w:after="832"/>
        <w:jc w:val="center"/>
        <w:rPr>
          <w:sz w:val="20"/>
          <w:szCs w:val="20"/>
        </w:rPr>
      </w:pPr>
      <w:r>
        <w:rPr>
          <w:sz w:val="20"/>
          <w:szCs w:val="20"/>
        </w:rPr>
        <w:t xml:space="preserve">Photo courtesy of IALA </w:t>
      </w:r>
    </w:p>
    <w:p w14:paraId="56A8031B" w14:textId="77777777" w:rsidR="00541A14" w:rsidRDefault="00DD420F">
      <w:pPr>
        <w:pStyle w:val="Default"/>
        <w:framePr w:w="4414" w:wrap="auto" w:vAnchor="page" w:hAnchor="page" w:x="6874" w:y="10797"/>
        <w:spacing w:after="840"/>
        <w:rPr>
          <w:sz w:val="20"/>
          <w:szCs w:val="20"/>
        </w:rPr>
      </w:pPr>
      <w:r>
        <w:rPr>
          <w:noProof/>
          <w:sz w:val="20"/>
          <w:szCs w:val="20"/>
        </w:rPr>
        <w:drawing>
          <wp:inline distT="0" distB="0" distL="0" distR="0" wp14:anchorId="43872CA7" wp14:editId="33C8D743">
            <wp:extent cx="2272030" cy="294767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272030" cy="2947670"/>
                    </a:xfrm>
                    <a:prstGeom prst="rect">
                      <a:avLst/>
                    </a:prstGeom>
                    <a:noFill/>
                    <a:ln>
                      <a:noFill/>
                    </a:ln>
                  </pic:spPr>
                </pic:pic>
              </a:graphicData>
            </a:graphic>
          </wp:inline>
        </w:drawing>
      </w:r>
    </w:p>
    <w:p w14:paraId="068BFDC6" w14:textId="77777777" w:rsidR="00541A14" w:rsidRDefault="00DD420F">
      <w:pPr>
        <w:pStyle w:val="Default"/>
        <w:framePr w:w="10730" w:wrap="auto" w:vAnchor="page" w:hAnchor="page" w:x="608" w:y="16278"/>
        <w:rPr>
          <w:sz w:val="20"/>
          <w:szCs w:val="20"/>
        </w:rPr>
      </w:pPr>
      <w:r>
        <w:rPr>
          <w:noProof/>
          <w:sz w:val="20"/>
          <w:szCs w:val="20"/>
        </w:rPr>
        <w:drawing>
          <wp:inline distT="0" distB="0" distL="0" distR="0" wp14:anchorId="3AF701F4" wp14:editId="3112B499">
            <wp:extent cx="7553960" cy="420370"/>
            <wp:effectExtent l="0" t="0" r="0" b="1143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43935C09" w14:textId="77777777" w:rsidR="00541A14" w:rsidRDefault="00DD420F">
      <w:pPr>
        <w:pStyle w:val="Default"/>
        <w:pageBreakBefore/>
        <w:framePr w:w="12876" w:wrap="auto" w:vAnchor="page" w:hAnchor="page" w:x="101" w:y="1"/>
        <w:spacing w:after="880"/>
        <w:rPr>
          <w:sz w:val="20"/>
          <w:szCs w:val="20"/>
        </w:rPr>
      </w:pPr>
      <w:r>
        <w:rPr>
          <w:noProof/>
          <w:sz w:val="20"/>
          <w:szCs w:val="20"/>
        </w:rPr>
        <w:drawing>
          <wp:inline distT="0" distB="0" distL="0" distR="0" wp14:anchorId="35A72BF2" wp14:editId="694DBF00">
            <wp:extent cx="7553960" cy="1056640"/>
            <wp:effectExtent l="0" t="0" r="0" b="1016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073EAD93" w14:textId="77777777" w:rsidR="00541A14" w:rsidRDefault="00A450E1">
      <w:pPr>
        <w:pStyle w:val="CM165"/>
        <w:spacing w:after="85"/>
        <w:rPr>
          <w:rFonts w:ascii="Palatino" w:hAnsi="Palatino" w:cs="Palatino"/>
          <w:color w:val="000000"/>
          <w:sz w:val="20"/>
          <w:szCs w:val="20"/>
        </w:rPr>
      </w:pPr>
      <w:r>
        <w:rPr>
          <w:rFonts w:ascii="Palatino" w:hAnsi="Palatino" w:cs="Palatino"/>
          <w:color w:val="000000"/>
          <w:sz w:val="20"/>
          <w:szCs w:val="20"/>
        </w:rPr>
        <w:t xml:space="preserve">• regarding the conservation of historic lighthouses, IALA should continue to: </w:t>
      </w:r>
    </w:p>
    <w:p w14:paraId="0A958DE3" w14:textId="77777777" w:rsidR="00541A14" w:rsidRDefault="00A450E1">
      <w:pPr>
        <w:pStyle w:val="Default"/>
        <w:numPr>
          <w:ilvl w:val="0"/>
          <w:numId w:val="191"/>
        </w:numPr>
        <w:rPr>
          <w:rFonts w:ascii="Palatino" w:hAnsi="Palatino" w:cs="Palatino"/>
          <w:sz w:val="20"/>
          <w:szCs w:val="20"/>
        </w:rPr>
      </w:pPr>
      <w:r>
        <w:rPr>
          <w:rFonts w:ascii="Palatino" w:hAnsi="Palatino" w:cs="Palatino"/>
          <w:sz w:val="20"/>
          <w:szCs w:val="20"/>
        </w:rPr>
        <w:t xml:space="preserve">develop documentation; </w:t>
      </w:r>
    </w:p>
    <w:p w14:paraId="2670FAC2" w14:textId="77777777" w:rsidR="00541A14" w:rsidRDefault="00A450E1">
      <w:pPr>
        <w:pStyle w:val="Default"/>
        <w:numPr>
          <w:ilvl w:val="0"/>
          <w:numId w:val="191"/>
        </w:numPr>
        <w:rPr>
          <w:rFonts w:ascii="Palatino" w:hAnsi="Palatino" w:cs="Palatino"/>
          <w:sz w:val="20"/>
          <w:szCs w:val="20"/>
        </w:rPr>
      </w:pPr>
      <w:r>
        <w:rPr>
          <w:rFonts w:ascii="Palatino" w:hAnsi="Palatino" w:cs="Palatino"/>
          <w:sz w:val="20"/>
          <w:szCs w:val="20"/>
        </w:rPr>
        <w:t xml:space="preserve">promote international cooperation programmes; and </w:t>
      </w:r>
    </w:p>
    <w:p w14:paraId="5750AE48" w14:textId="77777777" w:rsidR="00541A14" w:rsidRDefault="00A450E1">
      <w:pPr>
        <w:pStyle w:val="Default"/>
        <w:numPr>
          <w:ilvl w:val="0"/>
          <w:numId w:val="191"/>
        </w:numPr>
        <w:rPr>
          <w:rFonts w:ascii="Palatino" w:hAnsi="Palatino" w:cs="Palatino"/>
          <w:sz w:val="20"/>
          <w:szCs w:val="20"/>
        </w:rPr>
      </w:pPr>
      <w:r>
        <w:rPr>
          <w:rFonts w:ascii="Palatino" w:hAnsi="Palatino" w:cs="Palatino"/>
          <w:sz w:val="20"/>
          <w:szCs w:val="20"/>
        </w:rPr>
        <w:t xml:space="preserve">provide advice on lighthouse conservation. </w:t>
      </w:r>
    </w:p>
    <w:p w14:paraId="4D3AD6C6" w14:textId="77777777" w:rsidR="00541A14" w:rsidRDefault="00541A14">
      <w:pPr>
        <w:pStyle w:val="Default"/>
        <w:rPr>
          <w:rFonts w:ascii="Palatino" w:hAnsi="Palatino" w:cs="Palatino"/>
          <w:sz w:val="20"/>
          <w:szCs w:val="20"/>
        </w:rPr>
      </w:pPr>
    </w:p>
    <w:p w14:paraId="654E42DE" w14:textId="77777777" w:rsidR="00541A14" w:rsidRDefault="00A450E1">
      <w:pPr>
        <w:pStyle w:val="CM165"/>
        <w:spacing w:after="85" w:line="291" w:lineRule="atLeast"/>
        <w:ind w:right="1095"/>
        <w:rPr>
          <w:rFonts w:ascii="Palatino" w:hAnsi="Palatino" w:cs="Palatino"/>
          <w:color w:val="000000"/>
          <w:sz w:val="20"/>
          <w:szCs w:val="20"/>
        </w:rPr>
      </w:pPr>
      <w:r>
        <w:rPr>
          <w:rFonts w:ascii="Palatino" w:hAnsi="Palatino" w:cs="Palatino"/>
          <w:color w:val="000000"/>
          <w:sz w:val="20"/>
          <w:szCs w:val="20"/>
        </w:rPr>
        <w:t xml:space="preserve">The IALA seminar in Santander, Spain in June 2009 produced several key conclusions and recommendations: </w:t>
      </w:r>
    </w:p>
    <w:p w14:paraId="06682FC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change is inevitable. Ideally, changes made during the development of an historical AtoN site </w:t>
      </w:r>
    </w:p>
    <w:p w14:paraId="65FE3CDC"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should be reversible and in all cases properly documented. </w:t>
      </w:r>
    </w:p>
    <w:p w14:paraId="6571B403"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the preservation and documentation of AtoN should focus on whole sites and include historical </w:t>
      </w:r>
    </w:p>
    <w:p w14:paraId="5613CD1A"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developments and achievements in technical equipment and related human experiences. </w:t>
      </w:r>
    </w:p>
    <w:p w14:paraId="50B03B81"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Documentation should include the experiences and recollections of those involved in operating </w:t>
      </w:r>
    </w:p>
    <w:p w14:paraId="13E7B4A2"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AtoN, as well as those involved in their conservation. </w:t>
      </w:r>
    </w:p>
    <w:p w14:paraId="3B096C7D"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radionavigation aids were an important part of AtoN technology in the 20th century and there is a </w:t>
      </w:r>
    </w:p>
    <w:p w14:paraId="7393D5BE"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need to document and disseminate this aspect of AtoN heritage. </w:t>
      </w:r>
    </w:p>
    <w:p w14:paraId="097BCE2A" w14:textId="77777777" w:rsidR="00541A14" w:rsidRDefault="00A450E1">
      <w:pPr>
        <w:pStyle w:val="CM172"/>
        <w:spacing w:after="202" w:line="291" w:lineRule="atLeast"/>
        <w:rPr>
          <w:rFonts w:ascii="Palatino" w:hAnsi="Palatino" w:cs="Palatino"/>
          <w:color w:val="000000"/>
          <w:sz w:val="20"/>
          <w:szCs w:val="20"/>
        </w:rPr>
      </w:pPr>
      <w:r>
        <w:rPr>
          <w:rFonts w:ascii="Palatino" w:hAnsi="Palatino" w:cs="Palatino"/>
          <w:color w:val="000000"/>
          <w:sz w:val="20"/>
          <w:szCs w:val="20"/>
        </w:rPr>
        <w:t xml:space="preserve">With strong public interest from local communities, it is prudent and important for Competent Authorities to have a consistent approach to branding and/or marketing of their lighthouses. A consistent approach will help maintain the authority’s reputation as good maintainers and operators of their historic structures. It also offers the Competent Authority an opportunity to promote maritime safety, raise public awareness and increase visitor numbers, has the potential to improve security through awareness and may offer local community employment opportunities. </w:t>
      </w:r>
    </w:p>
    <w:p w14:paraId="6DA0E9B6" w14:textId="77777777" w:rsidR="00541A14" w:rsidRDefault="00A450E1">
      <w:pPr>
        <w:pStyle w:val="CM165"/>
        <w:spacing w:after="85" w:line="296" w:lineRule="atLeast"/>
        <w:ind w:right="402"/>
        <w:rPr>
          <w:rFonts w:ascii="Palatino" w:hAnsi="Palatino" w:cs="Palatino"/>
          <w:color w:val="000000"/>
          <w:sz w:val="20"/>
          <w:szCs w:val="20"/>
        </w:rPr>
      </w:pPr>
      <w:r>
        <w:rPr>
          <w:rFonts w:ascii="Palatino" w:hAnsi="Palatino" w:cs="Palatino"/>
          <w:color w:val="000000"/>
          <w:sz w:val="20"/>
          <w:szCs w:val="20"/>
        </w:rPr>
        <w:t xml:space="preserve">The following options could be considered when developing a marketing strategy for a particular lighthouse: </w:t>
      </w:r>
    </w:p>
    <w:p w14:paraId="5132DDC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using internal or external marketing consultants to develop a strategy which could include </w:t>
      </w:r>
    </w:p>
    <w:p w14:paraId="27723205"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logos, publications and links with other lighthouses; </w:t>
      </w:r>
    </w:p>
    <w:p w14:paraId="62F5BBC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soliciting the support of local groups who have an interest in the lighthouse and their </w:t>
      </w:r>
    </w:p>
    <w:p w14:paraId="08320349"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surroundings; </w:t>
      </w:r>
    </w:p>
    <w:p w14:paraId="01B4C544" w14:textId="77777777" w:rsidR="00541A14" w:rsidRDefault="00A450E1">
      <w:pPr>
        <w:pStyle w:val="Default"/>
        <w:numPr>
          <w:ilvl w:val="0"/>
          <w:numId w:val="192"/>
        </w:numPr>
        <w:spacing w:after="52"/>
        <w:rPr>
          <w:rFonts w:ascii="Palatino" w:hAnsi="Palatino" w:cs="Palatino"/>
          <w:sz w:val="20"/>
          <w:szCs w:val="20"/>
        </w:rPr>
      </w:pPr>
      <w:r>
        <w:rPr>
          <w:rFonts w:ascii="Palatino" w:hAnsi="Palatino" w:cs="Palatino"/>
          <w:sz w:val="20"/>
          <w:szCs w:val="20"/>
        </w:rPr>
        <w:t xml:space="preserve">using the internet to advertise heritage lighthouses and visitor services offered at each site;` </w:t>
      </w:r>
    </w:p>
    <w:p w14:paraId="0F006898" w14:textId="77777777" w:rsidR="00541A14" w:rsidRDefault="00A450E1">
      <w:pPr>
        <w:pStyle w:val="Default"/>
        <w:numPr>
          <w:ilvl w:val="0"/>
          <w:numId w:val="192"/>
        </w:numPr>
        <w:spacing w:after="52"/>
        <w:rPr>
          <w:rFonts w:ascii="Palatino" w:hAnsi="Palatino" w:cs="Palatino"/>
          <w:sz w:val="20"/>
          <w:szCs w:val="20"/>
        </w:rPr>
      </w:pPr>
      <w:r>
        <w:rPr>
          <w:rFonts w:ascii="Palatino" w:hAnsi="Palatino" w:cs="Palatino"/>
          <w:sz w:val="20"/>
          <w:szCs w:val="20"/>
        </w:rPr>
        <w:t xml:space="preserve">advertising availability for special events (e.g., anniversary’s in local newspapers); and </w:t>
      </w:r>
    </w:p>
    <w:p w14:paraId="1DB94D1D" w14:textId="77777777" w:rsidR="00541A14" w:rsidRDefault="00A450E1">
      <w:pPr>
        <w:pStyle w:val="Default"/>
        <w:numPr>
          <w:ilvl w:val="0"/>
          <w:numId w:val="192"/>
        </w:numPr>
        <w:rPr>
          <w:rFonts w:ascii="Palatino" w:hAnsi="Palatino" w:cs="Palatino"/>
          <w:sz w:val="20"/>
          <w:szCs w:val="20"/>
        </w:rPr>
      </w:pPr>
      <w:r>
        <w:rPr>
          <w:rFonts w:ascii="Palatino" w:hAnsi="Palatino" w:cs="Palatino"/>
          <w:sz w:val="20"/>
          <w:szCs w:val="20"/>
        </w:rPr>
        <w:t xml:space="preserve">the use of lighthouses for commercial advertising in the media and for television filming (the </w:t>
      </w:r>
    </w:p>
    <w:p w14:paraId="68D01D5C" w14:textId="77777777" w:rsidR="00541A14" w:rsidRDefault="00541A14">
      <w:pPr>
        <w:pStyle w:val="Default"/>
        <w:rPr>
          <w:rFonts w:ascii="Palatino" w:hAnsi="Palatino" w:cs="Palatino"/>
          <w:sz w:val="20"/>
          <w:szCs w:val="20"/>
        </w:rPr>
      </w:pPr>
    </w:p>
    <w:p w14:paraId="13034BBC"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feasibility of this can depend upon each authority’s regulations which will differ from country </w:t>
      </w:r>
    </w:p>
    <w:p w14:paraId="007D21B3" w14:textId="77777777" w:rsidR="00541A14" w:rsidRDefault="00A450E1">
      <w:pPr>
        <w:pStyle w:val="CM172"/>
        <w:spacing w:after="202" w:line="293" w:lineRule="atLeast"/>
        <w:ind w:left="300"/>
        <w:rPr>
          <w:rFonts w:ascii="Palatino" w:hAnsi="Palatino" w:cs="Palatino"/>
          <w:color w:val="000000"/>
          <w:sz w:val="20"/>
          <w:szCs w:val="20"/>
        </w:rPr>
      </w:pPr>
      <w:r>
        <w:rPr>
          <w:rFonts w:ascii="Palatino" w:hAnsi="Palatino" w:cs="Palatino"/>
          <w:color w:val="000000"/>
          <w:sz w:val="20"/>
          <w:szCs w:val="20"/>
        </w:rPr>
        <w:t xml:space="preserve">to country). </w:t>
      </w:r>
    </w:p>
    <w:p w14:paraId="5B827E8E"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383E0613"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i/>
          <w:iCs/>
          <w:color w:val="000000"/>
          <w:sz w:val="20"/>
          <w:szCs w:val="20"/>
        </w:rPr>
        <w:t>IALA Lighthouse Conservation Manual.</w:t>
      </w:r>
    </w:p>
    <w:p w14:paraId="3E7BC8D7" w14:textId="77777777" w:rsidR="00541A14" w:rsidRDefault="00A450E1">
      <w:pPr>
        <w:pStyle w:val="CM165"/>
        <w:spacing w:after="85" w:line="298" w:lineRule="atLeast"/>
        <w:ind w:left="367"/>
        <w:rPr>
          <w:rFonts w:ascii="Palatino" w:hAnsi="Palatino" w:cs="Palatino"/>
          <w:color w:val="000000"/>
          <w:sz w:val="20"/>
          <w:szCs w:val="20"/>
        </w:rPr>
      </w:pPr>
      <w:r>
        <w:rPr>
          <w:rFonts w:ascii="Palatino" w:hAnsi="Palatino" w:cs="Palatino"/>
          <w:i/>
          <w:iCs/>
          <w:color w:val="000000"/>
          <w:sz w:val="20"/>
          <w:szCs w:val="20"/>
        </w:rPr>
        <w:t xml:space="preserve"> IALA Guideline on Agreements for complementary use of lighthouse property. </w:t>
      </w:r>
    </w:p>
    <w:p w14:paraId="2DD4B3F4" w14:textId="77777777" w:rsidR="00541A14" w:rsidRDefault="009E3F25">
      <w:pPr>
        <w:pStyle w:val="CM169"/>
        <w:spacing w:after="65" w:line="293" w:lineRule="atLeast"/>
        <w:ind w:left="300"/>
        <w:rPr>
          <w:rFonts w:ascii="Palatino" w:hAnsi="Palatino" w:cs="Palatino"/>
          <w:color w:val="000000"/>
          <w:sz w:val="20"/>
          <w:szCs w:val="20"/>
        </w:rPr>
      </w:pPr>
      <w:hyperlink r:id="rId395" w:history="1">
        <w:r w:rsidR="00A450E1">
          <w:rPr>
            <w:rFonts w:ascii="Palatino" w:hAnsi="Palatino" w:cs="Palatino"/>
            <w:i/>
            <w:iCs/>
            <w:color w:val="000000"/>
            <w:sz w:val="20"/>
            <w:szCs w:val="20"/>
          </w:rPr>
          <w:t xml:space="preserve">Report of the IALA Seminar on Heritage Issues of Introducing New Technologies in Aids to Navigation </w:t>
        </w:r>
      </w:hyperlink>
    </w:p>
    <w:p w14:paraId="540854EE" w14:textId="77777777" w:rsidR="00541A14" w:rsidRDefault="009E3F25">
      <w:pPr>
        <w:pStyle w:val="CM165"/>
        <w:spacing w:after="85" w:line="293" w:lineRule="atLeast"/>
        <w:ind w:left="300"/>
        <w:rPr>
          <w:rFonts w:ascii="Palatino" w:hAnsi="Palatino" w:cs="Palatino"/>
          <w:color w:val="000000"/>
          <w:sz w:val="20"/>
          <w:szCs w:val="20"/>
        </w:rPr>
      </w:pPr>
      <w:hyperlink r:id="rId396" w:history="1">
        <w:r w:rsidR="00A450E1">
          <w:rPr>
            <w:rFonts w:ascii="Palatino" w:hAnsi="Palatino" w:cs="Palatino"/>
            <w:i/>
            <w:iCs/>
            <w:color w:val="000000"/>
            <w:sz w:val="20"/>
            <w:szCs w:val="20"/>
          </w:rPr>
          <w:t xml:space="preserve">Santander, Spain June 2009. </w:t>
        </w:r>
      </w:hyperlink>
    </w:p>
    <w:p w14:paraId="5EAF1EA1" w14:textId="77777777" w:rsidR="00541A14" w:rsidRDefault="009E3F25">
      <w:pPr>
        <w:pStyle w:val="CM165"/>
        <w:spacing w:after="85" w:line="293" w:lineRule="atLeast"/>
        <w:ind w:left="300"/>
        <w:rPr>
          <w:rFonts w:ascii="Palatino" w:hAnsi="Palatino" w:cs="Palatino"/>
          <w:color w:val="000000"/>
          <w:sz w:val="20"/>
          <w:szCs w:val="20"/>
        </w:rPr>
      </w:pPr>
      <w:hyperlink r:id="rId397" w:history="1">
        <w:r w:rsidR="00A450E1">
          <w:rPr>
            <w:rFonts w:ascii="Palatino" w:hAnsi="Palatino" w:cs="Palatino"/>
            <w:i/>
            <w:iCs/>
            <w:color w:val="000000"/>
            <w:sz w:val="20"/>
            <w:szCs w:val="20"/>
          </w:rPr>
          <w:t xml:space="preserve">IALA Guideline 1074 – Branding and Marketing of Historic Lighthouses. </w:t>
        </w:r>
      </w:hyperlink>
    </w:p>
    <w:p w14:paraId="7F36DD1A" w14:textId="77777777" w:rsidR="00541A14" w:rsidRDefault="009E3F25">
      <w:pPr>
        <w:pStyle w:val="CM180"/>
        <w:spacing w:after="732" w:line="293" w:lineRule="atLeast"/>
        <w:ind w:left="300"/>
        <w:rPr>
          <w:rFonts w:ascii="Palatino" w:hAnsi="Palatino" w:cs="Palatino"/>
          <w:color w:val="000000"/>
          <w:sz w:val="20"/>
          <w:szCs w:val="20"/>
        </w:rPr>
      </w:pPr>
      <w:hyperlink r:id="rId398" w:history="1">
        <w:r w:rsidR="00A450E1">
          <w:rPr>
            <w:rFonts w:ascii="Palatino" w:hAnsi="Palatino" w:cs="Palatino"/>
            <w:i/>
            <w:iCs/>
            <w:color w:val="000000"/>
            <w:sz w:val="20"/>
            <w:szCs w:val="20"/>
          </w:rPr>
          <w:t xml:space="preserve">IALA Guideline 1075 on a Business Plan for the Complementary Use of a Historic Lighthouse. </w:t>
        </w:r>
      </w:hyperlink>
    </w:p>
    <w:p w14:paraId="76CD2DBF"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66A545E7" wp14:editId="6D77A620">
            <wp:extent cx="7542530" cy="420370"/>
            <wp:effectExtent l="0" t="0" r="1270" b="1143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3860E99B" w14:textId="77777777" w:rsidR="00541A14" w:rsidRDefault="00DD420F">
      <w:pPr>
        <w:pStyle w:val="Default"/>
        <w:pageBreakBefore/>
        <w:framePr w:w="24782" w:wrap="auto" w:vAnchor="page" w:hAnchor="page" w:x="101" w:y="1"/>
        <w:spacing w:after="840"/>
        <w:rPr>
          <w:rFonts w:ascii="Palatino" w:hAnsi="Palatino" w:cs="Palatino"/>
          <w:sz w:val="20"/>
          <w:szCs w:val="20"/>
        </w:rPr>
      </w:pPr>
      <w:r>
        <w:rPr>
          <w:rFonts w:ascii="Palatino" w:hAnsi="Palatino" w:cs="Palatino"/>
          <w:noProof/>
          <w:sz w:val="20"/>
          <w:szCs w:val="20"/>
        </w:rPr>
        <w:drawing>
          <wp:inline distT="0" distB="0" distL="0" distR="0" wp14:anchorId="222D1974" wp14:editId="37364C7C">
            <wp:extent cx="7553960" cy="106743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78EEA477" w14:textId="77777777" w:rsidR="00541A14" w:rsidRDefault="00A450E1">
      <w:pPr>
        <w:pStyle w:val="CM165"/>
        <w:spacing w:after="85"/>
        <w:jc w:val="both"/>
        <w:rPr>
          <w:rFonts w:ascii="Futura Book" w:hAnsi="Futura Book" w:cs="Futura Book"/>
          <w:color w:val="2C5062"/>
          <w:sz w:val="22"/>
          <w:szCs w:val="22"/>
        </w:rPr>
      </w:pPr>
      <w:r>
        <w:rPr>
          <w:rFonts w:ascii="Futura Book" w:hAnsi="Futura Book" w:cs="Futura Book"/>
          <w:b/>
          <w:bCs/>
          <w:color w:val="2C5062"/>
          <w:sz w:val="22"/>
          <w:szCs w:val="22"/>
        </w:rPr>
        <w:t xml:space="preserve">8.11.1 Lens Size and Terminology </w:t>
      </w:r>
    </w:p>
    <w:p w14:paraId="76285C2B" w14:textId="77777777" w:rsidR="00541A14" w:rsidRDefault="00A450E1">
      <w:pPr>
        <w:pStyle w:val="CM165"/>
        <w:spacing w:after="85"/>
        <w:jc w:val="both"/>
        <w:rPr>
          <w:rFonts w:ascii="Palatino" w:hAnsi="Palatino" w:cs="Palatino"/>
          <w:color w:val="000000"/>
          <w:sz w:val="20"/>
          <w:szCs w:val="20"/>
        </w:rPr>
      </w:pPr>
      <w:r>
        <w:rPr>
          <w:rFonts w:ascii="Palatino" w:hAnsi="Palatino" w:cs="Palatino"/>
          <w:color w:val="000000"/>
          <w:sz w:val="20"/>
          <w:szCs w:val="20"/>
        </w:rPr>
        <w:t xml:space="preserve">Table 29 provides information on terminology for historical glass lens systems and the typical amount </w:t>
      </w:r>
    </w:p>
    <w:p w14:paraId="0564D00A" w14:textId="77777777" w:rsidR="00541A14" w:rsidRDefault="00A450E1">
      <w:pPr>
        <w:pStyle w:val="CM172"/>
        <w:spacing w:after="202"/>
        <w:jc w:val="both"/>
        <w:rPr>
          <w:rFonts w:ascii="Palatino" w:hAnsi="Palatino" w:cs="Palatino"/>
          <w:color w:val="000000"/>
          <w:sz w:val="20"/>
          <w:szCs w:val="20"/>
        </w:rPr>
      </w:pPr>
      <w:r>
        <w:rPr>
          <w:rFonts w:ascii="Palatino" w:hAnsi="Palatino" w:cs="Palatino"/>
          <w:color w:val="000000"/>
          <w:sz w:val="20"/>
          <w:szCs w:val="20"/>
        </w:rPr>
        <w:t xml:space="preserve">of mercury held in mercury float pedestals (for rotating lens systems). </w:t>
      </w:r>
    </w:p>
    <w:p w14:paraId="078DD133" w14:textId="77777777" w:rsidR="00541A14" w:rsidRDefault="00A450E1">
      <w:pPr>
        <w:pStyle w:val="CM172"/>
        <w:spacing w:after="202" w:line="240" w:lineRule="atLeast"/>
        <w:ind w:left="1160" w:right="1412"/>
        <w:jc w:val="both"/>
        <w:rPr>
          <w:rFonts w:ascii="Palatino" w:hAnsi="Palatino" w:cs="Palatino"/>
          <w:color w:val="000000"/>
          <w:sz w:val="20"/>
          <w:szCs w:val="20"/>
        </w:rPr>
      </w:pPr>
      <w:r>
        <w:rPr>
          <w:rFonts w:ascii="Palatino" w:hAnsi="Palatino" w:cs="Palatino"/>
          <w:b/>
          <w:bCs/>
          <w:color w:val="000000"/>
          <w:sz w:val="20"/>
          <w:szCs w:val="20"/>
        </w:rPr>
        <w:t xml:space="preserve">table 29 – terminology for historical glass lens systems and associatedquantities of mercury used in rotating lens systems </w:t>
      </w:r>
    </w:p>
    <w:p w14:paraId="669F4287"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92032" behindDoc="0" locked="0" layoutInCell="0" allowOverlap="1" wp14:anchorId="3921069E" wp14:editId="43079F82">
                <wp:simplePos x="0" y="0"/>
                <wp:positionH relativeFrom="page">
                  <wp:posOffset>1562100</wp:posOffset>
                </wp:positionH>
                <wp:positionV relativeFrom="page">
                  <wp:posOffset>2660650</wp:posOffset>
                </wp:positionV>
                <wp:extent cx="4797425" cy="2748915"/>
                <wp:effectExtent l="0" t="0" r="0" b="0"/>
                <wp:wrapThrough wrapText="bothSides">
                  <wp:wrapPolygon edited="0">
                    <wp:start x="0" y="0"/>
                    <wp:lineTo x="21600" y="0"/>
                    <wp:lineTo x="21600" y="21600"/>
                    <wp:lineTo x="0" y="21600"/>
                    <wp:lineTo x="0" y="0"/>
                  </wp:wrapPolygon>
                </wp:wrapThrough>
                <wp:docPr id="52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7425" cy="274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2015"/>
                              <w:gridCol w:w="1875"/>
                              <w:gridCol w:w="1437"/>
                              <w:gridCol w:w="1428"/>
                            </w:tblGrid>
                            <w:tr w:rsidR="00541A14" w14:paraId="23CBAC9D" w14:textId="77777777">
                              <w:trPr>
                                <w:trHeight w:val="265"/>
                              </w:trPr>
                              <w:tc>
                                <w:tcPr>
                                  <w:tcW w:w="2015" w:type="dxa"/>
                                  <w:tcBorders>
                                    <w:left w:val="single" w:sz="4" w:space="0" w:color="010204"/>
                                    <w:right w:val="single" w:sz="4" w:space="0" w:color="030608"/>
                                  </w:tcBorders>
                                  <w:shd w:val="clear" w:color="auto" w:fill="264056"/>
                                  <w:vAlign w:val="bottom"/>
                                </w:tcPr>
                                <w:p w14:paraId="7835F1C9"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Description </w:t>
                                  </w:r>
                                </w:p>
                              </w:tc>
                              <w:tc>
                                <w:tcPr>
                                  <w:tcW w:w="1875" w:type="dxa"/>
                                  <w:tcBorders>
                                    <w:left w:val="single" w:sz="4" w:space="0" w:color="030608"/>
                                    <w:right w:val="single" w:sz="4" w:space="0" w:color="030608"/>
                                  </w:tcBorders>
                                  <w:shd w:val="clear" w:color="auto" w:fill="264056"/>
                                  <w:vAlign w:val="center"/>
                                </w:tcPr>
                                <w:p w14:paraId="488994D8"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Focal distance </w:t>
                                  </w:r>
                                </w:p>
                              </w:tc>
                              <w:tc>
                                <w:tcPr>
                                  <w:tcW w:w="2865" w:type="dxa"/>
                                  <w:gridSpan w:val="2"/>
                                  <w:tcBorders>
                                    <w:left w:val="single" w:sz="4" w:space="0" w:color="030608"/>
                                    <w:right w:val="single" w:sz="4" w:space="0" w:color="010204"/>
                                  </w:tcBorders>
                                  <w:shd w:val="clear" w:color="auto" w:fill="264056"/>
                                  <w:vAlign w:val="center"/>
                                </w:tcPr>
                                <w:p w14:paraId="612000CD"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Typical quantity of mercury for mercury float pedestals </w:t>
                                  </w:r>
                                </w:p>
                              </w:tc>
                            </w:tr>
                            <w:tr w:rsidR="00541A14" w14:paraId="06DAE562" w14:textId="77777777">
                              <w:trPr>
                                <w:trHeight w:val="187"/>
                              </w:trPr>
                              <w:tc>
                                <w:tcPr>
                                  <w:tcW w:w="2015" w:type="dxa"/>
                                  <w:tcBorders>
                                    <w:left w:val="single" w:sz="4" w:space="0" w:color="010204"/>
                                    <w:right w:val="single" w:sz="4" w:space="0" w:color="030608"/>
                                  </w:tcBorders>
                                  <w:shd w:val="clear" w:color="auto" w:fill="264056"/>
                                </w:tcPr>
                                <w:p w14:paraId="57A9CB57" w14:textId="77777777" w:rsidR="00541A14" w:rsidRDefault="00541A14">
                                  <w:pPr>
                                    <w:pStyle w:val="Default"/>
                                    <w:rPr>
                                      <w:rFonts w:cs="Times New Roman"/>
                                      <w:color w:val="auto"/>
                                    </w:rPr>
                                  </w:pPr>
                                </w:p>
                              </w:tc>
                              <w:tc>
                                <w:tcPr>
                                  <w:tcW w:w="1875" w:type="dxa"/>
                                  <w:tcBorders>
                                    <w:left w:val="single" w:sz="4" w:space="0" w:color="030608"/>
                                    <w:right w:val="single" w:sz="4" w:space="0" w:color="030608"/>
                                  </w:tcBorders>
                                  <w:shd w:val="clear" w:color="auto" w:fill="264056"/>
                                  <w:vAlign w:val="center"/>
                                </w:tcPr>
                                <w:p w14:paraId="27EAAD50"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mm </w:t>
                                  </w:r>
                                </w:p>
                              </w:tc>
                              <w:tc>
                                <w:tcPr>
                                  <w:tcW w:w="1437" w:type="dxa"/>
                                  <w:tcBorders>
                                    <w:left w:val="single" w:sz="4" w:space="0" w:color="030608"/>
                                    <w:right w:val="single" w:sz="4" w:space="0" w:color="000203"/>
                                  </w:tcBorders>
                                  <w:shd w:val="clear" w:color="auto" w:fill="264056"/>
                                  <w:vAlign w:val="center"/>
                                </w:tcPr>
                                <w:p w14:paraId="71078E55" w14:textId="77777777" w:rsidR="00541A14"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kilograms </w:t>
                                  </w:r>
                                </w:p>
                              </w:tc>
                              <w:tc>
                                <w:tcPr>
                                  <w:tcW w:w="1427" w:type="dxa"/>
                                  <w:tcBorders>
                                    <w:left w:val="single" w:sz="4" w:space="0" w:color="000203"/>
                                    <w:right w:val="single" w:sz="4" w:space="0" w:color="010204"/>
                                  </w:tcBorders>
                                  <w:shd w:val="clear" w:color="auto" w:fill="264056"/>
                                  <w:vAlign w:val="center"/>
                                </w:tcPr>
                                <w:p w14:paraId="49EC3C87"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litres </w:t>
                                  </w:r>
                                </w:p>
                              </w:tc>
                            </w:tr>
                            <w:tr w:rsidR="00541A14" w14:paraId="26B7CC9F" w14:textId="77777777">
                              <w:trPr>
                                <w:trHeight w:val="1406"/>
                              </w:trPr>
                              <w:tc>
                                <w:tcPr>
                                  <w:tcW w:w="2015" w:type="dxa"/>
                                  <w:tcBorders>
                                    <w:top w:val="single" w:sz="2" w:space="0" w:color="264056"/>
                                    <w:left w:val="single" w:sz="4" w:space="0" w:color="010204"/>
                                    <w:bottom w:val="single" w:sz="4" w:space="0" w:color="000000"/>
                                    <w:right w:val="single" w:sz="4" w:space="0" w:color="030608"/>
                                  </w:tcBorders>
                                </w:tcPr>
                                <w:p w14:paraId="169E880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Hyper-radial Meso-radial First Order Second Order Third Order Small Third Order Fourth Order Fifth Order Sixth Order </w:t>
                                  </w:r>
                                </w:p>
                              </w:tc>
                              <w:tc>
                                <w:tcPr>
                                  <w:tcW w:w="1875" w:type="dxa"/>
                                  <w:tcBorders>
                                    <w:top w:val="single" w:sz="2" w:space="0" w:color="264056"/>
                                    <w:left w:val="single" w:sz="4" w:space="0" w:color="030608"/>
                                    <w:bottom w:val="single" w:sz="4" w:space="0" w:color="000000"/>
                                    <w:right w:val="single" w:sz="4" w:space="0" w:color="030608"/>
                                  </w:tcBorders>
                                </w:tcPr>
                                <w:p w14:paraId="5AD4C9C2"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1330 1125 920 700 500 375 250 187.5 150 </w:t>
                                  </w:r>
                                </w:p>
                              </w:tc>
                              <w:tc>
                                <w:tcPr>
                                  <w:tcW w:w="1437" w:type="dxa"/>
                                  <w:tcBorders>
                                    <w:top w:val="single" w:sz="2" w:space="0" w:color="264056"/>
                                    <w:left w:val="single" w:sz="4" w:space="0" w:color="030608"/>
                                    <w:bottom w:val="single" w:sz="4" w:space="0" w:color="000000"/>
                                    <w:right w:val="single" w:sz="4" w:space="0" w:color="000203"/>
                                  </w:tcBorders>
                                  <w:vAlign w:val="center"/>
                                </w:tcPr>
                                <w:p w14:paraId="304CFC2E" w14:textId="77777777" w:rsidR="00541A14"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175 126 105 96 </w:t>
                                  </w:r>
                                </w:p>
                              </w:tc>
                              <w:tc>
                                <w:tcPr>
                                  <w:tcW w:w="1427" w:type="dxa"/>
                                  <w:tcBorders>
                                    <w:top w:val="single" w:sz="2" w:space="0" w:color="264056"/>
                                    <w:left w:val="single" w:sz="4" w:space="0" w:color="000203"/>
                                    <w:bottom w:val="single" w:sz="4" w:space="0" w:color="000000"/>
                                    <w:right w:val="single" w:sz="4" w:space="0" w:color="010204"/>
                                  </w:tcBorders>
                                  <w:vAlign w:val="center"/>
                                </w:tcPr>
                                <w:p w14:paraId="14734F5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12.9 9.3 7.7 7.0 </w:t>
                                  </w:r>
                                </w:p>
                              </w:tc>
                            </w:tr>
                          </w:tbl>
                          <w:p w14:paraId="6BC163B4"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59" type="#_x0000_t202" style="position:absolute;margin-left:123pt;margin-top:209.5pt;width:377.75pt;height:216.4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120"/>
                        <w:gridCol w:w="302"/>
                        <w:gridCol w:w="33"/>
                        <w:gridCol w:w="312"/>
                        <w:gridCol w:w="180"/>
                        <w:gridCol w:w="20"/>
                        <w:gridCol w:w="50"/>
                        <w:gridCol w:w="168"/>
                        <w:gridCol w:w="130"/>
                        <w:gridCol w:w="372"/>
                        <w:gridCol w:w="842"/>
                        <w:gridCol w:w="275"/>
                        <w:gridCol w:w="90"/>
                        <w:gridCol w:w="370"/>
                        <w:gridCol w:w="5"/>
                        <w:gridCol w:w="5"/>
                        <w:gridCol w:w="12"/>
                        <w:gridCol w:w="47"/>
                        <w:gridCol w:w="168"/>
                        <w:gridCol w:w="832"/>
                        <w:gridCol w:w="355"/>
                        <w:gridCol w:w="10"/>
                        <w:gridCol w:w="371"/>
                        <w:gridCol w:w="692"/>
                        <w:gridCol w:w="2232"/>
                        <w:gridCol w:w="77"/>
                        <w:gridCol w:w="15"/>
                        <w:gridCol w:w="8"/>
                      </w:tblGrid>
                      <w:tr w:rsidR="00000000" w14:paraId="23CBAC9D" w14:textId="77777777">
                        <w:tblPrEx>
                          <w:tblCellMar>
                            <w:top w:w="0" w:type="dxa"/>
                            <w:bottom w:w="0" w:type="dxa"/>
                          </w:tblCellMar>
                        </w:tblPrEx>
                        <w:trPr>
                          <w:gridAfter w:val="4"/>
                          <w:wAfter w:w="1166" w:type="dxa"/>
                          <w:trHeight w:val="265"/>
                        </w:trPr>
                        <w:tc>
                          <w:tcPr>
                            <w:tcW w:w="2015" w:type="dxa"/>
                            <w:gridSpan w:val="7"/>
                            <w:tcBorders>
                              <w:left w:val="single" w:sz="4" w:space="0" w:color="010204"/>
                              <w:right w:val="single" w:sz="4" w:space="0" w:color="030608"/>
                            </w:tcBorders>
                            <w:shd w:val="clear" w:color="auto" w:fill="264056"/>
                            <w:vAlign w:val="bottom"/>
                          </w:tcPr>
                          <w:p w14:paraId="7835F1C9"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Description </w:t>
                            </w:r>
                          </w:p>
                        </w:tc>
                        <w:tc>
                          <w:tcPr>
                            <w:tcW w:w="1875" w:type="dxa"/>
                            <w:gridSpan w:val="6"/>
                            <w:tcBorders>
                              <w:left w:val="single" w:sz="4" w:space="0" w:color="030608"/>
                              <w:right w:val="single" w:sz="4" w:space="0" w:color="030608"/>
                            </w:tcBorders>
                            <w:shd w:val="clear" w:color="auto" w:fill="264056"/>
                            <w:vAlign w:val="center"/>
                          </w:tcPr>
                          <w:p w14:paraId="488994D8"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Focal distance </w:t>
                            </w:r>
                          </w:p>
                        </w:tc>
                        <w:tc>
                          <w:tcPr>
                            <w:tcW w:w="2865" w:type="dxa"/>
                            <w:gridSpan w:val="11"/>
                            <w:tcBorders>
                              <w:left w:val="single" w:sz="4" w:space="0" w:color="030608"/>
                              <w:right w:val="single" w:sz="4" w:space="0" w:color="010204"/>
                            </w:tcBorders>
                            <w:shd w:val="clear" w:color="auto" w:fill="264056"/>
                            <w:vAlign w:val="center"/>
                          </w:tcPr>
                          <w:p w14:paraId="612000CD"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Typical quantity of mercury for mercury f</w:t>
                            </w:r>
                            <w:r>
                              <w:rPr>
                                <w:rFonts w:ascii="Helvetica 65 Medium" w:hAnsi="Helvetica 65 Medium" w:cs="Helvetica 65 Medium"/>
                                <w:color w:val="FFFFFF"/>
                                <w:sz w:val="18"/>
                                <w:szCs w:val="18"/>
                              </w:rPr>
                              <w:t xml:space="preserve">loat pedestals </w:t>
                            </w:r>
                          </w:p>
                        </w:tc>
                      </w:tr>
                      <w:tr w:rsidR="00000000" w14:paraId="06DAE562" w14:textId="77777777">
                        <w:tblPrEx>
                          <w:tblCellMar>
                            <w:top w:w="0" w:type="dxa"/>
                            <w:bottom w:w="0" w:type="dxa"/>
                          </w:tblCellMar>
                        </w:tblPrEx>
                        <w:trPr>
                          <w:gridAfter w:val="4"/>
                          <w:wAfter w:w="1167" w:type="dxa"/>
                          <w:trHeight w:val="187"/>
                        </w:trPr>
                        <w:tc>
                          <w:tcPr>
                            <w:tcW w:w="2015" w:type="dxa"/>
                            <w:gridSpan w:val="7"/>
                            <w:tcBorders>
                              <w:left w:val="single" w:sz="4" w:space="0" w:color="010204"/>
                              <w:right w:val="single" w:sz="4" w:space="0" w:color="030608"/>
                            </w:tcBorders>
                            <w:shd w:val="clear" w:color="auto" w:fill="264056"/>
                          </w:tcPr>
                          <w:p w14:paraId="57A9CB57" w14:textId="77777777" w:rsidR="00000000" w:rsidRDefault="00A450E1">
                            <w:pPr>
                              <w:pStyle w:val="Default"/>
                              <w:rPr>
                                <w:rFonts w:cs="Times New Roman"/>
                                <w:color w:val="auto"/>
                              </w:rPr>
                            </w:pPr>
                          </w:p>
                        </w:tc>
                        <w:tc>
                          <w:tcPr>
                            <w:tcW w:w="1875" w:type="dxa"/>
                            <w:gridSpan w:val="6"/>
                            <w:tcBorders>
                              <w:left w:val="single" w:sz="4" w:space="0" w:color="030608"/>
                              <w:right w:val="single" w:sz="4" w:space="0" w:color="030608"/>
                            </w:tcBorders>
                            <w:shd w:val="clear" w:color="auto" w:fill="264056"/>
                            <w:vAlign w:val="center"/>
                          </w:tcPr>
                          <w:p w14:paraId="27EAAD50"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mm </w:t>
                            </w:r>
                          </w:p>
                        </w:tc>
                        <w:tc>
                          <w:tcPr>
                            <w:tcW w:w="1437" w:type="dxa"/>
                            <w:gridSpan w:val="7"/>
                            <w:tcBorders>
                              <w:left w:val="single" w:sz="4" w:space="0" w:color="030608"/>
                              <w:right w:val="single" w:sz="4" w:space="0" w:color="000203"/>
                            </w:tcBorders>
                            <w:shd w:val="clear" w:color="auto" w:fill="264056"/>
                            <w:vAlign w:val="center"/>
                          </w:tcPr>
                          <w:p w14:paraId="71078E55" w14:textId="77777777" w:rsidR="00000000" w:rsidRDefault="00A450E1">
                            <w:pPr>
                              <w:pStyle w:val="Default"/>
                              <w:jc w:val="center"/>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kilograms </w:t>
                            </w:r>
                          </w:p>
                        </w:tc>
                        <w:tc>
                          <w:tcPr>
                            <w:tcW w:w="1427" w:type="dxa"/>
                            <w:gridSpan w:val="4"/>
                            <w:tcBorders>
                              <w:left w:val="single" w:sz="4" w:space="0" w:color="000203"/>
                              <w:right w:val="single" w:sz="4" w:space="0" w:color="010204"/>
                            </w:tcBorders>
                            <w:shd w:val="clear" w:color="auto" w:fill="264056"/>
                            <w:vAlign w:val="center"/>
                          </w:tcPr>
                          <w:p w14:paraId="49EC3C87"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litres </w:t>
                            </w:r>
                          </w:p>
                        </w:tc>
                      </w:tr>
                      <w:tr w:rsidR="00000000" w14:paraId="26B7CC9F" w14:textId="77777777">
                        <w:tblPrEx>
                          <w:tblCellMar>
                            <w:top w:w="0" w:type="dxa"/>
                            <w:bottom w:w="0" w:type="dxa"/>
                          </w:tblCellMar>
                        </w:tblPrEx>
                        <w:trPr>
                          <w:gridAfter w:val="4"/>
                          <w:wAfter w:w="1167" w:type="dxa"/>
                          <w:trHeight w:val="1406"/>
                        </w:trPr>
                        <w:tc>
                          <w:tcPr>
                            <w:tcW w:w="2015" w:type="dxa"/>
                            <w:gridSpan w:val="7"/>
                            <w:tcBorders>
                              <w:top w:val="single" w:sz="2" w:space="0" w:color="264056"/>
                              <w:left w:val="single" w:sz="4" w:space="0" w:color="010204"/>
                              <w:bottom w:val="single" w:sz="4" w:space="0" w:color="000000"/>
                              <w:right w:val="single" w:sz="4" w:space="0" w:color="030608"/>
                            </w:tcBorders>
                          </w:tcPr>
                          <w:p w14:paraId="169E880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Hyper-radial Meso-radial First Order Second Order Third Order Small Third Order Fourth Order Fifth Order Sixth Order </w:t>
                            </w:r>
                          </w:p>
                        </w:tc>
                        <w:tc>
                          <w:tcPr>
                            <w:tcW w:w="1875" w:type="dxa"/>
                            <w:gridSpan w:val="6"/>
                            <w:tcBorders>
                              <w:top w:val="single" w:sz="2" w:space="0" w:color="264056"/>
                              <w:left w:val="single" w:sz="4" w:space="0" w:color="030608"/>
                              <w:bottom w:val="single" w:sz="4" w:space="0" w:color="000000"/>
                              <w:right w:val="single" w:sz="4" w:space="0" w:color="030608"/>
                            </w:tcBorders>
                          </w:tcPr>
                          <w:p w14:paraId="5AD4C9C2"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1330 1125 920 700 500 375 250 187.5 150 </w:t>
                            </w:r>
                          </w:p>
                        </w:tc>
                        <w:tc>
                          <w:tcPr>
                            <w:tcW w:w="1437" w:type="dxa"/>
                            <w:gridSpan w:val="7"/>
                            <w:tcBorders>
                              <w:top w:val="single" w:sz="2" w:space="0" w:color="264056"/>
                              <w:left w:val="single" w:sz="4" w:space="0" w:color="030608"/>
                              <w:bottom w:val="single" w:sz="4" w:space="0" w:color="000000"/>
                              <w:right w:val="single" w:sz="4" w:space="0" w:color="000203"/>
                            </w:tcBorders>
                            <w:vAlign w:val="center"/>
                          </w:tcPr>
                          <w:p w14:paraId="304CFC2E" w14:textId="77777777" w:rsidR="00000000" w:rsidRDefault="00A450E1">
                            <w:pPr>
                              <w:pStyle w:val="Default"/>
                              <w:jc w:val="center"/>
                              <w:rPr>
                                <w:rFonts w:ascii="Helvetica 55 Roman" w:hAnsi="Helvetica 55 Roman" w:cs="Helvetica 55 Roman"/>
                                <w:sz w:val="18"/>
                                <w:szCs w:val="18"/>
                              </w:rPr>
                            </w:pPr>
                            <w:r>
                              <w:rPr>
                                <w:rFonts w:ascii="Helvetica 55 Roman" w:hAnsi="Helvetica 55 Roman" w:cs="Helvetica 55 Roman"/>
                                <w:sz w:val="18"/>
                                <w:szCs w:val="18"/>
                              </w:rPr>
                              <w:t xml:space="preserve">175 126 105 96 </w:t>
                            </w:r>
                          </w:p>
                        </w:tc>
                        <w:tc>
                          <w:tcPr>
                            <w:tcW w:w="1427" w:type="dxa"/>
                            <w:gridSpan w:val="4"/>
                            <w:tcBorders>
                              <w:top w:val="single" w:sz="2" w:space="0" w:color="264056"/>
                              <w:left w:val="single" w:sz="4" w:space="0" w:color="000203"/>
                              <w:bottom w:val="single" w:sz="4" w:space="0" w:color="000000"/>
                              <w:right w:val="single" w:sz="4" w:space="0" w:color="010204"/>
                            </w:tcBorders>
                            <w:vAlign w:val="center"/>
                          </w:tcPr>
                          <w:p w14:paraId="14734F5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12.9 9.3 7.7 7.0 </w:t>
                            </w:r>
                          </w:p>
                        </w:tc>
                      </w:tr>
                    </w:tbl>
                  </w:txbxContent>
                </v:textbox>
                <w10:wrap type="through" anchorx="page" anchory="page"/>
              </v:shape>
            </w:pict>
          </mc:Fallback>
        </mc:AlternateContent>
      </w:r>
    </w:p>
    <w:p w14:paraId="06C82D4F" w14:textId="77777777" w:rsidR="00541A14" w:rsidRDefault="00A450E1">
      <w:pPr>
        <w:pStyle w:val="CM4"/>
        <w:rPr>
          <w:rFonts w:ascii="Palatino" w:hAnsi="Palatino" w:cs="Palatino"/>
          <w:sz w:val="20"/>
          <w:szCs w:val="20"/>
        </w:rPr>
      </w:pPr>
      <w:r>
        <w:rPr>
          <w:rFonts w:ascii="Palatino" w:hAnsi="Palatino" w:cs="Palatino"/>
          <w:sz w:val="20"/>
          <w:szCs w:val="20"/>
        </w:rPr>
        <w:t xml:space="preserve">Many lighthouse services are removing or decommissioning traditional optics and installing new, smaller, self-contained devices. There are good economic reasons for doing this but sometimes there is a need to retain large traditional optics. There has been more pressure on lighthouse services in recent years from conservationist lobbies to retain original equipment in working order. At the same time there </w:t>
      </w:r>
    </w:p>
    <w:p w14:paraId="487ED144" w14:textId="77777777" w:rsidR="00541A14" w:rsidRDefault="00A450E1">
      <w:pPr>
        <w:pStyle w:val="CM4"/>
        <w:rPr>
          <w:rFonts w:ascii="Palatino" w:hAnsi="Palatino" w:cs="Palatino"/>
          <w:sz w:val="20"/>
          <w:szCs w:val="20"/>
        </w:rPr>
      </w:pPr>
      <w:r>
        <w:rPr>
          <w:rFonts w:ascii="Palatino" w:hAnsi="Palatino" w:cs="Palatino"/>
          <w:sz w:val="20"/>
          <w:szCs w:val="20"/>
        </w:rPr>
        <w:t xml:space="preserve">is the need to provide an efficient service without tending to obsolete and labour intensive equipment. </w:t>
      </w:r>
    </w:p>
    <w:p w14:paraId="442F05EE" w14:textId="77777777" w:rsidR="00541A14" w:rsidRDefault="00A450E1">
      <w:pPr>
        <w:pStyle w:val="CM4"/>
        <w:rPr>
          <w:rFonts w:ascii="Palatino" w:hAnsi="Palatino" w:cs="Palatino"/>
          <w:sz w:val="20"/>
          <w:szCs w:val="20"/>
        </w:rPr>
      </w:pPr>
      <w:r>
        <w:rPr>
          <w:rFonts w:ascii="Palatino" w:hAnsi="Palatino" w:cs="Palatino"/>
          <w:sz w:val="20"/>
          <w:szCs w:val="20"/>
        </w:rPr>
        <w:t xml:space="preserve">A compromise can often be reached by retaining important features of an optic and running them </w:t>
      </w:r>
    </w:p>
    <w:p w14:paraId="5B034856" w14:textId="77777777" w:rsidR="00541A14" w:rsidRDefault="00A450E1">
      <w:pPr>
        <w:pStyle w:val="CM173"/>
        <w:spacing w:after="340" w:line="291" w:lineRule="atLeast"/>
        <w:rPr>
          <w:rFonts w:ascii="Palatino" w:hAnsi="Palatino" w:cs="Palatino"/>
          <w:sz w:val="20"/>
          <w:szCs w:val="20"/>
        </w:rPr>
      </w:pPr>
      <w:r>
        <w:rPr>
          <w:rFonts w:ascii="Palatino" w:hAnsi="Palatino" w:cs="Palatino"/>
          <w:sz w:val="20"/>
          <w:szCs w:val="20"/>
        </w:rPr>
        <w:t xml:space="preserve">efficiently. In this case the choice of light source is important and the options include lamps and LEDs. </w:t>
      </w:r>
    </w:p>
    <w:p w14:paraId="27FAF305"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8.11.2 Third Party Access To Aids To Navigation Sites </w:t>
      </w:r>
    </w:p>
    <w:p w14:paraId="6149D03F" w14:textId="77777777" w:rsidR="00541A14" w:rsidRDefault="00A450E1">
      <w:pPr>
        <w:pStyle w:val="CM185"/>
        <w:spacing w:after="140" w:line="291" w:lineRule="atLeast"/>
        <w:rPr>
          <w:rFonts w:ascii="Palatino" w:hAnsi="Palatino" w:cs="Palatino"/>
          <w:color w:val="000000"/>
          <w:sz w:val="20"/>
          <w:szCs w:val="20"/>
        </w:rPr>
      </w:pPr>
      <w:r>
        <w:rPr>
          <w:rFonts w:ascii="Palatino" w:hAnsi="Palatino" w:cs="Palatino"/>
          <w:color w:val="000000"/>
          <w:sz w:val="20"/>
          <w:szCs w:val="20"/>
        </w:rPr>
        <w:t xml:space="preserve">In 1998, IALA conducted a survey to investigate the extent to which Authorities were permitting aids to navigation sites to be used for collecting “non-aids to navigation” data. This study was associated with investigations of the Advisory Panel on the Preservation of Historic Lighthouses into alternative uses of lighthouses and other aids to navigation. </w:t>
      </w:r>
    </w:p>
    <w:p w14:paraId="67C6DB0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responses came from a wide range of IALA members and shared several common themes: </w:t>
      </w:r>
    </w:p>
    <w:p w14:paraId="52CD62B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the predominant applications were for the collection of meteorological data (i.e. weather, wind </w:t>
      </w:r>
    </w:p>
    <w:p w14:paraId="2C51427A"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speed and direction), tidal/ current data and for telecommunication installations; </w:t>
      </w:r>
    </w:p>
    <w:p w14:paraId="4470120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data collected for or by other governmental agencies generally did not attract a fee, but fees were </w:t>
      </w:r>
    </w:p>
    <w:p w14:paraId="1A711407"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often charged for data obtained for commercial purposes; </w:t>
      </w:r>
    </w:p>
    <w:p w14:paraId="7F1A16D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data acquisition equipment had to have its own separate power supply unless that aids to </w:t>
      </w:r>
    </w:p>
    <w:p w14:paraId="26EA8508" w14:textId="77777777" w:rsidR="00541A14" w:rsidRDefault="00A450E1">
      <w:pPr>
        <w:pStyle w:val="CM48"/>
        <w:ind w:firstLine="300"/>
        <w:rPr>
          <w:rFonts w:ascii="Palatino" w:hAnsi="Palatino" w:cs="Palatino"/>
          <w:color w:val="000000"/>
          <w:sz w:val="20"/>
          <w:szCs w:val="20"/>
        </w:rPr>
      </w:pPr>
      <w:r>
        <w:rPr>
          <w:rFonts w:ascii="Palatino" w:hAnsi="Palatino" w:cs="Palatino"/>
          <w:color w:val="000000"/>
          <w:sz w:val="20"/>
          <w:szCs w:val="20"/>
        </w:rPr>
        <w:t xml:space="preserve">navigation site had mains power available. IALA acknowledges that Authorities face an increased demand to share aids to navigation sites with “third parties”. While it is important to ensure that the integrity and security of aids to navigation are maintained, the presence of a third party may be beneficial: </w:t>
      </w:r>
    </w:p>
    <w:p w14:paraId="0DFE386F" w14:textId="77777777" w:rsidR="00541A14" w:rsidRDefault="00A450E1">
      <w:pPr>
        <w:pStyle w:val="Default"/>
        <w:numPr>
          <w:ilvl w:val="0"/>
          <w:numId w:val="193"/>
        </w:numPr>
        <w:rPr>
          <w:rFonts w:ascii="Palatino" w:hAnsi="Palatino" w:cs="Palatino"/>
          <w:sz w:val="20"/>
          <w:szCs w:val="20"/>
        </w:rPr>
      </w:pPr>
      <w:r>
        <w:rPr>
          <w:rFonts w:ascii="Palatino" w:hAnsi="Palatino" w:cs="Palatino"/>
          <w:sz w:val="20"/>
          <w:szCs w:val="20"/>
        </w:rPr>
        <w:t xml:space="preserve">in reducing the risk of vandalism; </w:t>
      </w:r>
    </w:p>
    <w:p w14:paraId="6CC7BA76" w14:textId="77777777" w:rsidR="00541A14" w:rsidRDefault="00A450E1">
      <w:pPr>
        <w:pStyle w:val="Default"/>
        <w:numPr>
          <w:ilvl w:val="0"/>
          <w:numId w:val="193"/>
        </w:numPr>
        <w:rPr>
          <w:rFonts w:ascii="Palatino" w:hAnsi="Palatino" w:cs="Palatino"/>
          <w:sz w:val="20"/>
          <w:szCs w:val="20"/>
        </w:rPr>
      </w:pPr>
      <w:r>
        <w:rPr>
          <w:rFonts w:ascii="Palatino" w:hAnsi="Palatino" w:cs="Palatino"/>
          <w:sz w:val="20"/>
          <w:szCs w:val="20"/>
        </w:rPr>
        <w:t xml:space="preserve">as a source of revenue or sharing of operational costs (eg power, road maintenance etc); </w:t>
      </w:r>
    </w:p>
    <w:p w14:paraId="45492D4A" w14:textId="77777777" w:rsidR="00541A14" w:rsidRDefault="00A450E1">
      <w:pPr>
        <w:pStyle w:val="Default"/>
        <w:numPr>
          <w:ilvl w:val="0"/>
          <w:numId w:val="193"/>
        </w:numPr>
        <w:rPr>
          <w:rFonts w:ascii="Palatino" w:hAnsi="Palatino" w:cs="Palatino"/>
          <w:sz w:val="20"/>
          <w:szCs w:val="20"/>
        </w:rPr>
      </w:pPr>
      <w:r>
        <w:rPr>
          <w:rFonts w:ascii="Palatino" w:hAnsi="Palatino" w:cs="Palatino"/>
          <w:sz w:val="20"/>
          <w:szCs w:val="20"/>
        </w:rPr>
        <w:t xml:space="preserve">as a means of monitoring the operation of the aid. </w:t>
      </w:r>
    </w:p>
    <w:p w14:paraId="235B436E" w14:textId="77777777" w:rsidR="00541A14" w:rsidRDefault="00541A14">
      <w:pPr>
        <w:pStyle w:val="Default"/>
        <w:rPr>
          <w:rFonts w:ascii="Palatino" w:hAnsi="Palatino" w:cs="Palatino"/>
          <w:sz w:val="20"/>
          <w:szCs w:val="20"/>
        </w:rPr>
      </w:pPr>
    </w:p>
    <w:p w14:paraId="7F369ABD"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167F1C57" wp14:editId="256EEE7A">
            <wp:extent cx="7553960" cy="420370"/>
            <wp:effectExtent l="0" t="0" r="0" b="1143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6CDB454F" w14:textId="77777777" w:rsidR="00541A14" w:rsidRDefault="00DD420F">
      <w:pPr>
        <w:pStyle w:val="Default"/>
        <w:pageBreakBefore/>
        <w:framePr w:w="12876" w:wrap="auto" w:vAnchor="page" w:hAnchor="page" w:x="101" w:y="1"/>
        <w:spacing w:after="880"/>
        <w:rPr>
          <w:rFonts w:ascii="Palatino" w:hAnsi="Palatino" w:cs="Palatino"/>
          <w:sz w:val="20"/>
          <w:szCs w:val="20"/>
        </w:rPr>
      </w:pPr>
      <w:r>
        <w:rPr>
          <w:rFonts w:ascii="Palatino" w:hAnsi="Palatino" w:cs="Palatino"/>
          <w:noProof/>
          <w:sz w:val="20"/>
          <w:szCs w:val="20"/>
        </w:rPr>
        <w:drawing>
          <wp:inline distT="0" distB="0" distL="0" distR="0" wp14:anchorId="2BBF92FE" wp14:editId="6F76D77D">
            <wp:extent cx="7553960" cy="1056640"/>
            <wp:effectExtent l="0" t="0" r="0" b="1016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32FEE342" w14:textId="77777777" w:rsidR="00541A14" w:rsidRDefault="00A450E1">
      <w:pPr>
        <w:pStyle w:val="Default"/>
        <w:rPr>
          <w:rFonts w:ascii="Palatino" w:hAnsi="Palatino" w:cs="Palatino"/>
          <w:sz w:val="20"/>
          <w:szCs w:val="20"/>
        </w:rPr>
      </w:pPr>
      <w:r>
        <w:rPr>
          <w:rFonts w:ascii="Palatino" w:hAnsi="Palatino" w:cs="Palatino"/>
          <w:sz w:val="20"/>
          <w:szCs w:val="20"/>
        </w:rPr>
        <w:t xml:space="preserve">If an Authority receives a request for a third party installation, it should first establish whether such </w:t>
      </w:r>
    </w:p>
    <w:p w14:paraId="776122AE" w14:textId="77777777" w:rsidR="00541A14" w:rsidRDefault="00A450E1">
      <w:pPr>
        <w:pStyle w:val="CM165"/>
        <w:spacing w:after="85" w:line="293" w:lineRule="atLeast"/>
        <w:ind w:right="327"/>
        <w:rPr>
          <w:rFonts w:ascii="Palatino" w:hAnsi="Palatino" w:cs="Palatino"/>
          <w:color w:val="000000"/>
          <w:sz w:val="20"/>
          <w:szCs w:val="20"/>
        </w:rPr>
      </w:pPr>
      <w:r>
        <w:rPr>
          <w:rFonts w:ascii="Palatino" w:hAnsi="Palatino" w:cs="Palatino"/>
          <w:color w:val="000000"/>
          <w:sz w:val="20"/>
          <w:szCs w:val="20"/>
        </w:rPr>
        <w:t xml:space="preserve">involvement is permitted in the Authority’s legislation.  If there are no impediments, the Authority may consider negotiating an agreement with the potential third party to clearly establish the responsibilities and liabilities of each party.  The agreement may also address: </w:t>
      </w:r>
    </w:p>
    <w:p w14:paraId="647C66E5"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conditions to apply to the third party installation and operation to ensure that the equipment does </w:t>
      </w:r>
    </w:p>
    <w:p w14:paraId="1384386F"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not compromise the integrity and security of the aids to navigation and other property owned by </w:t>
      </w:r>
    </w:p>
    <w:p w14:paraId="5275BA9D"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the Authority; </w:t>
      </w:r>
    </w:p>
    <w:p w14:paraId="0984ED09"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access to electrical power.  At sites with mains power, it may be advisable for the Authority to </w:t>
      </w:r>
    </w:p>
    <w:p w14:paraId="4B861722" w14:textId="77777777" w:rsidR="00541A14" w:rsidRDefault="00A450E1">
      <w:pPr>
        <w:pStyle w:val="CM165"/>
        <w:spacing w:after="85" w:line="296" w:lineRule="atLeast"/>
        <w:jc w:val="center"/>
        <w:rPr>
          <w:rFonts w:ascii="Palatino" w:hAnsi="Palatino" w:cs="Palatino"/>
          <w:color w:val="000000"/>
          <w:sz w:val="20"/>
          <w:szCs w:val="20"/>
        </w:rPr>
      </w:pPr>
      <w:r>
        <w:rPr>
          <w:rFonts w:ascii="Palatino" w:hAnsi="Palatino" w:cs="Palatino"/>
          <w:color w:val="000000"/>
          <w:sz w:val="20"/>
          <w:szCs w:val="20"/>
        </w:rPr>
        <w:t xml:space="preserve">require separate metering of the third party supply so that electricity costs can be recovered;  </w:t>
      </w:r>
    </w:p>
    <w:p w14:paraId="72325B46"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if no mains power is available, it is reasonable to require that the third party provide its own power </w:t>
      </w:r>
    </w:p>
    <w:p w14:paraId="10E48A2A"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supply; </w:t>
      </w:r>
    </w:p>
    <w:p w14:paraId="2A9518F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where practical, the installation of the third party equipment should take into consideration and </w:t>
      </w:r>
    </w:p>
    <w:p w14:paraId="34EAAB6B"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preserve the heritage value of the aid to navigation. </w:t>
      </w:r>
    </w:p>
    <w:p w14:paraId="29BF07DB" w14:textId="77777777" w:rsidR="00541A14" w:rsidRDefault="00A450E1">
      <w:pPr>
        <w:pStyle w:val="CM185"/>
        <w:spacing w:after="140" w:line="293" w:lineRule="atLeast"/>
        <w:ind w:right="177"/>
        <w:rPr>
          <w:rFonts w:ascii="Palatino" w:hAnsi="Palatino" w:cs="Palatino"/>
          <w:color w:val="000000"/>
          <w:sz w:val="20"/>
          <w:szCs w:val="20"/>
        </w:rPr>
      </w:pPr>
      <w:r>
        <w:rPr>
          <w:rFonts w:ascii="Palatino" w:hAnsi="Palatino" w:cs="Palatino"/>
          <w:color w:val="000000"/>
          <w:sz w:val="20"/>
          <w:szCs w:val="20"/>
        </w:rPr>
        <w:t xml:space="preserve">Authorities should reserve the right to cancel any third party agreement if continued use jeopardizes the performance or functionality of the aid to navigation. </w:t>
      </w:r>
    </w:p>
    <w:p w14:paraId="209D2A30" w14:textId="77777777" w:rsidR="00541A14" w:rsidRDefault="00A450E1">
      <w:pPr>
        <w:pStyle w:val="CM18"/>
        <w:ind w:left="300"/>
        <w:rPr>
          <w:rFonts w:ascii="Palatino" w:hAnsi="Palatino" w:cs="Palatino"/>
          <w:color w:val="000000"/>
          <w:sz w:val="20"/>
          <w:szCs w:val="20"/>
        </w:rPr>
      </w:pPr>
      <w:r>
        <w:rPr>
          <w:rFonts w:ascii="Palatino" w:hAnsi="Palatino" w:cs="Palatino"/>
          <w:b/>
          <w:bCs/>
          <w:color w:val="000000"/>
          <w:sz w:val="20"/>
          <w:szCs w:val="20"/>
        </w:rPr>
        <w:t xml:space="preserve">Refer to IAlA publications: </w:t>
      </w:r>
    </w:p>
    <w:p w14:paraId="48682DCE" w14:textId="77777777" w:rsidR="00541A14" w:rsidRDefault="00A450E1">
      <w:pPr>
        <w:pStyle w:val="CM173"/>
        <w:spacing w:after="340" w:line="293" w:lineRule="atLeast"/>
        <w:ind w:left="300"/>
        <w:rPr>
          <w:rFonts w:ascii="Palatino" w:hAnsi="Palatino" w:cs="Palatino"/>
          <w:color w:val="000000"/>
          <w:sz w:val="20"/>
          <w:szCs w:val="20"/>
        </w:rPr>
      </w:pPr>
      <w:r>
        <w:rPr>
          <w:rFonts w:ascii="Palatino" w:hAnsi="Palatino" w:cs="Palatino"/>
          <w:i/>
          <w:iCs/>
          <w:color w:val="000000"/>
          <w:sz w:val="20"/>
          <w:szCs w:val="20"/>
        </w:rPr>
        <w:t xml:space="preserve">IALA Lighthouse Conservation Manual. </w:t>
      </w:r>
    </w:p>
    <w:p w14:paraId="5FB224C8" w14:textId="77777777" w:rsidR="00541A14" w:rsidRDefault="00A450E1">
      <w:pPr>
        <w:pStyle w:val="CM165"/>
        <w:spacing w:after="85"/>
        <w:rPr>
          <w:rFonts w:ascii="Futura Book" w:hAnsi="Futura Book" w:cs="Futura Book"/>
          <w:color w:val="2C5062"/>
          <w:sz w:val="28"/>
          <w:szCs w:val="28"/>
        </w:rPr>
      </w:pPr>
      <w:r>
        <w:rPr>
          <w:rFonts w:ascii="Futura Book" w:hAnsi="Futura Book" w:cs="Futura Book"/>
          <w:b/>
          <w:bCs/>
          <w:color w:val="2C5062"/>
          <w:sz w:val="28"/>
          <w:szCs w:val="28"/>
        </w:rPr>
        <w:t xml:space="preserve">8.12 Human Resources Issues </w:t>
      </w:r>
    </w:p>
    <w:p w14:paraId="5039EA8A"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One of the aims of IALA is to foster the safe and efficient movement of vessels through the harmonization </w:t>
      </w:r>
    </w:p>
    <w:p w14:paraId="58E7A0D3"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of aids to navigation services worldwide. SOLAS (2004 edition) Chapter V, Regulation 13, states that, ‘in order to obtain the greatest possible uniformity in aids to navigation, Contracting Governments undertake to take into account the international recommendations and guidelines when establishing aids to navigation’. The footnote includes appropriate Recommendations and Guidelines produced by IALA, clearly identifying the role that IALA has to play in ensuring harmonized delivery of AtoN services. </w:t>
      </w:r>
    </w:p>
    <w:p w14:paraId="49119FAF"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In addition, Resolution 10 of the STCW code states that the contribution of vessel traffic service personnel </w:t>
      </w:r>
    </w:p>
    <w:p w14:paraId="4427DF08"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contributes to the safety of life and property at sea and the protection of the marine environment. </w:t>
      </w:r>
    </w:p>
    <w:p w14:paraId="48A4034F" w14:textId="77777777" w:rsidR="00541A14" w:rsidRDefault="00A450E1">
      <w:pPr>
        <w:pStyle w:val="CM173"/>
        <w:spacing w:after="340" w:line="291" w:lineRule="atLeast"/>
        <w:ind w:right="107"/>
        <w:rPr>
          <w:rFonts w:ascii="Palatino" w:hAnsi="Palatino" w:cs="Palatino"/>
          <w:color w:val="000000"/>
          <w:sz w:val="20"/>
          <w:szCs w:val="20"/>
        </w:rPr>
      </w:pPr>
      <w:r>
        <w:rPr>
          <w:rFonts w:ascii="Palatino" w:hAnsi="Palatino" w:cs="Palatino"/>
          <w:color w:val="000000"/>
          <w:sz w:val="20"/>
          <w:szCs w:val="20"/>
        </w:rPr>
        <w:t xml:space="preserve">IALA addresses this aim in several ways, one of which is to recommend that Aids to Navigation and VTS Authorities ensure their staff receive a high standard of training. To assist with this approach, IALA Recommendation V-103, together with associated model courses and supporting Guidelines, were developed.  This approach provides a means to ensure VTS Personnel are trained to an agreed, minimum, level. In addition, both the ANM and EEP Committees are currently studying the training requirements for AtoN Management and Engineering Personnel respectively.  </w:t>
      </w:r>
    </w:p>
    <w:p w14:paraId="571FB987"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8.12.1 Source of Skills </w:t>
      </w:r>
    </w:p>
    <w:p w14:paraId="771D42FC"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In planning, establishing and implementing AtoN, the Government or the Competent Authority should: </w:t>
      </w:r>
    </w:p>
    <w:p w14:paraId="389FC0AC"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 ensure that the AtoN Authority is provided with sufficient staff, appropriately qualified, suitably </w:t>
      </w:r>
    </w:p>
    <w:p w14:paraId="63AF5B87" w14:textId="77777777" w:rsidR="00541A14" w:rsidRDefault="00A450E1">
      <w:pPr>
        <w:pStyle w:val="CM18"/>
        <w:ind w:left="300"/>
        <w:rPr>
          <w:rFonts w:ascii="Palatino" w:hAnsi="Palatino" w:cs="Palatino"/>
          <w:color w:val="000000"/>
          <w:sz w:val="20"/>
          <w:szCs w:val="20"/>
        </w:rPr>
      </w:pPr>
      <w:r>
        <w:rPr>
          <w:rFonts w:ascii="Palatino" w:hAnsi="Palatino" w:cs="Palatino"/>
          <w:color w:val="000000"/>
          <w:sz w:val="20"/>
          <w:szCs w:val="20"/>
        </w:rPr>
        <w:t xml:space="preserve">trained and capable of performing the tasks required, taking into consideration the type of AtoN </w:t>
      </w:r>
    </w:p>
    <w:p w14:paraId="59572A1A" w14:textId="77777777" w:rsidR="00541A14" w:rsidRDefault="00A450E1">
      <w:pPr>
        <w:pStyle w:val="CM174"/>
        <w:spacing w:after="437" w:line="293" w:lineRule="atLeast"/>
        <w:ind w:left="300"/>
        <w:rPr>
          <w:rFonts w:ascii="Palatino" w:hAnsi="Palatino" w:cs="Palatino"/>
          <w:color w:val="000000"/>
          <w:sz w:val="20"/>
          <w:szCs w:val="20"/>
        </w:rPr>
      </w:pPr>
      <w:r>
        <w:rPr>
          <w:rFonts w:ascii="Palatino" w:hAnsi="Palatino" w:cs="Palatino"/>
          <w:color w:val="000000"/>
          <w:sz w:val="20"/>
          <w:szCs w:val="20"/>
        </w:rPr>
        <w:t xml:space="preserve">and the level of services to be provided. </w:t>
      </w:r>
    </w:p>
    <w:p w14:paraId="7FF6FC09"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3D35BF9C" wp14:editId="52049E69">
            <wp:extent cx="7542530" cy="420370"/>
            <wp:effectExtent l="0" t="0" r="1270" b="1143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412FE83F" w14:textId="77777777" w:rsidR="00541A14" w:rsidRDefault="00DD420F">
      <w:pPr>
        <w:pStyle w:val="Default"/>
        <w:pageBreakBefore/>
        <w:framePr w:w="24782" w:wrap="auto" w:vAnchor="page" w:hAnchor="page" w:x="101" w:y="1"/>
        <w:spacing w:after="860"/>
        <w:rPr>
          <w:rFonts w:ascii="Palatino" w:hAnsi="Palatino" w:cs="Palatino"/>
          <w:sz w:val="20"/>
          <w:szCs w:val="20"/>
        </w:rPr>
      </w:pPr>
      <w:r>
        <w:rPr>
          <w:rFonts w:ascii="Palatino" w:hAnsi="Palatino" w:cs="Palatino"/>
          <w:noProof/>
          <w:sz w:val="20"/>
          <w:szCs w:val="20"/>
        </w:rPr>
        <w:drawing>
          <wp:inline distT="0" distB="0" distL="0" distR="0" wp14:anchorId="163DFAB6" wp14:editId="62C7E66A">
            <wp:extent cx="7553960" cy="106743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65ED7FD8" w14:textId="77777777" w:rsidR="00541A14" w:rsidRDefault="00A450E1">
      <w:pPr>
        <w:pStyle w:val="CM50"/>
        <w:ind w:left="300" w:hanging="300"/>
        <w:jc w:val="both"/>
        <w:rPr>
          <w:rFonts w:ascii="Palatino" w:hAnsi="Palatino" w:cs="Palatino"/>
          <w:color w:val="000000"/>
          <w:sz w:val="20"/>
          <w:szCs w:val="20"/>
        </w:rPr>
      </w:pPr>
      <w:r>
        <w:rPr>
          <w:rFonts w:ascii="Palatino" w:hAnsi="Palatino" w:cs="Palatino"/>
          <w:color w:val="000000"/>
          <w:sz w:val="20"/>
          <w:szCs w:val="20"/>
        </w:rPr>
        <w:t>• establish appropriate qualifications and training requirements for the AtoN staff, taking into</w:t>
      </w:r>
    </w:p>
    <w:p w14:paraId="634E5BD5" w14:textId="77777777" w:rsidR="00541A14" w:rsidRDefault="00A450E1">
      <w:pPr>
        <w:pStyle w:val="CM68"/>
        <w:ind w:left="310"/>
        <w:jc w:val="both"/>
        <w:rPr>
          <w:rFonts w:ascii="Palatino" w:hAnsi="Palatino" w:cs="Palatino"/>
          <w:color w:val="000000"/>
          <w:sz w:val="20"/>
          <w:szCs w:val="20"/>
        </w:rPr>
      </w:pPr>
      <w:r>
        <w:rPr>
          <w:rFonts w:ascii="Palatino" w:hAnsi="Palatino" w:cs="Palatino"/>
          <w:color w:val="000000"/>
          <w:sz w:val="20"/>
          <w:szCs w:val="20"/>
        </w:rPr>
        <w:t xml:space="preserve">consideration the type of AtoN and the level of services to be provided. </w:t>
      </w:r>
    </w:p>
    <w:p w14:paraId="5025D677" w14:textId="77777777" w:rsidR="00541A14" w:rsidRDefault="00A450E1">
      <w:pPr>
        <w:pStyle w:val="Default"/>
        <w:spacing w:line="300" w:lineRule="atLeast"/>
        <w:ind w:left="300" w:right="1082" w:hanging="300"/>
        <w:jc w:val="both"/>
        <w:rPr>
          <w:rFonts w:ascii="Palatino" w:hAnsi="Palatino" w:cs="Palatino"/>
          <w:sz w:val="20"/>
          <w:szCs w:val="20"/>
        </w:rPr>
      </w:pPr>
      <w:r>
        <w:rPr>
          <w:rFonts w:ascii="Palatino" w:hAnsi="Palatino" w:cs="Palatino"/>
          <w:sz w:val="20"/>
          <w:szCs w:val="20"/>
        </w:rPr>
        <w:t xml:space="preserve">• ensure that the standards set by the Competent Authority for levels of service and staff qualifications are met. </w:t>
      </w:r>
    </w:p>
    <w:p w14:paraId="56A17622"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In order to discharge the duties required when implementing and maintaining AtoN, all personnel </w:t>
      </w:r>
    </w:p>
    <w:p w14:paraId="0B3DED91" w14:textId="77777777" w:rsidR="00541A14" w:rsidRDefault="00A450E1">
      <w:pPr>
        <w:pStyle w:val="CM11"/>
        <w:jc w:val="both"/>
        <w:rPr>
          <w:rFonts w:ascii="Palatino" w:hAnsi="Palatino" w:cs="Palatino"/>
          <w:color w:val="000000"/>
          <w:sz w:val="20"/>
          <w:szCs w:val="20"/>
        </w:rPr>
      </w:pPr>
      <w:r>
        <w:rPr>
          <w:rFonts w:ascii="Palatino" w:hAnsi="Palatino" w:cs="Palatino"/>
          <w:color w:val="000000"/>
          <w:sz w:val="20"/>
          <w:szCs w:val="20"/>
        </w:rPr>
        <w:t xml:space="preserve">involved should obtain an AtoN qualification before being considered competent to intervene in AtoN </w:t>
      </w:r>
    </w:p>
    <w:p w14:paraId="61CF86C6" w14:textId="77777777" w:rsidR="00541A14" w:rsidRDefault="00A450E1">
      <w:pPr>
        <w:pStyle w:val="CM165"/>
        <w:spacing w:after="85" w:line="296" w:lineRule="atLeast"/>
        <w:jc w:val="both"/>
        <w:rPr>
          <w:rFonts w:ascii="Palatino" w:hAnsi="Palatino" w:cs="Palatino"/>
          <w:color w:val="000000"/>
          <w:sz w:val="20"/>
          <w:szCs w:val="20"/>
        </w:rPr>
      </w:pPr>
      <w:r>
        <w:rPr>
          <w:rFonts w:ascii="Palatino" w:hAnsi="Palatino" w:cs="Palatino"/>
          <w:color w:val="000000"/>
          <w:sz w:val="20"/>
          <w:szCs w:val="20"/>
        </w:rPr>
        <w:t xml:space="preserve">matters. </w:t>
      </w:r>
    </w:p>
    <w:p w14:paraId="7172557C" w14:textId="77777777" w:rsidR="00541A14" w:rsidRDefault="00A450E1">
      <w:pPr>
        <w:pStyle w:val="CM185"/>
        <w:spacing w:after="140" w:line="296" w:lineRule="atLeast"/>
        <w:jc w:val="both"/>
        <w:rPr>
          <w:rFonts w:ascii="Palatino" w:hAnsi="Palatino" w:cs="Palatino"/>
          <w:color w:val="000000"/>
          <w:sz w:val="20"/>
          <w:szCs w:val="20"/>
        </w:rPr>
      </w:pPr>
      <w:r>
        <w:rPr>
          <w:rFonts w:ascii="Palatino" w:hAnsi="Palatino" w:cs="Palatino"/>
          <w:color w:val="000000"/>
          <w:sz w:val="20"/>
          <w:szCs w:val="20"/>
        </w:rPr>
        <w:t xml:space="preserve">The ISO 9001 Quality Management standard places considerable emphasis on competence, awareness and training. (See Section 8.7.1) </w:t>
      </w:r>
    </w:p>
    <w:p w14:paraId="4A46640B" w14:textId="77777777" w:rsidR="00541A14" w:rsidRDefault="00A450E1">
      <w:pPr>
        <w:pStyle w:val="CM175"/>
        <w:spacing w:after="267" w:line="296" w:lineRule="atLeast"/>
        <w:jc w:val="both"/>
        <w:rPr>
          <w:rFonts w:ascii="Palatino" w:hAnsi="Palatino" w:cs="Palatino"/>
          <w:color w:val="000000"/>
          <w:sz w:val="20"/>
          <w:szCs w:val="20"/>
        </w:rPr>
      </w:pPr>
      <w:r>
        <w:rPr>
          <w:rFonts w:ascii="Palatino" w:hAnsi="Palatino" w:cs="Palatino"/>
          <w:color w:val="000000"/>
          <w:sz w:val="20"/>
          <w:szCs w:val="20"/>
        </w:rPr>
        <w:t xml:space="preserve">Table 30 provides an overview of the skill development process for aids to navigation work. </w:t>
      </w:r>
    </w:p>
    <w:p w14:paraId="0978C65A" w14:textId="77777777" w:rsidR="00541A14" w:rsidRDefault="00A450E1">
      <w:pPr>
        <w:pStyle w:val="CM172"/>
        <w:spacing w:after="202" w:line="296" w:lineRule="atLeast"/>
        <w:jc w:val="center"/>
        <w:rPr>
          <w:rFonts w:ascii="Palatino" w:hAnsi="Palatino" w:cs="Palatino"/>
          <w:color w:val="000000"/>
          <w:sz w:val="20"/>
          <w:szCs w:val="20"/>
        </w:rPr>
      </w:pPr>
      <w:r>
        <w:rPr>
          <w:rFonts w:ascii="Palatino" w:hAnsi="Palatino" w:cs="Palatino"/>
          <w:b/>
          <w:bCs/>
          <w:color w:val="000000"/>
          <w:sz w:val="20"/>
          <w:szCs w:val="20"/>
        </w:rPr>
        <w:t xml:space="preserve">table 30 – skill development processes for aids to navigation work </w:t>
      </w:r>
    </w:p>
    <w:p w14:paraId="795E21B1"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93056" behindDoc="0" locked="0" layoutInCell="0" allowOverlap="1" wp14:anchorId="29DF6998" wp14:editId="7AE2B412">
                <wp:simplePos x="0" y="0"/>
                <wp:positionH relativeFrom="page">
                  <wp:posOffset>1781175</wp:posOffset>
                </wp:positionH>
                <wp:positionV relativeFrom="page">
                  <wp:posOffset>3940175</wp:posOffset>
                </wp:positionV>
                <wp:extent cx="4359275" cy="2190750"/>
                <wp:effectExtent l="0" t="0" r="0" b="0"/>
                <wp:wrapThrough wrapText="bothSides">
                  <wp:wrapPolygon edited="0">
                    <wp:start x="0" y="0"/>
                    <wp:lineTo x="21600" y="0"/>
                    <wp:lineTo x="21600" y="21600"/>
                    <wp:lineTo x="0" y="21600"/>
                    <wp:lineTo x="0" y="0"/>
                  </wp:wrapPolygon>
                </wp:wrapThrough>
                <wp:docPr id="52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9275" cy="2190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2315"/>
                              <w:gridCol w:w="3750"/>
                            </w:tblGrid>
                            <w:tr w:rsidR="00541A14" w14:paraId="093E3F8E" w14:textId="77777777">
                              <w:trPr>
                                <w:trHeight w:val="188"/>
                              </w:trPr>
                              <w:tc>
                                <w:tcPr>
                                  <w:tcW w:w="2315" w:type="dxa"/>
                                  <w:tcBorders>
                                    <w:top w:val="single" w:sz="4" w:space="0" w:color="05090D"/>
                                    <w:left w:val="single" w:sz="4" w:space="0" w:color="000001"/>
                                    <w:right w:val="single" w:sz="4" w:space="0" w:color="000203"/>
                                  </w:tcBorders>
                                  <w:shd w:val="clear" w:color="auto" w:fill="264056"/>
                                  <w:vAlign w:val="center"/>
                                </w:tcPr>
                                <w:p w14:paraId="2FF6E555"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Skill </w:t>
                                  </w:r>
                                </w:p>
                              </w:tc>
                              <w:tc>
                                <w:tcPr>
                                  <w:tcW w:w="3750" w:type="dxa"/>
                                  <w:tcBorders>
                                    <w:top w:val="single" w:sz="4" w:space="0" w:color="05090D"/>
                                    <w:left w:val="single" w:sz="4" w:space="0" w:color="000203"/>
                                    <w:right w:val="single" w:sz="4" w:space="0" w:color="000001"/>
                                  </w:tcBorders>
                                  <w:shd w:val="clear" w:color="auto" w:fill="264056"/>
                                  <w:vAlign w:val="center"/>
                                </w:tcPr>
                                <w:p w14:paraId="2DC8BE6E"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Process </w:t>
                                  </w:r>
                                </w:p>
                              </w:tc>
                            </w:tr>
                            <w:tr w:rsidR="00541A14" w14:paraId="26B2122A" w14:textId="77777777">
                              <w:trPr>
                                <w:trHeight w:val="158"/>
                              </w:trPr>
                              <w:tc>
                                <w:tcPr>
                                  <w:tcW w:w="2315" w:type="dxa"/>
                                  <w:tcBorders>
                                    <w:top w:val="single" w:sz="2" w:space="0" w:color="264056"/>
                                    <w:left w:val="single" w:sz="4" w:space="0" w:color="000001"/>
                                    <w:right w:val="single" w:sz="4" w:space="0" w:color="000203"/>
                                  </w:tcBorders>
                                  <w:shd w:val="clear" w:color="auto" w:fill="DCDCE0"/>
                                  <w:vAlign w:val="center"/>
                                </w:tcPr>
                                <w:p w14:paraId="3418E9E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Education </w:t>
                                  </w:r>
                                </w:p>
                              </w:tc>
                              <w:tc>
                                <w:tcPr>
                                  <w:tcW w:w="3750" w:type="dxa"/>
                                  <w:tcBorders>
                                    <w:top w:val="single" w:sz="2" w:space="0" w:color="264056"/>
                                    <w:left w:val="single" w:sz="4" w:space="0" w:color="000203"/>
                                    <w:right w:val="single" w:sz="4" w:space="0" w:color="000001"/>
                                  </w:tcBorders>
                                  <w:shd w:val="clear" w:color="auto" w:fill="DCDCE0"/>
                                  <w:vAlign w:val="center"/>
                                </w:tcPr>
                                <w:p w14:paraId="3AD2090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school </w:t>
                                  </w:r>
                                </w:p>
                              </w:tc>
                            </w:tr>
                            <w:tr w:rsidR="00541A14" w14:paraId="0972950A" w14:textId="77777777">
                              <w:trPr>
                                <w:trHeight w:val="165"/>
                              </w:trPr>
                              <w:tc>
                                <w:tcPr>
                                  <w:tcW w:w="2315" w:type="dxa"/>
                                  <w:tcBorders>
                                    <w:left w:val="single" w:sz="4" w:space="0" w:color="000001"/>
                                    <w:right w:val="single" w:sz="4" w:space="0" w:color="000203"/>
                                  </w:tcBorders>
                                  <w:shd w:val="clear" w:color="auto" w:fill="DCDCE0"/>
                                </w:tcPr>
                                <w:p w14:paraId="186F91F4" w14:textId="77777777" w:rsidR="00541A14" w:rsidRDefault="00541A14">
                                  <w:pPr>
                                    <w:pStyle w:val="Default"/>
                                    <w:rPr>
                                      <w:rFonts w:cs="Times New Roman"/>
                                      <w:color w:val="auto"/>
                                    </w:rPr>
                                  </w:pPr>
                                </w:p>
                              </w:tc>
                              <w:tc>
                                <w:tcPr>
                                  <w:tcW w:w="3750" w:type="dxa"/>
                                  <w:tcBorders>
                                    <w:left w:val="single" w:sz="4" w:space="0" w:color="000203"/>
                                    <w:right w:val="single" w:sz="4" w:space="0" w:color="000001"/>
                                  </w:tcBorders>
                                  <w:shd w:val="clear" w:color="auto" w:fill="DCDCE0"/>
                                </w:tcPr>
                                <w:p w14:paraId="0B3EF61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tertiary institution </w:t>
                                  </w:r>
                                </w:p>
                              </w:tc>
                            </w:tr>
                            <w:tr w:rsidR="00541A14" w14:paraId="59F1C08B" w14:textId="77777777">
                              <w:trPr>
                                <w:trHeight w:val="315"/>
                              </w:trPr>
                              <w:tc>
                                <w:tcPr>
                                  <w:tcW w:w="2315" w:type="dxa"/>
                                  <w:tcBorders>
                                    <w:left w:val="single" w:sz="4" w:space="0" w:color="000001"/>
                                    <w:right w:val="single" w:sz="4" w:space="0" w:color="000203"/>
                                  </w:tcBorders>
                                </w:tcPr>
                                <w:p w14:paraId="0BCC503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Experience </w:t>
                                  </w:r>
                                </w:p>
                              </w:tc>
                              <w:tc>
                                <w:tcPr>
                                  <w:tcW w:w="3750" w:type="dxa"/>
                                  <w:tcBorders>
                                    <w:left w:val="single" w:sz="4" w:space="0" w:color="000203"/>
                                    <w:right w:val="single" w:sz="4" w:space="0" w:color="000001"/>
                                  </w:tcBorders>
                                  <w:vAlign w:val="center"/>
                                </w:tcPr>
                                <w:p w14:paraId="382E0E9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work experience related work experience </w:t>
                                  </w:r>
                                </w:p>
                              </w:tc>
                            </w:tr>
                            <w:tr w:rsidR="00541A14" w14:paraId="698CCBCA" w14:textId="77777777">
                              <w:trPr>
                                <w:trHeight w:val="696"/>
                              </w:trPr>
                              <w:tc>
                                <w:tcPr>
                                  <w:tcW w:w="2315" w:type="dxa"/>
                                  <w:tcBorders>
                                    <w:left w:val="single" w:sz="4" w:space="0" w:color="000001"/>
                                    <w:bottom w:val="single" w:sz="4" w:space="0" w:color="000000"/>
                                    <w:right w:val="single" w:sz="4" w:space="0" w:color="000203"/>
                                  </w:tcBorders>
                                  <w:shd w:val="clear" w:color="auto" w:fill="DCDCE0"/>
                                </w:tcPr>
                                <w:p w14:paraId="2A74759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Training </w:t>
                                  </w:r>
                                </w:p>
                              </w:tc>
                              <w:tc>
                                <w:tcPr>
                                  <w:tcW w:w="3750" w:type="dxa"/>
                                  <w:tcBorders>
                                    <w:left w:val="single" w:sz="4" w:space="0" w:color="000203"/>
                                    <w:bottom w:val="single" w:sz="4" w:space="0" w:color="000000"/>
                                    <w:right w:val="single" w:sz="4" w:space="0" w:color="000001"/>
                                  </w:tcBorders>
                                  <w:shd w:val="clear" w:color="auto" w:fill="DCDCE0"/>
                                </w:tcPr>
                                <w:p w14:paraId="50D07E5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induction training on-the-job training apprenticeships specific training programs refresher courses </w:t>
                                  </w:r>
                                </w:p>
                              </w:tc>
                            </w:tr>
                          </w:tbl>
                          <w:p w14:paraId="2530CD1B"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60" type="#_x0000_t202" style="position:absolute;margin-left:140.25pt;margin-top:310.25pt;width:343.25pt;height:172.5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120"/>
                        <w:gridCol w:w="302"/>
                        <w:gridCol w:w="33"/>
                        <w:gridCol w:w="312"/>
                        <w:gridCol w:w="180"/>
                        <w:gridCol w:w="20"/>
                        <w:gridCol w:w="218"/>
                        <w:gridCol w:w="130"/>
                        <w:gridCol w:w="372"/>
                        <w:gridCol w:w="842"/>
                        <w:gridCol w:w="275"/>
                        <w:gridCol w:w="460"/>
                        <w:gridCol w:w="5"/>
                        <w:gridCol w:w="5"/>
                        <w:gridCol w:w="12"/>
                        <w:gridCol w:w="47"/>
                        <w:gridCol w:w="168"/>
                        <w:gridCol w:w="1187"/>
                        <w:gridCol w:w="10"/>
                        <w:gridCol w:w="371"/>
                        <w:gridCol w:w="2924"/>
                        <w:gridCol w:w="77"/>
                        <w:gridCol w:w="15"/>
                        <w:gridCol w:w="8"/>
                      </w:tblGrid>
                      <w:tr w:rsidR="00000000" w14:paraId="093E3F8E" w14:textId="77777777">
                        <w:tblPrEx>
                          <w:tblCellMar>
                            <w:top w:w="0" w:type="dxa"/>
                            <w:bottom w:w="0" w:type="dxa"/>
                          </w:tblCellMar>
                        </w:tblPrEx>
                        <w:trPr>
                          <w:gridAfter w:val="4"/>
                          <w:wAfter w:w="1510" w:type="dxa"/>
                          <w:trHeight w:val="188"/>
                        </w:trPr>
                        <w:tc>
                          <w:tcPr>
                            <w:tcW w:w="2315" w:type="dxa"/>
                            <w:gridSpan w:val="8"/>
                            <w:tcBorders>
                              <w:top w:val="single" w:sz="4" w:space="0" w:color="05090D"/>
                              <w:left w:val="single" w:sz="4" w:space="0" w:color="000001"/>
                              <w:right w:val="single" w:sz="4" w:space="0" w:color="000203"/>
                            </w:tcBorders>
                            <w:shd w:val="clear" w:color="auto" w:fill="264056"/>
                            <w:vAlign w:val="center"/>
                          </w:tcPr>
                          <w:p w14:paraId="2FF6E555"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Skill </w:t>
                            </w:r>
                          </w:p>
                        </w:tc>
                        <w:tc>
                          <w:tcPr>
                            <w:tcW w:w="3750" w:type="dxa"/>
                            <w:gridSpan w:val="12"/>
                            <w:tcBorders>
                              <w:top w:val="single" w:sz="4" w:space="0" w:color="05090D"/>
                              <w:left w:val="single" w:sz="4" w:space="0" w:color="000203"/>
                              <w:right w:val="single" w:sz="4" w:space="0" w:color="000001"/>
                            </w:tcBorders>
                            <w:shd w:val="clear" w:color="auto" w:fill="264056"/>
                            <w:vAlign w:val="center"/>
                          </w:tcPr>
                          <w:p w14:paraId="2DC8BE6E"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Process </w:t>
                            </w:r>
                          </w:p>
                        </w:tc>
                      </w:tr>
                      <w:tr w:rsidR="00000000" w14:paraId="26B2122A" w14:textId="77777777">
                        <w:tblPrEx>
                          <w:tblCellMar>
                            <w:top w:w="0" w:type="dxa"/>
                            <w:bottom w:w="0" w:type="dxa"/>
                          </w:tblCellMar>
                        </w:tblPrEx>
                        <w:trPr>
                          <w:gridAfter w:val="4"/>
                          <w:wAfter w:w="1510" w:type="dxa"/>
                          <w:trHeight w:val="158"/>
                        </w:trPr>
                        <w:tc>
                          <w:tcPr>
                            <w:tcW w:w="2315" w:type="dxa"/>
                            <w:gridSpan w:val="8"/>
                            <w:tcBorders>
                              <w:top w:val="single" w:sz="2" w:space="0" w:color="264056"/>
                              <w:left w:val="single" w:sz="4" w:space="0" w:color="000001"/>
                              <w:right w:val="single" w:sz="4" w:space="0" w:color="000203"/>
                            </w:tcBorders>
                            <w:shd w:val="clear" w:color="auto" w:fill="DCDCE0"/>
                            <w:vAlign w:val="center"/>
                          </w:tcPr>
                          <w:p w14:paraId="3418E9E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Education </w:t>
                            </w:r>
                          </w:p>
                        </w:tc>
                        <w:tc>
                          <w:tcPr>
                            <w:tcW w:w="3750" w:type="dxa"/>
                            <w:gridSpan w:val="12"/>
                            <w:tcBorders>
                              <w:top w:val="single" w:sz="2" w:space="0" w:color="264056"/>
                              <w:left w:val="single" w:sz="4" w:space="0" w:color="000203"/>
                              <w:right w:val="single" w:sz="4" w:space="0" w:color="000001"/>
                            </w:tcBorders>
                            <w:shd w:val="clear" w:color="auto" w:fill="DCDCE0"/>
                            <w:vAlign w:val="center"/>
                          </w:tcPr>
                          <w:p w14:paraId="3AD2090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school </w:t>
                            </w:r>
                          </w:p>
                        </w:tc>
                      </w:tr>
                      <w:tr w:rsidR="00000000" w14:paraId="0972950A" w14:textId="77777777">
                        <w:tblPrEx>
                          <w:tblCellMar>
                            <w:top w:w="0" w:type="dxa"/>
                            <w:bottom w:w="0" w:type="dxa"/>
                          </w:tblCellMar>
                        </w:tblPrEx>
                        <w:trPr>
                          <w:gridAfter w:val="4"/>
                          <w:wAfter w:w="1510" w:type="dxa"/>
                          <w:trHeight w:val="165"/>
                        </w:trPr>
                        <w:tc>
                          <w:tcPr>
                            <w:tcW w:w="2315" w:type="dxa"/>
                            <w:gridSpan w:val="8"/>
                            <w:tcBorders>
                              <w:left w:val="single" w:sz="4" w:space="0" w:color="000001"/>
                              <w:right w:val="single" w:sz="4" w:space="0" w:color="000203"/>
                            </w:tcBorders>
                            <w:shd w:val="clear" w:color="auto" w:fill="DCDCE0"/>
                          </w:tcPr>
                          <w:p w14:paraId="186F91F4" w14:textId="77777777" w:rsidR="00000000" w:rsidRDefault="00A450E1">
                            <w:pPr>
                              <w:pStyle w:val="Default"/>
                              <w:rPr>
                                <w:rFonts w:cs="Times New Roman"/>
                                <w:color w:val="auto"/>
                              </w:rPr>
                            </w:pPr>
                          </w:p>
                        </w:tc>
                        <w:tc>
                          <w:tcPr>
                            <w:tcW w:w="3750" w:type="dxa"/>
                            <w:gridSpan w:val="12"/>
                            <w:tcBorders>
                              <w:left w:val="single" w:sz="4" w:space="0" w:color="000203"/>
                              <w:right w:val="single" w:sz="4" w:space="0" w:color="000001"/>
                            </w:tcBorders>
                            <w:shd w:val="clear" w:color="auto" w:fill="DCDCE0"/>
                          </w:tcPr>
                          <w:p w14:paraId="0B3EF61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tertiary institution </w:t>
                            </w:r>
                          </w:p>
                        </w:tc>
                      </w:tr>
                      <w:tr w:rsidR="00000000" w14:paraId="59F1C08B" w14:textId="77777777">
                        <w:tblPrEx>
                          <w:tblCellMar>
                            <w:top w:w="0" w:type="dxa"/>
                            <w:bottom w:w="0" w:type="dxa"/>
                          </w:tblCellMar>
                        </w:tblPrEx>
                        <w:trPr>
                          <w:gridAfter w:val="4"/>
                          <w:wAfter w:w="1510" w:type="dxa"/>
                          <w:trHeight w:val="315"/>
                        </w:trPr>
                        <w:tc>
                          <w:tcPr>
                            <w:tcW w:w="2315" w:type="dxa"/>
                            <w:gridSpan w:val="8"/>
                            <w:tcBorders>
                              <w:left w:val="single" w:sz="4" w:space="0" w:color="000001"/>
                              <w:right w:val="single" w:sz="4" w:space="0" w:color="000203"/>
                            </w:tcBorders>
                          </w:tcPr>
                          <w:p w14:paraId="0BCC503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Experience </w:t>
                            </w:r>
                          </w:p>
                        </w:tc>
                        <w:tc>
                          <w:tcPr>
                            <w:tcW w:w="3750" w:type="dxa"/>
                            <w:gridSpan w:val="12"/>
                            <w:tcBorders>
                              <w:left w:val="single" w:sz="4" w:space="0" w:color="000203"/>
                              <w:right w:val="single" w:sz="4" w:space="0" w:color="000001"/>
                            </w:tcBorders>
                            <w:vAlign w:val="center"/>
                          </w:tcPr>
                          <w:p w14:paraId="382E0E9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work experience related work experience </w:t>
                            </w:r>
                          </w:p>
                        </w:tc>
                      </w:tr>
                      <w:tr w:rsidR="00000000" w14:paraId="698CCBCA" w14:textId="77777777">
                        <w:tblPrEx>
                          <w:tblCellMar>
                            <w:top w:w="0" w:type="dxa"/>
                            <w:bottom w:w="0" w:type="dxa"/>
                          </w:tblCellMar>
                        </w:tblPrEx>
                        <w:trPr>
                          <w:gridAfter w:val="4"/>
                          <w:wAfter w:w="1510" w:type="dxa"/>
                          <w:trHeight w:val="696"/>
                        </w:trPr>
                        <w:tc>
                          <w:tcPr>
                            <w:tcW w:w="2315" w:type="dxa"/>
                            <w:gridSpan w:val="8"/>
                            <w:tcBorders>
                              <w:left w:val="single" w:sz="4" w:space="0" w:color="000001"/>
                              <w:bottom w:val="single" w:sz="4" w:space="0" w:color="000000"/>
                              <w:right w:val="single" w:sz="4" w:space="0" w:color="000203"/>
                            </w:tcBorders>
                            <w:shd w:val="clear" w:color="auto" w:fill="DCDCE0"/>
                          </w:tcPr>
                          <w:p w14:paraId="2A74759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Training </w:t>
                            </w:r>
                          </w:p>
                        </w:tc>
                        <w:tc>
                          <w:tcPr>
                            <w:tcW w:w="3750" w:type="dxa"/>
                            <w:gridSpan w:val="12"/>
                            <w:tcBorders>
                              <w:left w:val="single" w:sz="4" w:space="0" w:color="000203"/>
                              <w:bottom w:val="single" w:sz="4" w:space="0" w:color="000000"/>
                              <w:right w:val="single" w:sz="4" w:space="0" w:color="000001"/>
                            </w:tcBorders>
                            <w:shd w:val="clear" w:color="auto" w:fill="DCDCE0"/>
                          </w:tcPr>
                          <w:p w14:paraId="50D07E5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induction training on-the-job training apprenticeships specific training programs refresher courses </w:t>
                            </w:r>
                          </w:p>
                        </w:tc>
                      </w:tr>
                    </w:tbl>
                  </w:txbxContent>
                </v:textbox>
                <w10:wrap type="through" anchorx="page" anchory="page"/>
              </v:shape>
            </w:pict>
          </mc:Fallback>
        </mc:AlternateContent>
      </w:r>
    </w:p>
    <w:p w14:paraId="2B3F6994"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8.12.2 Training for Maintenance Personnel </w:t>
      </w:r>
    </w:p>
    <w:p w14:paraId="3AC22A5C" w14:textId="77777777" w:rsidR="00541A14" w:rsidRDefault="00A450E1">
      <w:pPr>
        <w:pStyle w:val="CM165"/>
        <w:spacing w:after="85" w:line="293" w:lineRule="atLeast"/>
        <w:ind w:right="570"/>
        <w:rPr>
          <w:rFonts w:ascii="Palatino" w:hAnsi="Palatino" w:cs="Palatino"/>
          <w:color w:val="000000"/>
          <w:sz w:val="20"/>
          <w:szCs w:val="20"/>
        </w:rPr>
      </w:pPr>
      <w:r>
        <w:rPr>
          <w:rFonts w:ascii="Palatino" w:hAnsi="Palatino" w:cs="Palatino"/>
          <w:color w:val="000000"/>
          <w:sz w:val="20"/>
          <w:szCs w:val="20"/>
        </w:rPr>
        <w:t xml:space="preserve">A number of IALA surveys have indicated that, in some areas, maintenance personnel lack the training to perform their tasks effectively. The situation can be addressed by: </w:t>
      </w:r>
    </w:p>
    <w:p w14:paraId="45DFCBDC" w14:textId="77777777" w:rsidR="00541A14" w:rsidRDefault="00A450E1">
      <w:pPr>
        <w:pStyle w:val="Default"/>
        <w:numPr>
          <w:ilvl w:val="0"/>
          <w:numId w:val="194"/>
        </w:numPr>
        <w:spacing w:after="32"/>
        <w:rPr>
          <w:rFonts w:ascii="Palatino" w:hAnsi="Palatino" w:cs="Palatino"/>
          <w:sz w:val="20"/>
          <w:szCs w:val="20"/>
        </w:rPr>
      </w:pPr>
      <w:r>
        <w:rPr>
          <w:rFonts w:ascii="Palatino" w:hAnsi="Palatino" w:cs="Palatino"/>
          <w:sz w:val="20"/>
          <w:szCs w:val="20"/>
        </w:rPr>
        <w:t xml:space="preserve">the Authority formulating and documenting its maintenance philosophy; </w:t>
      </w:r>
    </w:p>
    <w:p w14:paraId="359C98DB" w14:textId="77777777" w:rsidR="00541A14" w:rsidRDefault="00A450E1">
      <w:pPr>
        <w:pStyle w:val="Default"/>
        <w:numPr>
          <w:ilvl w:val="0"/>
          <w:numId w:val="194"/>
        </w:numPr>
        <w:rPr>
          <w:rFonts w:ascii="Palatino" w:hAnsi="Palatino" w:cs="Palatino"/>
          <w:sz w:val="20"/>
          <w:szCs w:val="20"/>
        </w:rPr>
      </w:pPr>
      <w:r>
        <w:rPr>
          <w:rFonts w:ascii="Palatino" w:hAnsi="Palatino" w:cs="Palatino"/>
          <w:sz w:val="20"/>
          <w:szCs w:val="20"/>
        </w:rPr>
        <w:t xml:space="preserve">carrying out a skills audit to identify the gaps between available skills and skills required for </w:t>
      </w:r>
    </w:p>
    <w:p w14:paraId="53A0CC8B" w14:textId="77777777" w:rsidR="00541A14" w:rsidRDefault="00541A14">
      <w:pPr>
        <w:pStyle w:val="Default"/>
        <w:rPr>
          <w:rFonts w:ascii="Palatino" w:hAnsi="Palatino" w:cs="Palatino"/>
          <w:sz w:val="20"/>
          <w:szCs w:val="20"/>
        </w:rPr>
      </w:pPr>
    </w:p>
    <w:p w14:paraId="5AD3D92B"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the various maintenance tasks; </w:t>
      </w:r>
    </w:p>
    <w:p w14:paraId="0C3F3D50" w14:textId="77777777" w:rsidR="00541A14" w:rsidRDefault="00A450E1">
      <w:pPr>
        <w:pStyle w:val="CM165"/>
        <w:spacing w:after="85" w:line="296" w:lineRule="atLeast"/>
        <w:ind w:left="300" w:hanging="300"/>
        <w:rPr>
          <w:rFonts w:ascii="Palatino" w:hAnsi="Palatino" w:cs="Palatino"/>
          <w:color w:val="000000"/>
          <w:sz w:val="20"/>
          <w:szCs w:val="20"/>
        </w:rPr>
      </w:pPr>
      <w:r>
        <w:rPr>
          <w:rFonts w:ascii="Palatino" w:hAnsi="Palatino" w:cs="Palatino"/>
          <w:color w:val="000000"/>
          <w:sz w:val="20"/>
          <w:szCs w:val="20"/>
        </w:rPr>
        <w:t xml:space="preserve">• arranging for training programs to fill the gaps, preferably by: </w:t>
      </w:r>
    </w:p>
    <w:p w14:paraId="711FCEBF" w14:textId="77777777" w:rsidR="00541A14" w:rsidRDefault="00A450E1">
      <w:pPr>
        <w:pStyle w:val="Default"/>
        <w:numPr>
          <w:ilvl w:val="0"/>
          <w:numId w:val="195"/>
        </w:numPr>
        <w:rPr>
          <w:rFonts w:ascii="Palatino" w:hAnsi="Palatino" w:cs="Palatino"/>
          <w:sz w:val="20"/>
          <w:szCs w:val="20"/>
        </w:rPr>
      </w:pPr>
      <w:r>
        <w:rPr>
          <w:rFonts w:ascii="Palatino" w:hAnsi="Palatino" w:cs="Palatino"/>
          <w:sz w:val="20"/>
          <w:szCs w:val="20"/>
        </w:rPr>
        <w:t xml:space="preserve">providing modular training courses that can be adapted to the particular needs of eachtrainee or group of trainees; </w:t>
      </w:r>
    </w:p>
    <w:p w14:paraId="6C4B676D" w14:textId="77777777" w:rsidR="00541A14" w:rsidRDefault="00A450E1">
      <w:pPr>
        <w:pStyle w:val="Default"/>
        <w:numPr>
          <w:ilvl w:val="0"/>
          <w:numId w:val="195"/>
        </w:numPr>
        <w:rPr>
          <w:rFonts w:ascii="Palatino" w:hAnsi="Palatino" w:cs="Palatino"/>
          <w:sz w:val="20"/>
          <w:szCs w:val="20"/>
        </w:rPr>
      </w:pPr>
      <w:r>
        <w:rPr>
          <w:rFonts w:ascii="Palatino" w:hAnsi="Palatino" w:cs="Palatino"/>
          <w:sz w:val="20"/>
          <w:szCs w:val="20"/>
        </w:rPr>
        <w:t>providing computer based training and distance learning methods which are useful ways</w:t>
      </w:r>
    </w:p>
    <w:p w14:paraId="23CBAC1F" w14:textId="77777777" w:rsidR="00541A14" w:rsidRDefault="00541A14">
      <w:pPr>
        <w:pStyle w:val="Default"/>
        <w:rPr>
          <w:rFonts w:ascii="Palatino" w:hAnsi="Palatino" w:cs="Palatino"/>
          <w:sz w:val="20"/>
          <w:szCs w:val="20"/>
        </w:rPr>
      </w:pPr>
    </w:p>
    <w:p w14:paraId="5796EDEA" w14:textId="77777777" w:rsidR="00541A14" w:rsidRDefault="00A450E1">
      <w:pPr>
        <w:pStyle w:val="CM133"/>
        <w:ind w:left="592"/>
        <w:rPr>
          <w:rFonts w:ascii="Palatino" w:hAnsi="Palatino" w:cs="Palatino"/>
          <w:color w:val="000000"/>
          <w:sz w:val="20"/>
          <w:szCs w:val="20"/>
        </w:rPr>
      </w:pPr>
      <w:r>
        <w:rPr>
          <w:rFonts w:ascii="Palatino" w:hAnsi="Palatino" w:cs="Palatino"/>
          <w:color w:val="000000"/>
          <w:sz w:val="20"/>
          <w:szCs w:val="20"/>
        </w:rPr>
        <w:t xml:space="preserve">of achieving continuity of training when personnel are also engaged in field activities. Some </w:t>
      </w:r>
    </w:p>
    <w:p w14:paraId="5431FCE1" w14:textId="77777777" w:rsidR="00541A14" w:rsidRDefault="00A450E1">
      <w:pPr>
        <w:pStyle w:val="CM165"/>
        <w:spacing w:after="85" w:line="260" w:lineRule="atLeast"/>
        <w:ind w:left="592"/>
        <w:rPr>
          <w:rFonts w:ascii="Palatino" w:hAnsi="Palatino" w:cs="Palatino"/>
          <w:color w:val="000000"/>
          <w:sz w:val="20"/>
          <w:szCs w:val="20"/>
        </w:rPr>
      </w:pPr>
      <w:r>
        <w:rPr>
          <w:rFonts w:ascii="Palatino" w:hAnsi="Palatino" w:cs="Palatino"/>
          <w:color w:val="000000"/>
          <w:sz w:val="20"/>
          <w:szCs w:val="20"/>
        </w:rPr>
        <w:t xml:space="preserve">adjustment to work schedules would be necessary to allow for training time. </w:t>
      </w:r>
    </w:p>
    <w:p w14:paraId="1CBF1989" w14:textId="77777777" w:rsidR="00541A14" w:rsidRDefault="00A450E1">
      <w:pPr>
        <w:pStyle w:val="CM165"/>
        <w:spacing w:after="85" w:line="268" w:lineRule="atLeast"/>
        <w:ind w:left="302" w:hanging="303"/>
        <w:rPr>
          <w:rFonts w:ascii="Palatino" w:hAnsi="Palatino" w:cs="Palatino"/>
          <w:color w:val="000000"/>
          <w:sz w:val="20"/>
          <w:szCs w:val="20"/>
        </w:rPr>
      </w:pPr>
      <w:r>
        <w:rPr>
          <w:rFonts w:ascii="Palatino" w:hAnsi="Palatino" w:cs="Palatino"/>
          <w:color w:val="000000"/>
          <w:sz w:val="20"/>
          <w:szCs w:val="20"/>
        </w:rPr>
        <w:t xml:space="preserve">• using training courses that are accredited with a recognised institution. This has several benefits: </w:t>
      </w:r>
    </w:p>
    <w:p w14:paraId="6A434F6B" w14:textId="77777777" w:rsidR="00541A14" w:rsidRDefault="00A450E1">
      <w:pPr>
        <w:pStyle w:val="Default"/>
        <w:spacing w:line="260" w:lineRule="atLeast"/>
        <w:ind w:left="577" w:right="110" w:hanging="300"/>
        <w:rPr>
          <w:rFonts w:ascii="Palatino" w:hAnsi="Palatino" w:cs="Palatino"/>
          <w:sz w:val="20"/>
          <w:szCs w:val="20"/>
        </w:rPr>
      </w:pPr>
      <w:r>
        <w:rPr>
          <w:rFonts w:ascii="Palatino" w:hAnsi="Palatino" w:cs="Palatino"/>
          <w:sz w:val="20"/>
          <w:szCs w:val="20"/>
        </w:rPr>
        <w:t xml:space="preserve">– providing training that leads to a formal qualification as a trainee may be more highlymotivated if he/she can see accredited courses leading on to a formal qualification (ie. career </w:t>
      </w:r>
    </w:p>
    <w:p w14:paraId="334AB3FB" w14:textId="77777777" w:rsidR="00541A14" w:rsidRDefault="00A450E1">
      <w:pPr>
        <w:pStyle w:val="CM165"/>
        <w:spacing w:after="85" w:line="260" w:lineRule="atLeast"/>
        <w:ind w:left="592"/>
        <w:rPr>
          <w:rFonts w:ascii="Palatino" w:hAnsi="Palatino" w:cs="Palatino"/>
          <w:color w:val="000000"/>
          <w:sz w:val="20"/>
          <w:szCs w:val="20"/>
        </w:rPr>
      </w:pPr>
      <w:r>
        <w:rPr>
          <w:rFonts w:ascii="Palatino" w:hAnsi="Palatino" w:cs="Palatino"/>
          <w:color w:val="000000"/>
          <w:sz w:val="20"/>
          <w:szCs w:val="20"/>
        </w:rPr>
        <w:t xml:space="preserve">path prospects); </w:t>
      </w:r>
    </w:p>
    <w:p w14:paraId="53E7848A" w14:textId="77777777" w:rsidR="00541A14" w:rsidRDefault="00A450E1">
      <w:pPr>
        <w:pStyle w:val="CM66"/>
        <w:jc w:val="center"/>
        <w:rPr>
          <w:rFonts w:ascii="Palatino" w:hAnsi="Palatino" w:cs="Palatino"/>
          <w:color w:val="000000"/>
          <w:sz w:val="20"/>
          <w:szCs w:val="20"/>
        </w:rPr>
      </w:pPr>
      <w:r>
        <w:rPr>
          <w:rFonts w:ascii="Palatino" w:hAnsi="Palatino" w:cs="Palatino"/>
          <w:color w:val="000000"/>
          <w:sz w:val="20"/>
          <w:szCs w:val="20"/>
        </w:rPr>
        <w:t xml:space="preserve">– recognising accredited courses (providing “portable” accreditation that can be of benefit to </w:t>
      </w:r>
    </w:p>
    <w:p w14:paraId="73D49299" w14:textId="77777777" w:rsidR="00541A14" w:rsidRDefault="00A450E1">
      <w:pPr>
        <w:pStyle w:val="CM133"/>
        <w:ind w:left="592"/>
        <w:rPr>
          <w:rFonts w:ascii="Palatino" w:hAnsi="Palatino" w:cs="Palatino"/>
          <w:color w:val="000000"/>
          <w:sz w:val="20"/>
          <w:szCs w:val="20"/>
        </w:rPr>
      </w:pPr>
      <w:r>
        <w:rPr>
          <w:rFonts w:ascii="Palatino" w:hAnsi="Palatino" w:cs="Palatino"/>
          <w:color w:val="000000"/>
          <w:sz w:val="20"/>
          <w:szCs w:val="20"/>
        </w:rPr>
        <w:t xml:space="preserve">those changing jobs); </w:t>
      </w:r>
    </w:p>
    <w:p w14:paraId="3D08EA13" w14:textId="77777777" w:rsidR="00541A14" w:rsidRDefault="00A450E1">
      <w:pPr>
        <w:pStyle w:val="CM174"/>
        <w:spacing w:after="437" w:line="271" w:lineRule="atLeast"/>
        <w:ind w:left="577" w:right="372" w:hanging="300"/>
        <w:rPr>
          <w:rFonts w:ascii="Palatino" w:hAnsi="Palatino" w:cs="Palatino"/>
          <w:color w:val="000000"/>
          <w:sz w:val="20"/>
          <w:szCs w:val="20"/>
        </w:rPr>
      </w:pPr>
      <w:r>
        <w:rPr>
          <w:rFonts w:ascii="Palatino" w:hAnsi="Palatino" w:cs="Palatino"/>
          <w:color w:val="000000"/>
          <w:sz w:val="20"/>
          <w:szCs w:val="20"/>
        </w:rPr>
        <w:t xml:space="preserve">– recognising courses and referencing these in position descriptions to broaden the range ofapplicants for job vacancies. </w:t>
      </w:r>
    </w:p>
    <w:p w14:paraId="1A08A35C"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66231E28" wp14:editId="6C48DC0A">
            <wp:extent cx="7553960" cy="420370"/>
            <wp:effectExtent l="0" t="0" r="0" b="1143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586FCCB3" w14:textId="77777777" w:rsidR="00541A14" w:rsidRDefault="00DD420F">
      <w:pPr>
        <w:pStyle w:val="Default"/>
        <w:pageBreakBefore/>
        <w:framePr w:w="12876" w:wrap="auto" w:vAnchor="page" w:hAnchor="page" w:x="101" w:y="1"/>
        <w:spacing w:after="900"/>
        <w:rPr>
          <w:rFonts w:ascii="Palatino" w:hAnsi="Palatino" w:cs="Palatino"/>
          <w:sz w:val="20"/>
          <w:szCs w:val="20"/>
        </w:rPr>
      </w:pPr>
      <w:r>
        <w:rPr>
          <w:rFonts w:ascii="Palatino" w:hAnsi="Palatino" w:cs="Palatino"/>
          <w:noProof/>
          <w:sz w:val="20"/>
          <w:szCs w:val="20"/>
        </w:rPr>
        <w:drawing>
          <wp:inline distT="0" distB="0" distL="0" distR="0" wp14:anchorId="422E60F9" wp14:editId="084AF552">
            <wp:extent cx="7553960" cy="1056640"/>
            <wp:effectExtent l="0" t="0" r="0" b="1016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540CC56B" w14:textId="77777777" w:rsidR="00541A14" w:rsidRDefault="00DD420F">
      <w:pPr>
        <w:pStyle w:val="Default"/>
        <w:framePr w:w="9870" w:wrap="auto" w:vAnchor="page" w:hAnchor="page" w:x="1435" w:y="2535"/>
        <w:spacing w:after="100"/>
        <w:rPr>
          <w:rFonts w:ascii="Palatino" w:hAnsi="Palatino" w:cs="Palatino"/>
          <w:sz w:val="20"/>
          <w:szCs w:val="20"/>
        </w:rPr>
      </w:pPr>
      <w:r>
        <w:rPr>
          <w:rFonts w:ascii="Palatino" w:hAnsi="Palatino" w:cs="Palatino"/>
          <w:noProof/>
          <w:sz w:val="20"/>
          <w:szCs w:val="20"/>
        </w:rPr>
        <w:drawing>
          <wp:inline distT="0" distB="0" distL="0" distR="0" wp14:anchorId="3EB1FB7E" wp14:editId="4D09ED29">
            <wp:extent cx="5753100" cy="8104505"/>
            <wp:effectExtent l="0" t="0" r="1270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5753100" cy="8104505"/>
                    </a:xfrm>
                    <a:prstGeom prst="rect">
                      <a:avLst/>
                    </a:prstGeom>
                    <a:noFill/>
                    <a:ln>
                      <a:noFill/>
                    </a:ln>
                  </pic:spPr>
                </pic:pic>
              </a:graphicData>
            </a:graphic>
          </wp:inline>
        </w:drawing>
      </w:r>
    </w:p>
    <w:p w14:paraId="08FE8446" w14:textId="77777777" w:rsidR="00541A14" w:rsidRDefault="00A450E1">
      <w:pPr>
        <w:pStyle w:val="CM163"/>
        <w:spacing w:after="642"/>
        <w:jc w:val="center"/>
        <w:rPr>
          <w:rFonts w:ascii="Palatino" w:hAnsi="Palatino" w:cs="Palatino"/>
          <w:color w:val="000000"/>
          <w:sz w:val="20"/>
          <w:szCs w:val="20"/>
        </w:rPr>
      </w:pPr>
      <w:r>
        <w:rPr>
          <w:rFonts w:ascii="Palatino" w:hAnsi="Palatino" w:cs="Palatino"/>
          <w:i/>
          <w:iCs/>
          <w:color w:val="000000"/>
          <w:sz w:val="20"/>
          <w:szCs w:val="20"/>
        </w:rPr>
        <w:t xml:space="preserve">Photo courtesy of U.S. Coast Guard </w:t>
      </w:r>
    </w:p>
    <w:p w14:paraId="27252236" w14:textId="77777777" w:rsidR="00541A14" w:rsidRDefault="00DD420F">
      <w:pPr>
        <w:pStyle w:val="Default"/>
        <w:framePr w:w="10739" w:wrap="auto" w:vAnchor="page" w:hAnchor="page" w:x="1434" w:y="16278"/>
        <w:rPr>
          <w:rFonts w:ascii="Palatino" w:hAnsi="Palatino" w:cs="Palatino"/>
          <w:sz w:val="20"/>
          <w:szCs w:val="20"/>
        </w:rPr>
      </w:pPr>
      <w:r>
        <w:rPr>
          <w:rFonts w:ascii="Palatino" w:hAnsi="Palatino" w:cs="Palatino"/>
          <w:noProof/>
          <w:sz w:val="20"/>
          <w:szCs w:val="20"/>
        </w:rPr>
        <w:drawing>
          <wp:inline distT="0" distB="0" distL="0" distR="0" wp14:anchorId="10DC1650" wp14:editId="6650BB6D">
            <wp:extent cx="7542530" cy="420370"/>
            <wp:effectExtent l="0" t="0" r="1270" b="1143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569E2E9C" w14:textId="77777777" w:rsidR="00541A14" w:rsidRDefault="00DD420F">
      <w:pPr>
        <w:pStyle w:val="Default"/>
        <w:pageBreakBefore/>
        <w:framePr w:w="24782" w:wrap="auto" w:vAnchor="page" w:hAnchor="page" w:x="101" w:y="1"/>
        <w:spacing w:after="860"/>
        <w:rPr>
          <w:rFonts w:ascii="Palatino" w:hAnsi="Palatino" w:cs="Palatino"/>
          <w:sz w:val="20"/>
          <w:szCs w:val="20"/>
        </w:rPr>
      </w:pPr>
      <w:r>
        <w:rPr>
          <w:rFonts w:ascii="Palatino" w:hAnsi="Palatino" w:cs="Palatino"/>
          <w:noProof/>
          <w:sz w:val="20"/>
          <w:szCs w:val="20"/>
        </w:rPr>
        <w:drawing>
          <wp:inline distT="0" distB="0" distL="0" distR="0" wp14:anchorId="42331F90" wp14:editId="3E4E9E6B">
            <wp:extent cx="7553960" cy="1067435"/>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7553960" cy="1067435"/>
                    </a:xfrm>
                    <a:prstGeom prst="rect">
                      <a:avLst/>
                    </a:prstGeom>
                    <a:noFill/>
                    <a:ln>
                      <a:noFill/>
                    </a:ln>
                  </pic:spPr>
                </pic:pic>
              </a:graphicData>
            </a:graphic>
          </wp:inline>
        </w:drawing>
      </w:r>
    </w:p>
    <w:p w14:paraId="0D6EEAF8" w14:textId="77777777" w:rsidR="00541A14" w:rsidRDefault="00A450E1">
      <w:pPr>
        <w:pStyle w:val="CM165"/>
        <w:spacing w:after="85"/>
        <w:rPr>
          <w:rFonts w:ascii="Futura Book" w:hAnsi="Futura Book" w:cs="Futura Book"/>
          <w:color w:val="2C5062"/>
          <w:sz w:val="22"/>
          <w:szCs w:val="22"/>
        </w:rPr>
      </w:pPr>
      <w:r>
        <w:rPr>
          <w:rFonts w:ascii="Futura Book" w:hAnsi="Futura Book" w:cs="Futura Book"/>
          <w:b/>
          <w:bCs/>
          <w:color w:val="2C5062"/>
          <w:sz w:val="22"/>
          <w:szCs w:val="22"/>
        </w:rPr>
        <w:t xml:space="preserve">8.12.3 IALA World Wide Academy </w:t>
      </w:r>
    </w:p>
    <w:p w14:paraId="7338ECD4" w14:textId="77777777" w:rsidR="00541A14" w:rsidRDefault="00A450E1">
      <w:pPr>
        <w:pStyle w:val="CM165"/>
        <w:spacing w:after="85" w:line="291" w:lineRule="atLeast"/>
        <w:ind w:right="107"/>
        <w:rPr>
          <w:rFonts w:ascii="Palatino" w:hAnsi="Palatino" w:cs="Palatino"/>
          <w:color w:val="000000"/>
          <w:sz w:val="20"/>
          <w:szCs w:val="20"/>
        </w:rPr>
      </w:pPr>
      <w:r>
        <w:rPr>
          <w:rFonts w:ascii="Palatino" w:hAnsi="Palatino" w:cs="Palatino"/>
          <w:color w:val="000000"/>
          <w:sz w:val="20"/>
          <w:szCs w:val="20"/>
        </w:rPr>
        <w:t xml:space="preserve">In order to provide a means of ensuring a minimum, standard level of competence of personnel involved in the delivery of AtoN services, there is a requirement to provide a consistent and practical approach to training.  </w:t>
      </w:r>
    </w:p>
    <w:p w14:paraId="69E27ED1"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The majority of training in AtoN fields other than VTS is through on-the-job and apprentice style </w:t>
      </w:r>
    </w:p>
    <w:p w14:paraId="3128173B" w14:textId="77777777" w:rsidR="00541A14" w:rsidRDefault="00A450E1">
      <w:pPr>
        <w:pStyle w:val="CM165"/>
        <w:spacing w:after="85" w:line="293" w:lineRule="atLeast"/>
        <w:ind w:right="245"/>
        <w:rPr>
          <w:rFonts w:ascii="Palatino" w:hAnsi="Palatino" w:cs="Palatino"/>
          <w:color w:val="000000"/>
          <w:sz w:val="20"/>
          <w:szCs w:val="20"/>
        </w:rPr>
      </w:pPr>
      <w:r>
        <w:rPr>
          <w:rFonts w:ascii="Palatino" w:hAnsi="Palatino" w:cs="Palatino"/>
          <w:color w:val="000000"/>
          <w:sz w:val="20"/>
          <w:szCs w:val="20"/>
        </w:rPr>
        <w:t xml:space="preserve">training. While this may work on a one-on-one basis, there are concerns that this approach does not provide for a minimum standard of competence. </w:t>
      </w:r>
    </w:p>
    <w:p w14:paraId="6A0FFD3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In providing guidance to its members on the harmonized delivery of aids to navigation services, IALA recognises the challenges that exist.  In the context of AtoN personnel this includes, but is not limited to: </w:t>
      </w:r>
    </w:p>
    <w:p w14:paraId="0271E51A" w14:textId="77777777" w:rsidR="00541A14" w:rsidRDefault="00A450E1">
      <w:pPr>
        <w:pStyle w:val="Default"/>
        <w:numPr>
          <w:ilvl w:val="0"/>
          <w:numId w:val="196"/>
        </w:numPr>
        <w:spacing w:after="52"/>
        <w:rPr>
          <w:rFonts w:ascii="Palatino" w:hAnsi="Palatino" w:cs="Palatino"/>
          <w:sz w:val="20"/>
          <w:szCs w:val="20"/>
        </w:rPr>
      </w:pPr>
      <w:r>
        <w:rPr>
          <w:rFonts w:ascii="Palatino" w:hAnsi="Palatino" w:cs="Palatino"/>
          <w:sz w:val="20"/>
          <w:szCs w:val="20"/>
        </w:rPr>
        <w:t xml:space="preserve">Differing roles of AtoN service providers (management, engineering, VTS, lamp replacement, etc.). </w:t>
      </w:r>
    </w:p>
    <w:p w14:paraId="666EB9CF" w14:textId="77777777" w:rsidR="00541A14" w:rsidRDefault="00A450E1">
      <w:pPr>
        <w:pStyle w:val="Default"/>
        <w:numPr>
          <w:ilvl w:val="0"/>
          <w:numId w:val="196"/>
        </w:numPr>
        <w:rPr>
          <w:rFonts w:ascii="Palatino" w:hAnsi="Palatino" w:cs="Palatino"/>
          <w:sz w:val="20"/>
          <w:szCs w:val="20"/>
        </w:rPr>
      </w:pPr>
      <w:r>
        <w:rPr>
          <w:rFonts w:ascii="Palatino" w:hAnsi="Palatino" w:cs="Palatino"/>
          <w:sz w:val="20"/>
          <w:szCs w:val="20"/>
        </w:rPr>
        <w:t xml:space="preserve">National and international requirements regarding labour laws, affirmative action, educational </w:t>
      </w:r>
    </w:p>
    <w:p w14:paraId="40DB3037" w14:textId="77777777" w:rsidR="00541A14" w:rsidRDefault="00541A14">
      <w:pPr>
        <w:pStyle w:val="Default"/>
        <w:rPr>
          <w:rFonts w:ascii="Palatino" w:hAnsi="Palatino" w:cs="Palatino"/>
          <w:sz w:val="20"/>
          <w:szCs w:val="20"/>
        </w:rPr>
      </w:pPr>
    </w:p>
    <w:p w14:paraId="33D57BAF" w14:textId="77777777" w:rsidR="00541A14" w:rsidRDefault="00A450E1">
      <w:pPr>
        <w:pStyle w:val="CM165"/>
        <w:spacing w:after="85" w:line="293" w:lineRule="atLeast"/>
        <w:ind w:left="300"/>
        <w:rPr>
          <w:rFonts w:ascii="Palatino" w:hAnsi="Palatino" w:cs="Palatino"/>
          <w:color w:val="000000"/>
          <w:sz w:val="20"/>
          <w:szCs w:val="20"/>
        </w:rPr>
      </w:pPr>
      <w:r>
        <w:rPr>
          <w:rFonts w:ascii="Palatino" w:hAnsi="Palatino" w:cs="Palatino"/>
          <w:color w:val="000000"/>
          <w:sz w:val="20"/>
          <w:szCs w:val="20"/>
        </w:rPr>
        <w:t xml:space="preserve">requirements, etc. </w:t>
      </w:r>
    </w:p>
    <w:p w14:paraId="1FF6A9EA" w14:textId="77777777" w:rsidR="00541A14" w:rsidRDefault="00A450E1">
      <w:pPr>
        <w:pStyle w:val="Default"/>
        <w:numPr>
          <w:ilvl w:val="0"/>
          <w:numId w:val="197"/>
        </w:numPr>
        <w:spacing w:after="52"/>
        <w:rPr>
          <w:rFonts w:ascii="Palatino" w:hAnsi="Palatino" w:cs="Palatino"/>
          <w:sz w:val="20"/>
          <w:szCs w:val="20"/>
        </w:rPr>
      </w:pPr>
      <w:r>
        <w:rPr>
          <w:rFonts w:ascii="Palatino" w:hAnsi="Palatino" w:cs="Palatino"/>
          <w:sz w:val="20"/>
          <w:szCs w:val="20"/>
        </w:rPr>
        <w:t xml:space="preserve">Variance in equipment in service, and facilities to train on the equipment. </w:t>
      </w:r>
    </w:p>
    <w:p w14:paraId="54E13878" w14:textId="77777777" w:rsidR="00541A14" w:rsidRDefault="00A450E1">
      <w:pPr>
        <w:pStyle w:val="Default"/>
        <w:numPr>
          <w:ilvl w:val="0"/>
          <w:numId w:val="197"/>
        </w:numPr>
        <w:spacing w:after="52"/>
        <w:rPr>
          <w:rFonts w:ascii="Palatino" w:hAnsi="Palatino" w:cs="Palatino"/>
          <w:sz w:val="20"/>
          <w:szCs w:val="20"/>
        </w:rPr>
      </w:pPr>
      <w:r>
        <w:rPr>
          <w:rFonts w:ascii="Palatino" w:hAnsi="Palatino" w:cs="Palatino"/>
          <w:sz w:val="20"/>
          <w:szCs w:val="20"/>
        </w:rPr>
        <w:t xml:space="preserve">Language requirements for AtoN personnel. </w:t>
      </w:r>
    </w:p>
    <w:p w14:paraId="5F4031DA" w14:textId="77777777" w:rsidR="00541A14" w:rsidRDefault="00A450E1">
      <w:pPr>
        <w:pStyle w:val="Default"/>
        <w:numPr>
          <w:ilvl w:val="0"/>
          <w:numId w:val="197"/>
        </w:numPr>
        <w:rPr>
          <w:rFonts w:ascii="Palatino" w:hAnsi="Palatino" w:cs="Palatino"/>
          <w:sz w:val="20"/>
          <w:szCs w:val="20"/>
        </w:rPr>
      </w:pPr>
      <w:r>
        <w:rPr>
          <w:rFonts w:ascii="Palatino" w:hAnsi="Palatino" w:cs="Palatino"/>
          <w:sz w:val="20"/>
          <w:szCs w:val="20"/>
        </w:rPr>
        <w:t xml:space="preserve">Access to training facilities and instructional staff – through physical locality or language. </w:t>
      </w:r>
    </w:p>
    <w:p w14:paraId="3CC5655E" w14:textId="77777777" w:rsidR="00541A14" w:rsidRDefault="00541A14">
      <w:pPr>
        <w:pStyle w:val="Default"/>
        <w:rPr>
          <w:rFonts w:ascii="Palatino" w:hAnsi="Palatino" w:cs="Palatino"/>
          <w:sz w:val="20"/>
          <w:szCs w:val="20"/>
        </w:rPr>
      </w:pPr>
    </w:p>
    <w:p w14:paraId="7BCE9392"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In order to respond to the requirement for consistent, high quality service delivery there is a need </w:t>
      </w:r>
    </w:p>
    <w:p w14:paraId="3F0052BB" w14:textId="77777777" w:rsidR="00541A14" w:rsidRDefault="00A450E1">
      <w:pPr>
        <w:pStyle w:val="CM4"/>
        <w:rPr>
          <w:rFonts w:ascii="Palatino" w:hAnsi="Palatino" w:cs="Palatino"/>
          <w:color w:val="000000"/>
          <w:sz w:val="20"/>
          <w:szCs w:val="20"/>
        </w:rPr>
      </w:pPr>
      <w:r>
        <w:rPr>
          <w:rFonts w:ascii="Palatino" w:hAnsi="Palatino" w:cs="Palatino"/>
          <w:color w:val="000000"/>
          <w:sz w:val="20"/>
          <w:szCs w:val="20"/>
        </w:rPr>
        <w:t xml:space="preserve">for consistent, high quality training. Many of the challenges identified can be overcome through a </w:t>
      </w:r>
    </w:p>
    <w:p w14:paraId="0A72B22B"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‘community of experts’ approach, making best use of the IALA network and knowledge.  It is possible to develop a training element that can provide ‘just on time’ training in locations where the training is needed and in the language of the students. </w:t>
      </w:r>
    </w:p>
    <w:p w14:paraId="6D29D41D" w14:textId="77777777" w:rsidR="00541A14" w:rsidRDefault="00A450E1">
      <w:pPr>
        <w:pStyle w:val="CM165"/>
        <w:spacing w:after="85" w:line="298" w:lineRule="atLeast"/>
        <w:ind w:right="507"/>
        <w:rPr>
          <w:rFonts w:ascii="Palatino" w:hAnsi="Palatino" w:cs="Palatino"/>
          <w:color w:val="000000"/>
          <w:sz w:val="20"/>
          <w:szCs w:val="20"/>
        </w:rPr>
      </w:pPr>
      <w:r>
        <w:rPr>
          <w:rFonts w:ascii="Palatino" w:hAnsi="Palatino" w:cs="Palatino"/>
          <w:color w:val="000000"/>
          <w:sz w:val="20"/>
          <w:szCs w:val="20"/>
        </w:rPr>
        <w:t xml:space="preserve">IALA is currently introducing a new section within the IALA Secretariat – ‘The IALA Worldwide Academy’ to help address these AtoN training needs.  </w:t>
      </w:r>
    </w:p>
    <w:p w14:paraId="78BB5B16"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The model courses are initially being provided in English, but the training institutes are free to translate them into their own language. In this manner, IALA training will penetrate deeply into other countries that are using the same language (eg – Spanish, Arabic, etc.). </w:t>
      </w:r>
    </w:p>
    <w:p w14:paraId="46A25341" w14:textId="77777777" w:rsidR="00541A14" w:rsidRDefault="00A450E1">
      <w:pPr>
        <w:pStyle w:val="CM165"/>
        <w:spacing w:after="85" w:line="291" w:lineRule="atLeast"/>
        <w:rPr>
          <w:rFonts w:ascii="Palatino" w:hAnsi="Palatino" w:cs="Palatino"/>
          <w:color w:val="000000"/>
          <w:sz w:val="20"/>
          <w:szCs w:val="20"/>
        </w:rPr>
      </w:pPr>
      <w:r>
        <w:rPr>
          <w:rFonts w:ascii="Palatino" w:hAnsi="Palatino" w:cs="Palatino"/>
          <w:color w:val="000000"/>
          <w:sz w:val="20"/>
          <w:szCs w:val="20"/>
        </w:rPr>
        <w:t xml:space="preserve">Benefits include: </w:t>
      </w:r>
    </w:p>
    <w:p w14:paraId="5C60AC9E" w14:textId="77777777" w:rsidR="00541A14" w:rsidRDefault="00A450E1">
      <w:pPr>
        <w:pStyle w:val="Default"/>
        <w:numPr>
          <w:ilvl w:val="0"/>
          <w:numId w:val="198"/>
        </w:numPr>
        <w:spacing w:after="52"/>
        <w:rPr>
          <w:rFonts w:ascii="Palatino" w:hAnsi="Palatino" w:cs="Palatino"/>
          <w:sz w:val="20"/>
          <w:szCs w:val="20"/>
        </w:rPr>
      </w:pPr>
      <w:r>
        <w:rPr>
          <w:rFonts w:ascii="Palatino" w:hAnsi="Palatino" w:cs="Palatino"/>
          <w:sz w:val="20"/>
          <w:szCs w:val="20"/>
        </w:rPr>
        <w:t xml:space="preserve">No limit to the numbers that can be trained; </w:t>
      </w:r>
    </w:p>
    <w:p w14:paraId="03CB1899" w14:textId="77777777" w:rsidR="00541A14" w:rsidRDefault="00A450E1">
      <w:pPr>
        <w:pStyle w:val="Default"/>
        <w:numPr>
          <w:ilvl w:val="0"/>
          <w:numId w:val="198"/>
        </w:numPr>
        <w:spacing w:after="52"/>
        <w:rPr>
          <w:rFonts w:ascii="Palatino" w:hAnsi="Palatino" w:cs="Palatino"/>
          <w:sz w:val="20"/>
          <w:szCs w:val="20"/>
        </w:rPr>
      </w:pPr>
      <w:r>
        <w:rPr>
          <w:rFonts w:ascii="Palatino" w:hAnsi="Palatino" w:cs="Palatino"/>
          <w:sz w:val="20"/>
          <w:szCs w:val="20"/>
        </w:rPr>
        <w:t xml:space="preserve">Students trained in their own language; </w:t>
      </w:r>
    </w:p>
    <w:p w14:paraId="217B47FA" w14:textId="77777777" w:rsidR="00541A14" w:rsidRDefault="00A450E1">
      <w:pPr>
        <w:pStyle w:val="Default"/>
        <w:numPr>
          <w:ilvl w:val="0"/>
          <w:numId w:val="198"/>
        </w:numPr>
        <w:spacing w:after="52"/>
        <w:rPr>
          <w:rFonts w:ascii="Palatino" w:hAnsi="Palatino" w:cs="Palatino"/>
          <w:sz w:val="20"/>
          <w:szCs w:val="20"/>
        </w:rPr>
      </w:pPr>
      <w:r>
        <w:rPr>
          <w:rFonts w:ascii="Palatino" w:hAnsi="Palatino" w:cs="Palatino"/>
          <w:sz w:val="20"/>
          <w:szCs w:val="20"/>
        </w:rPr>
        <w:t xml:space="preserve">Ensures correct application of IALA Recommendations and Guidelines etc. </w:t>
      </w:r>
    </w:p>
    <w:p w14:paraId="1185039C" w14:textId="77777777" w:rsidR="00541A14" w:rsidRDefault="00A450E1">
      <w:pPr>
        <w:pStyle w:val="Default"/>
        <w:numPr>
          <w:ilvl w:val="0"/>
          <w:numId w:val="198"/>
        </w:numPr>
        <w:rPr>
          <w:rFonts w:ascii="Palatino" w:hAnsi="Palatino" w:cs="Palatino"/>
          <w:sz w:val="20"/>
          <w:szCs w:val="20"/>
        </w:rPr>
      </w:pPr>
      <w:r>
        <w:rPr>
          <w:rFonts w:ascii="Palatino" w:hAnsi="Palatino" w:cs="Palatino"/>
          <w:sz w:val="20"/>
          <w:szCs w:val="20"/>
        </w:rPr>
        <w:t xml:space="preserve">Training to an agreed international standard, easy to verify and audit. </w:t>
      </w:r>
    </w:p>
    <w:p w14:paraId="36E83D95" w14:textId="77777777" w:rsidR="00541A14" w:rsidRDefault="00541A14">
      <w:pPr>
        <w:pStyle w:val="Default"/>
        <w:rPr>
          <w:rFonts w:ascii="Palatino" w:hAnsi="Palatino" w:cs="Palatino"/>
          <w:sz w:val="20"/>
          <w:szCs w:val="20"/>
        </w:rPr>
      </w:pPr>
    </w:p>
    <w:p w14:paraId="068F42AB" w14:textId="77777777" w:rsidR="00541A14" w:rsidRDefault="00A450E1">
      <w:pPr>
        <w:pStyle w:val="CM2"/>
        <w:ind w:right="107"/>
        <w:rPr>
          <w:rFonts w:ascii="Palatino" w:hAnsi="Palatino" w:cs="Palatino"/>
          <w:color w:val="000000"/>
          <w:sz w:val="20"/>
          <w:szCs w:val="20"/>
        </w:rPr>
      </w:pPr>
      <w:r>
        <w:rPr>
          <w:rFonts w:ascii="Palatino" w:hAnsi="Palatino" w:cs="Palatino"/>
          <w:color w:val="000000"/>
          <w:sz w:val="20"/>
          <w:szCs w:val="20"/>
        </w:rPr>
        <w:t xml:space="preserve">The introduction of the IALA World Wide Academy will result in the management and maintenance of aids to navigation and VTS by personnel who are trained and assessed to a similar competency standard worldwide.  IMO has experienced harmonization in training through the introduction of the STCW coupled with the three world institutes in Malmoe, Malta and Trieste. The proposed IALA </w:t>
      </w:r>
    </w:p>
    <w:p w14:paraId="40FD3CD0" w14:textId="77777777" w:rsidR="00541A14" w:rsidRDefault="00A450E1">
      <w:pPr>
        <w:pStyle w:val="CM178"/>
        <w:spacing w:after="1397" w:line="291" w:lineRule="atLeast"/>
        <w:rPr>
          <w:rFonts w:ascii="Palatino" w:hAnsi="Palatino" w:cs="Palatino"/>
          <w:color w:val="000000"/>
          <w:sz w:val="20"/>
          <w:szCs w:val="20"/>
        </w:rPr>
      </w:pPr>
      <w:r>
        <w:rPr>
          <w:rFonts w:ascii="Palatino" w:hAnsi="Palatino" w:cs="Palatino"/>
          <w:color w:val="000000"/>
          <w:sz w:val="20"/>
          <w:szCs w:val="20"/>
        </w:rPr>
        <w:t xml:space="preserve">Worldwide Academy is flexible, making optimum use of all modes of communication, and more </w:t>
      </w:r>
    </w:p>
    <w:p w14:paraId="4E12D539" w14:textId="77777777" w:rsidR="00541A14" w:rsidRDefault="00DD420F">
      <w:pPr>
        <w:pStyle w:val="Default"/>
        <w:framePr w:w="10730" w:wrap="auto" w:vAnchor="page" w:hAnchor="page" w:x="608" w:y="16278"/>
        <w:rPr>
          <w:rFonts w:ascii="Palatino" w:hAnsi="Palatino" w:cs="Palatino"/>
          <w:sz w:val="20"/>
          <w:szCs w:val="20"/>
        </w:rPr>
      </w:pPr>
      <w:r>
        <w:rPr>
          <w:rFonts w:ascii="Palatino" w:hAnsi="Palatino" w:cs="Palatino"/>
          <w:noProof/>
          <w:sz w:val="20"/>
          <w:szCs w:val="20"/>
        </w:rPr>
        <w:drawing>
          <wp:inline distT="0" distB="0" distL="0" distR="0" wp14:anchorId="6920572B" wp14:editId="18BD06D5">
            <wp:extent cx="7553960" cy="420370"/>
            <wp:effectExtent l="0" t="0" r="0" b="1143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7553960" cy="420370"/>
                    </a:xfrm>
                    <a:prstGeom prst="rect">
                      <a:avLst/>
                    </a:prstGeom>
                    <a:noFill/>
                    <a:ln>
                      <a:noFill/>
                    </a:ln>
                  </pic:spPr>
                </pic:pic>
              </a:graphicData>
            </a:graphic>
          </wp:inline>
        </w:drawing>
      </w:r>
    </w:p>
    <w:p w14:paraId="438AC77F" w14:textId="77777777" w:rsidR="00541A14" w:rsidRDefault="00DD420F">
      <w:pPr>
        <w:pStyle w:val="Default"/>
        <w:pageBreakBefore/>
        <w:framePr w:w="12876" w:wrap="auto" w:vAnchor="page" w:hAnchor="page" w:x="101" w:y="1"/>
        <w:spacing w:after="880"/>
        <w:rPr>
          <w:rFonts w:ascii="Palatino" w:hAnsi="Palatino" w:cs="Palatino"/>
          <w:sz w:val="20"/>
          <w:szCs w:val="20"/>
        </w:rPr>
      </w:pPr>
      <w:r>
        <w:rPr>
          <w:rFonts w:ascii="Palatino" w:hAnsi="Palatino" w:cs="Palatino"/>
          <w:noProof/>
          <w:sz w:val="20"/>
          <w:szCs w:val="20"/>
        </w:rPr>
        <w:drawing>
          <wp:inline distT="0" distB="0" distL="0" distR="0" wp14:anchorId="26BBD6AC" wp14:editId="0F274E4B">
            <wp:extent cx="7553960" cy="1056640"/>
            <wp:effectExtent l="0" t="0" r="0" b="1016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7553960" cy="1056640"/>
                    </a:xfrm>
                    <a:prstGeom prst="rect">
                      <a:avLst/>
                    </a:prstGeom>
                    <a:noFill/>
                    <a:ln>
                      <a:noFill/>
                    </a:ln>
                  </pic:spPr>
                </pic:pic>
              </a:graphicData>
            </a:graphic>
          </wp:inline>
        </w:drawing>
      </w:r>
    </w:p>
    <w:p w14:paraId="3E141A2B" w14:textId="77777777" w:rsidR="00541A14" w:rsidRDefault="00A450E1">
      <w:pPr>
        <w:pStyle w:val="CM172"/>
        <w:spacing w:after="202" w:line="296" w:lineRule="atLeast"/>
        <w:jc w:val="both"/>
        <w:rPr>
          <w:rFonts w:ascii="Palatino" w:hAnsi="Palatino" w:cs="Palatino"/>
          <w:color w:val="000000"/>
          <w:sz w:val="20"/>
          <w:szCs w:val="20"/>
        </w:rPr>
      </w:pPr>
      <w:r>
        <w:rPr>
          <w:rFonts w:ascii="Palatino" w:hAnsi="Palatino" w:cs="Palatino"/>
          <w:color w:val="000000"/>
          <w:sz w:val="20"/>
          <w:szCs w:val="20"/>
        </w:rPr>
        <w:t xml:space="preserve">adapted to the VTS and aids to navigation activities. The proposed solution as shown in Table 31 and Figure 34 should provide a cost effective response to the ongoing concerns over standardized training for Aids to Navigation Personnel. </w:t>
      </w:r>
    </w:p>
    <w:p w14:paraId="243CC4F4" w14:textId="77777777" w:rsidR="00541A14" w:rsidRDefault="00A450E1">
      <w:pPr>
        <w:pStyle w:val="CM33"/>
        <w:ind w:left="305"/>
        <w:jc w:val="both"/>
        <w:rPr>
          <w:rFonts w:ascii="Palatino" w:hAnsi="Palatino" w:cs="Palatino"/>
          <w:color w:val="000000"/>
          <w:sz w:val="20"/>
          <w:szCs w:val="20"/>
        </w:rPr>
      </w:pPr>
      <w:r>
        <w:rPr>
          <w:rFonts w:ascii="Palatino" w:hAnsi="Palatino" w:cs="Palatino"/>
          <w:b/>
          <w:bCs/>
          <w:color w:val="000000"/>
          <w:sz w:val="20"/>
          <w:szCs w:val="20"/>
        </w:rPr>
        <w:t xml:space="preserve">Refer to IAlA publication: </w:t>
      </w:r>
    </w:p>
    <w:p w14:paraId="4A5C9C9B" w14:textId="77777777" w:rsidR="00541A14" w:rsidRDefault="009E3F25">
      <w:pPr>
        <w:pStyle w:val="CM172"/>
        <w:spacing w:after="202" w:line="296" w:lineRule="atLeast"/>
        <w:ind w:left="305"/>
        <w:jc w:val="both"/>
        <w:rPr>
          <w:rFonts w:ascii="Palatino" w:hAnsi="Palatino" w:cs="Palatino"/>
          <w:color w:val="000000"/>
          <w:sz w:val="20"/>
          <w:szCs w:val="20"/>
        </w:rPr>
      </w:pPr>
      <w:hyperlink r:id="rId407" w:history="1">
        <w:r w:rsidR="00A450E1">
          <w:rPr>
            <w:rFonts w:ascii="Palatino" w:hAnsi="Palatino" w:cs="Palatino"/>
            <w:i/>
            <w:iCs/>
            <w:color w:val="000000"/>
            <w:sz w:val="20"/>
            <w:szCs w:val="20"/>
          </w:rPr>
          <w:t xml:space="preserve">Recommendation E-141 – Standards for Training and Certification of AtoN Personnel. </w:t>
        </w:r>
      </w:hyperlink>
    </w:p>
    <w:p w14:paraId="5DF0C996" w14:textId="77777777" w:rsidR="00541A14" w:rsidRDefault="00A450E1">
      <w:pPr>
        <w:pStyle w:val="CM172"/>
        <w:spacing w:after="202" w:line="296" w:lineRule="atLeast"/>
        <w:jc w:val="both"/>
        <w:rPr>
          <w:rFonts w:ascii="Palatino" w:hAnsi="Palatino" w:cs="Palatino"/>
          <w:color w:val="000000"/>
          <w:sz w:val="20"/>
          <w:szCs w:val="20"/>
        </w:rPr>
      </w:pPr>
      <w:r>
        <w:rPr>
          <w:rFonts w:ascii="Palatino" w:hAnsi="Palatino" w:cs="Palatino"/>
          <w:b/>
          <w:bCs/>
          <w:color w:val="000000"/>
          <w:sz w:val="20"/>
          <w:szCs w:val="20"/>
        </w:rPr>
        <w:t xml:space="preserve">table 31 – IAlA Worldwide Academy Responding to the Challenges </w:t>
      </w:r>
    </w:p>
    <w:p w14:paraId="7972732E"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94080" behindDoc="0" locked="0" layoutInCell="0" allowOverlap="1" wp14:anchorId="71F3437F" wp14:editId="1C715E71">
                <wp:simplePos x="0" y="0"/>
                <wp:positionH relativeFrom="page">
                  <wp:posOffset>826770</wp:posOffset>
                </wp:positionH>
                <wp:positionV relativeFrom="page">
                  <wp:posOffset>3063875</wp:posOffset>
                </wp:positionV>
                <wp:extent cx="6268720" cy="3027045"/>
                <wp:effectExtent l="0" t="0" r="0" b="0"/>
                <wp:wrapThrough wrapText="bothSides">
                  <wp:wrapPolygon edited="0">
                    <wp:start x="0" y="0"/>
                    <wp:lineTo x="21600" y="0"/>
                    <wp:lineTo x="21600" y="21600"/>
                    <wp:lineTo x="0" y="21600"/>
                    <wp:lineTo x="0" y="0"/>
                  </wp:wrapPolygon>
                </wp:wrapThrough>
                <wp:docPr id="52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8720" cy="3027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3802"/>
                              <w:gridCol w:w="5270"/>
                            </w:tblGrid>
                            <w:tr w:rsidR="00541A14" w14:paraId="68627DA0" w14:textId="77777777">
                              <w:trPr>
                                <w:trHeight w:val="188"/>
                              </w:trPr>
                              <w:tc>
                                <w:tcPr>
                                  <w:tcW w:w="3802" w:type="dxa"/>
                                  <w:tcBorders>
                                    <w:top w:val="single" w:sz="4" w:space="0" w:color="05090D"/>
                                    <w:left w:val="single" w:sz="4" w:space="0" w:color="000000"/>
                                    <w:right w:val="single" w:sz="4" w:space="0" w:color="000101"/>
                                  </w:tcBorders>
                                  <w:shd w:val="clear" w:color="auto" w:fill="264056"/>
                                  <w:vAlign w:val="center"/>
                                </w:tcPr>
                                <w:p w14:paraId="2A7897B4"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Challenge </w:t>
                                  </w:r>
                                </w:p>
                              </w:tc>
                              <w:tc>
                                <w:tcPr>
                                  <w:tcW w:w="5270" w:type="dxa"/>
                                  <w:tcBorders>
                                    <w:top w:val="single" w:sz="4" w:space="0" w:color="05090D"/>
                                    <w:left w:val="single" w:sz="4" w:space="0" w:color="000101"/>
                                    <w:right w:val="single" w:sz="4" w:space="0" w:color="000000"/>
                                  </w:tcBorders>
                                  <w:shd w:val="clear" w:color="auto" w:fill="264056"/>
                                  <w:vAlign w:val="center"/>
                                </w:tcPr>
                                <w:p w14:paraId="6F609C8B" w14:textId="77777777" w:rsidR="00541A14"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IALA Worldwide Academy Response </w:t>
                                  </w:r>
                                </w:p>
                              </w:tc>
                            </w:tr>
                            <w:tr w:rsidR="00541A14" w14:paraId="21829291" w14:textId="77777777">
                              <w:trPr>
                                <w:trHeight w:val="153"/>
                              </w:trPr>
                              <w:tc>
                                <w:tcPr>
                                  <w:tcW w:w="3802" w:type="dxa"/>
                                  <w:tcBorders>
                                    <w:top w:val="single" w:sz="2" w:space="0" w:color="264056"/>
                                    <w:left w:val="single" w:sz="4" w:space="0" w:color="000000"/>
                                    <w:right w:val="single" w:sz="4" w:space="0" w:color="000101"/>
                                  </w:tcBorders>
                                  <w:shd w:val="clear" w:color="auto" w:fill="DCDCE0"/>
                                  <w:vAlign w:val="bottom"/>
                                </w:tcPr>
                                <w:p w14:paraId="257A4A2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Differing roles of AtoN service providers </w:t>
                                  </w:r>
                                </w:p>
                              </w:tc>
                              <w:tc>
                                <w:tcPr>
                                  <w:tcW w:w="5270" w:type="dxa"/>
                                  <w:tcBorders>
                                    <w:top w:val="single" w:sz="2" w:space="0" w:color="264056"/>
                                    <w:left w:val="single" w:sz="4" w:space="0" w:color="000101"/>
                                    <w:right w:val="single" w:sz="4" w:space="0" w:color="000000"/>
                                  </w:tcBorders>
                                  <w:shd w:val="clear" w:color="auto" w:fill="DCDCE0"/>
                                  <w:vAlign w:val="bottom"/>
                                </w:tcPr>
                                <w:p w14:paraId="5F7B8AA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Provide training as developed by IALA expertise (ANM, EEP </w:t>
                                  </w:r>
                                </w:p>
                              </w:tc>
                            </w:tr>
                            <w:tr w:rsidR="00541A14" w14:paraId="417BC935" w14:textId="77777777">
                              <w:trPr>
                                <w:trHeight w:val="120"/>
                              </w:trPr>
                              <w:tc>
                                <w:tcPr>
                                  <w:tcW w:w="3802" w:type="dxa"/>
                                  <w:tcBorders>
                                    <w:left w:val="single" w:sz="4" w:space="0" w:color="000000"/>
                                    <w:right w:val="single" w:sz="4" w:space="0" w:color="000101"/>
                                  </w:tcBorders>
                                  <w:shd w:val="clear" w:color="auto" w:fill="DCDCE0"/>
                                  <w:vAlign w:val="center"/>
                                </w:tcPr>
                                <w:p w14:paraId="293D881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(management, engineering, VTS, lamp </w:t>
                                  </w:r>
                                </w:p>
                              </w:tc>
                              <w:tc>
                                <w:tcPr>
                                  <w:tcW w:w="5270" w:type="dxa"/>
                                  <w:tcBorders>
                                    <w:left w:val="single" w:sz="4" w:space="0" w:color="000101"/>
                                    <w:right w:val="single" w:sz="4" w:space="0" w:color="000000"/>
                                  </w:tcBorders>
                                  <w:shd w:val="clear" w:color="auto" w:fill="DCDCE0"/>
                                  <w:vAlign w:val="center"/>
                                </w:tcPr>
                                <w:p w14:paraId="389B864B"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Committees) to respond to all roles of AtoN personnel </w:t>
                                  </w:r>
                                </w:p>
                              </w:tc>
                            </w:tr>
                            <w:tr w:rsidR="00541A14" w14:paraId="7E18802E" w14:textId="77777777">
                              <w:trPr>
                                <w:trHeight w:val="152"/>
                              </w:trPr>
                              <w:tc>
                                <w:tcPr>
                                  <w:tcW w:w="3802" w:type="dxa"/>
                                  <w:tcBorders>
                                    <w:left w:val="single" w:sz="4" w:space="0" w:color="000000"/>
                                    <w:right w:val="single" w:sz="4" w:space="0" w:color="000101"/>
                                  </w:tcBorders>
                                  <w:shd w:val="clear" w:color="auto" w:fill="DCDCE0"/>
                                </w:tcPr>
                                <w:p w14:paraId="44E2C78D"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replacement, etc.) </w:t>
                                  </w:r>
                                </w:p>
                              </w:tc>
                              <w:tc>
                                <w:tcPr>
                                  <w:tcW w:w="5270" w:type="dxa"/>
                                  <w:tcBorders>
                                    <w:left w:val="single" w:sz="4" w:space="0" w:color="000101"/>
                                    <w:right w:val="single" w:sz="4" w:space="0" w:color="000000"/>
                                  </w:tcBorders>
                                  <w:shd w:val="clear" w:color="auto" w:fill="DCDCE0"/>
                                </w:tcPr>
                                <w:p w14:paraId="4B0E4922" w14:textId="77777777" w:rsidR="00541A14" w:rsidRDefault="00541A14">
                                  <w:pPr>
                                    <w:pStyle w:val="Default"/>
                                    <w:rPr>
                                      <w:rFonts w:cs="Times New Roman"/>
                                      <w:color w:val="auto"/>
                                    </w:rPr>
                                  </w:pPr>
                                </w:p>
                              </w:tc>
                            </w:tr>
                            <w:tr w:rsidR="00541A14" w14:paraId="7EF42FA1" w14:textId="77777777">
                              <w:trPr>
                                <w:trHeight w:val="152"/>
                              </w:trPr>
                              <w:tc>
                                <w:tcPr>
                                  <w:tcW w:w="3802" w:type="dxa"/>
                                  <w:tcBorders>
                                    <w:left w:val="single" w:sz="4" w:space="0" w:color="000000"/>
                                    <w:right w:val="single" w:sz="4" w:space="0" w:color="000101"/>
                                  </w:tcBorders>
                                  <w:vAlign w:val="bottom"/>
                                </w:tcPr>
                                <w:p w14:paraId="0CFA54F5"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National and international requirements </w:t>
                                  </w:r>
                                </w:p>
                              </w:tc>
                              <w:tc>
                                <w:tcPr>
                                  <w:tcW w:w="5270" w:type="dxa"/>
                                  <w:tcBorders>
                                    <w:left w:val="single" w:sz="4" w:space="0" w:color="000101"/>
                                    <w:right w:val="single" w:sz="4" w:space="0" w:color="000000"/>
                                  </w:tcBorders>
                                  <w:vAlign w:val="bottom"/>
                                </w:tcPr>
                                <w:p w14:paraId="7A99F25F"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Training model developed to an international standard, with </w:t>
                                  </w:r>
                                </w:p>
                              </w:tc>
                            </w:tr>
                            <w:tr w:rsidR="00541A14" w14:paraId="710EF107" w14:textId="77777777">
                              <w:trPr>
                                <w:trHeight w:val="120"/>
                              </w:trPr>
                              <w:tc>
                                <w:tcPr>
                                  <w:tcW w:w="3802" w:type="dxa"/>
                                  <w:tcBorders>
                                    <w:left w:val="single" w:sz="4" w:space="0" w:color="000000"/>
                                    <w:right w:val="single" w:sz="4" w:space="0" w:color="000101"/>
                                  </w:tcBorders>
                                  <w:vAlign w:val="center"/>
                                </w:tcPr>
                                <w:p w14:paraId="78D41CE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regarding labour laws, affirmative action, </w:t>
                                  </w:r>
                                </w:p>
                              </w:tc>
                              <w:tc>
                                <w:tcPr>
                                  <w:tcW w:w="5270" w:type="dxa"/>
                                  <w:tcBorders>
                                    <w:left w:val="single" w:sz="4" w:space="0" w:color="000101"/>
                                    <w:right w:val="single" w:sz="4" w:space="0" w:color="000000"/>
                                  </w:tcBorders>
                                  <w:vAlign w:val="center"/>
                                </w:tcPr>
                                <w:p w14:paraId="7C66065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ability to tailor to meet specific requirements, prior learning </w:t>
                                  </w:r>
                                </w:p>
                              </w:tc>
                            </w:tr>
                            <w:tr w:rsidR="00541A14" w14:paraId="21DAC9A5" w14:textId="77777777">
                              <w:trPr>
                                <w:trHeight w:val="151"/>
                              </w:trPr>
                              <w:tc>
                                <w:tcPr>
                                  <w:tcW w:w="3802" w:type="dxa"/>
                                  <w:tcBorders>
                                    <w:left w:val="single" w:sz="4" w:space="0" w:color="000000"/>
                                    <w:right w:val="single" w:sz="4" w:space="0" w:color="000101"/>
                                  </w:tcBorders>
                                </w:tcPr>
                                <w:p w14:paraId="6541924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educational requirements, etc </w:t>
                                  </w:r>
                                </w:p>
                              </w:tc>
                              <w:tc>
                                <w:tcPr>
                                  <w:tcW w:w="5270" w:type="dxa"/>
                                  <w:tcBorders>
                                    <w:left w:val="single" w:sz="4" w:space="0" w:color="000101"/>
                                    <w:right w:val="single" w:sz="4" w:space="0" w:color="000000"/>
                                  </w:tcBorders>
                                </w:tcPr>
                                <w:p w14:paraId="1F94931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assessments of students, etc </w:t>
                                  </w:r>
                                </w:p>
                              </w:tc>
                            </w:tr>
                            <w:tr w:rsidR="00541A14" w14:paraId="0580438F" w14:textId="77777777">
                              <w:trPr>
                                <w:trHeight w:val="152"/>
                              </w:trPr>
                              <w:tc>
                                <w:tcPr>
                                  <w:tcW w:w="3802" w:type="dxa"/>
                                  <w:tcBorders>
                                    <w:left w:val="single" w:sz="4" w:space="0" w:color="000000"/>
                                    <w:right w:val="single" w:sz="4" w:space="0" w:color="000101"/>
                                  </w:tcBorders>
                                  <w:shd w:val="clear" w:color="auto" w:fill="DCDCE0"/>
                                  <w:vAlign w:val="bottom"/>
                                </w:tcPr>
                                <w:p w14:paraId="617689F1"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Variance in equipment in service, and </w:t>
                                  </w:r>
                                </w:p>
                              </w:tc>
                              <w:tc>
                                <w:tcPr>
                                  <w:tcW w:w="5270" w:type="dxa"/>
                                  <w:tcBorders>
                                    <w:left w:val="single" w:sz="4" w:space="0" w:color="000101"/>
                                    <w:right w:val="single" w:sz="4" w:space="0" w:color="000000"/>
                                  </w:tcBorders>
                                  <w:shd w:val="clear" w:color="auto" w:fill="DCDCE0"/>
                                  <w:vAlign w:val="bottom"/>
                                </w:tcPr>
                                <w:p w14:paraId="1B96DBF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Training to take into account actual, on-site requirements while </w:t>
                                  </w:r>
                                </w:p>
                              </w:tc>
                            </w:tr>
                            <w:tr w:rsidR="00541A14" w14:paraId="513286AF" w14:textId="77777777">
                              <w:trPr>
                                <w:trHeight w:val="272"/>
                              </w:trPr>
                              <w:tc>
                                <w:tcPr>
                                  <w:tcW w:w="3802" w:type="dxa"/>
                                  <w:tcBorders>
                                    <w:left w:val="single" w:sz="4" w:space="0" w:color="000000"/>
                                    <w:right w:val="single" w:sz="4" w:space="0" w:color="000101"/>
                                  </w:tcBorders>
                                  <w:shd w:val="clear" w:color="auto" w:fill="DCDCE0"/>
                                </w:tcPr>
                                <w:p w14:paraId="24AC6F5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facilities to train on the equipment </w:t>
                                  </w:r>
                                </w:p>
                              </w:tc>
                              <w:tc>
                                <w:tcPr>
                                  <w:tcW w:w="5270" w:type="dxa"/>
                                  <w:tcBorders>
                                    <w:left w:val="single" w:sz="4" w:space="0" w:color="000101"/>
                                    <w:right w:val="single" w:sz="4" w:space="0" w:color="000000"/>
                                  </w:tcBorders>
                                  <w:shd w:val="clear" w:color="auto" w:fill="DCDCE0"/>
                                </w:tcPr>
                                <w:p w14:paraId="0638EEEC"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providing access to a network of training facilities through the IALA network </w:t>
                                  </w:r>
                                </w:p>
                              </w:tc>
                            </w:tr>
                            <w:tr w:rsidR="00541A14" w14:paraId="4837DE3C" w14:textId="77777777">
                              <w:trPr>
                                <w:trHeight w:val="305"/>
                              </w:trPr>
                              <w:tc>
                                <w:tcPr>
                                  <w:tcW w:w="3802" w:type="dxa"/>
                                  <w:tcBorders>
                                    <w:left w:val="single" w:sz="4" w:space="0" w:color="000000"/>
                                    <w:right w:val="single" w:sz="4" w:space="0" w:color="000101"/>
                                  </w:tcBorders>
                                </w:tcPr>
                                <w:p w14:paraId="1A65D532"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Language requirements for AtoN personnel </w:t>
                                  </w:r>
                                </w:p>
                              </w:tc>
                              <w:tc>
                                <w:tcPr>
                                  <w:tcW w:w="5270" w:type="dxa"/>
                                  <w:tcBorders>
                                    <w:left w:val="single" w:sz="4" w:space="0" w:color="000101"/>
                                    <w:right w:val="single" w:sz="4" w:space="0" w:color="000000"/>
                                  </w:tcBorders>
                                  <w:vAlign w:val="center"/>
                                </w:tcPr>
                                <w:p w14:paraId="4FB0AF09"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While development will be in English, members will be encouraged to translate to language of choice </w:t>
                                  </w:r>
                                </w:p>
                              </w:tc>
                            </w:tr>
                            <w:tr w:rsidR="00541A14" w14:paraId="111ADB71" w14:textId="77777777">
                              <w:trPr>
                                <w:trHeight w:val="152"/>
                              </w:trPr>
                              <w:tc>
                                <w:tcPr>
                                  <w:tcW w:w="3802" w:type="dxa"/>
                                  <w:tcBorders>
                                    <w:left w:val="single" w:sz="4" w:space="0" w:color="000000"/>
                                    <w:right w:val="single" w:sz="4" w:space="0" w:color="000101"/>
                                  </w:tcBorders>
                                  <w:shd w:val="clear" w:color="auto" w:fill="DCDCE0"/>
                                  <w:vAlign w:val="bottom"/>
                                </w:tcPr>
                                <w:p w14:paraId="22558834"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Access to training facilities and instructional </w:t>
                                  </w:r>
                                </w:p>
                              </w:tc>
                              <w:tc>
                                <w:tcPr>
                                  <w:tcW w:w="5270" w:type="dxa"/>
                                  <w:tcBorders>
                                    <w:left w:val="single" w:sz="4" w:space="0" w:color="000101"/>
                                    <w:right w:val="single" w:sz="4" w:space="0" w:color="000000"/>
                                  </w:tcBorders>
                                  <w:shd w:val="clear" w:color="auto" w:fill="DCDCE0"/>
                                  <w:vAlign w:val="bottom"/>
                                </w:tcPr>
                                <w:p w14:paraId="4656F5A7"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Use of modern educational techniques, including computer </w:t>
                                  </w:r>
                                </w:p>
                              </w:tc>
                            </w:tr>
                            <w:tr w:rsidR="00541A14" w14:paraId="16E1D2B8" w14:textId="77777777">
                              <w:trPr>
                                <w:trHeight w:val="185"/>
                              </w:trPr>
                              <w:tc>
                                <w:tcPr>
                                  <w:tcW w:w="3802" w:type="dxa"/>
                                  <w:tcBorders>
                                    <w:left w:val="single" w:sz="4" w:space="0" w:color="000000"/>
                                    <w:bottom w:val="single" w:sz="4" w:space="0" w:color="000000"/>
                                    <w:right w:val="single" w:sz="4" w:space="0" w:color="000101"/>
                                  </w:tcBorders>
                                  <w:shd w:val="clear" w:color="auto" w:fill="DCDCE0"/>
                                </w:tcPr>
                                <w:p w14:paraId="4E613460"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staff – through physical locality or language </w:t>
                                  </w:r>
                                </w:p>
                              </w:tc>
                              <w:tc>
                                <w:tcPr>
                                  <w:tcW w:w="5270" w:type="dxa"/>
                                  <w:tcBorders>
                                    <w:left w:val="single" w:sz="4" w:space="0" w:color="000101"/>
                                    <w:bottom w:val="single" w:sz="4" w:space="0" w:color="000000"/>
                                    <w:right w:val="single" w:sz="4" w:space="0" w:color="000000"/>
                                  </w:tcBorders>
                                  <w:shd w:val="clear" w:color="auto" w:fill="DCDCE0"/>
                                </w:tcPr>
                                <w:p w14:paraId="022314CE" w14:textId="77777777" w:rsidR="00541A14"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mediated communication (CMC) will improve access to training </w:t>
                                  </w:r>
                                </w:p>
                              </w:tc>
                            </w:tr>
                          </w:tbl>
                          <w:p w14:paraId="1DB1F1D8"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61" type="#_x0000_t202" style="position:absolute;margin-left:65.1pt;margin-top:241.25pt;width:493.6pt;height:238.35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120"/>
                        <w:gridCol w:w="302"/>
                        <w:gridCol w:w="33"/>
                        <w:gridCol w:w="312"/>
                        <w:gridCol w:w="180"/>
                        <w:gridCol w:w="20"/>
                        <w:gridCol w:w="218"/>
                        <w:gridCol w:w="502"/>
                        <w:gridCol w:w="842"/>
                        <w:gridCol w:w="275"/>
                        <w:gridCol w:w="460"/>
                        <w:gridCol w:w="5"/>
                        <w:gridCol w:w="5"/>
                        <w:gridCol w:w="12"/>
                        <w:gridCol w:w="47"/>
                        <w:gridCol w:w="168"/>
                        <w:gridCol w:w="1187"/>
                        <w:gridCol w:w="10"/>
                        <w:gridCol w:w="3295"/>
                        <w:gridCol w:w="77"/>
                        <w:gridCol w:w="15"/>
                        <w:gridCol w:w="8"/>
                      </w:tblGrid>
                      <w:tr w:rsidR="00000000" w14:paraId="68627DA0" w14:textId="77777777">
                        <w:tblPrEx>
                          <w:tblCellMar>
                            <w:top w:w="0" w:type="dxa"/>
                            <w:bottom w:w="0" w:type="dxa"/>
                          </w:tblCellMar>
                        </w:tblPrEx>
                        <w:trPr>
                          <w:gridAfter w:val="1"/>
                          <w:wAfter w:w="6" w:type="dxa"/>
                          <w:trHeight w:val="188"/>
                        </w:trPr>
                        <w:tc>
                          <w:tcPr>
                            <w:tcW w:w="3802" w:type="dxa"/>
                            <w:gridSpan w:val="10"/>
                            <w:tcBorders>
                              <w:top w:val="single" w:sz="4" w:space="0" w:color="05090D"/>
                              <w:left w:val="single" w:sz="4" w:space="0" w:color="000000"/>
                              <w:right w:val="single" w:sz="4" w:space="0" w:color="000101"/>
                            </w:tcBorders>
                            <w:shd w:val="clear" w:color="auto" w:fill="264056"/>
                            <w:vAlign w:val="center"/>
                          </w:tcPr>
                          <w:p w14:paraId="2A7897B4"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 xml:space="preserve">Challenge </w:t>
                            </w:r>
                          </w:p>
                        </w:tc>
                        <w:tc>
                          <w:tcPr>
                            <w:tcW w:w="5270" w:type="dxa"/>
                            <w:gridSpan w:val="11"/>
                            <w:tcBorders>
                              <w:top w:val="single" w:sz="4" w:space="0" w:color="05090D"/>
                              <w:left w:val="single" w:sz="4" w:space="0" w:color="000101"/>
                              <w:right w:val="single" w:sz="4" w:space="0" w:color="000000"/>
                            </w:tcBorders>
                            <w:shd w:val="clear" w:color="auto" w:fill="264056"/>
                            <w:vAlign w:val="center"/>
                          </w:tcPr>
                          <w:p w14:paraId="6F609C8B" w14:textId="77777777" w:rsidR="00000000" w:rsidRDefault="00A450E1">
                            <w:pPr>
                              <w:pStyle w:val="Default"/>
                              <w:rPr>
                                <w:rFonts w:ascii="Helvetica 65 Medium" w:hAnsi="Helvetica 65 Medium" w:cs="Helvetica 65 Medium"/>
                                <w:color w:val="FFFFFF"/>
                                <w:sz w:val="18"/>
                                <w:szCs w:val="18"/>
                              </w:rPr>
                            </w:pPr>
                            <w:r>
                              <w:rPr>
                                <w:rFonts w:ascii="Helvetica 65 Medium" w:hAnsi="Helvetica 65 Medium" w:cs="Helvetica 65 Medium"/>
                                <w:color w:val="FFFFFF"/>
                                <w:sz w:val="18"/>
                                <w:szCs w:val="18"/>
                              </w:rPr>
                              <w:t>I</w:t>
                            </w:r>
                            <w:r>
                              <w:rPr>
                                <w:rFonts w:ascii="Helvetica 65 Medium" w:hAnsi="Helvetica 65 Medium" w:cs="Helvetica 65 Medium"/>
                                <w:color w:val="FFFFFF"/>
                                <w:sz w:val="18"/>
                                <w:szCs w:val="18"/>
                              </w:rPr>
                              <w:t xml:space="preserve">ALA Worldwide Academy Response </w:t>
                            </w:r>
                          </w:p>
                        </w:tc>
                      </w:tr>
                      <w:tr w:rsidR="00000000" w14:paraId="21829291" w14:textId="77777777">
                        <w:tblPrEx>
                          <w:tblCellMar>
                            <w:top w:w="0" w:type="dxa"/>
                            <w:bottom w:w="0" w:type="dxa"/>
                          </w:tblCellMar>
                        </w:tblPrEx>
                        <w:trPr>
                          <w:gridAfter w:val="1"/>
                          <w:wAfter w:w="6" w:type="dxa"/>
                          <w:trHeight w:val="153"/>
                        </w:trPr>
                        <w:tc>
                          <w:tcPr>
                            <w:tcW w:w="3802" w:type="dxa"/>
                            <w:gridSpan w:val="10"/>
                            <w:tcBorders>
                              <w:top w:val="single" w:sz="2" w:space="0" w:color="264056"/>
                              <w:left w:val="single" w:sz="4" w:space="0" w:color="000000"/>
                              <w:right w:val="single" w:sz="4" w:space="0" w:color="000101"/>
                            </w:tcBorders>
                            <w:shd w:val="clear" w:color="auto" w:fill="DCDCE0"/>
                            <w:vAlign w:val="bottom"/>
                          </w:tcPr>
                          <w:p w14:paraId="257A4A2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Differing roles of AtoN service providers </w:t>
                            </w:r>
                          </w:p>
                        </w:tc>
                        <w:tc>
                          <w:tcPr>
                            <w:tcW w:w="5270" w:type="dxa"/>
                            <w:gridSpan w:val="11"/>
                            <w:tcBorders>
                              <w:top w:val="single" w:sz="2" w:space="0" w:color="264056"/>
                              <w:left w:val="single" w:sz="4" w:space="0" w:color="000101"/>
                              <w:right w:val="single" w:sz="4" w:space="0" w:color="000000"/>
                            </w:tcBorders>
                            <w:shd w:val="clear" w:color="auto" w:fill="DCDCE0"/>
                            <w:vAlign w:val="bottom"/>
                          </w:tcPr>
                          <w:p w14:paraId="5F7B8AA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Provide training as developed by IALA expertise (ANM, EEP </w:t>
                            </w:r>
                          </w:p>
                        </w:tc>
                      </w:tr>
                      <w:tr w:rsidR="00000000" w14:paraId="417BC935" w14:textId="77777777">
                        <w:tblPrEx>
                          <w:tblCellMar>
                            <w:top w:w="0" w:type="dxa"/>
                            <w:bottom w:w="0" w:type="dxa"/>
                          </w:tblCellMar>
                        </w:tblPrEx>
                        <w:trPr>
                          <w:gridAfter w:val="1"/>
                          <w:wAfter w:w="6" w:type="dxa"/>
                          <w:trHeight w:val="120"/>
                        </w:trPr>
                        <w:tc>
                          <w:tcPr>
                            <w:tcW w:w="3802" w:type="dxa"/>
                            <w:gridSpan w:val="10"/>
                            <w:tcBorders>
                              <w:left w:val="single" w:sz="4" w:space="0" w:color="000000"/>
                              <w:right w:val="single" w:sz="4" w:space="0" w:color="000101"/>
                            </w:tcBorders>
                            <w:shd w:val="clear" w:color="auto" w:fill="DCDCE0"/>
                            <w:vAlign w:val="center"/>
                          </w:tcPr>
                          <w:p w14:paraId="293D881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(management, engineering, VTS, lamp </w:t>
                            </w:r>
                          </w:p>
                        </w:tc>
                        <w:tc>
                          <w:tcPr>
                            <w:tcW w:w="5270" w:type="dxa"/>
                            <w:gridSpan w:val="11"/>
                            <w:tcBorders>
                              <w:left w:val="single" w:sz="4" w:space="0" w:color="000101"/>
                              <w:right w:val="single" w:sz="4" w:space="0" w:color="000000"/>
                            </w:tcBorders>
                            <w:shd w:val="clear" w:color="auto" w:fill="DCDCE0"/>
                            <w:vAlign w:val="center"/>
                          </w:tcPr>
                          <w:p w14:paraId="389B864B"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Committees) to respond to all roles of AtoN personnel </w:t>
                            </w:r>
                          </w:p>
                        </w:tc>
                      </w:tr>
                      <w:tr w:rsidR="00000000" w14:paraId="7E18802E" w14:textId="77777777">
                        <w:tblPrEx>
                          <w:tblCellMar>
                            <w:top w:w="0" w:type="dxa"/>
                            <w:bottom w:w="0" w:type="dxa"/>
                          </w:tblCellMar>
                        </w:tblPrEx>
                        <w:trPr>
                          <w:gridAfter w:val="1"/>
                          <w:wAfter w:w="6" w:type="dxa"/>
                          <w:trHeight w:val="152"/>
                        </w:trPr>
                        <w:tc>
                          <w:tcPr>
                            <w:tcW w:w="3802" w:type="dxa"/>
                            <w:gridSpan w:val="10"/>
                            <w:tcBorders>
                              <w:left w:val="single" w:sz="4" w:space="0" w:color="000000"/>
                              <w:right w:val="single" w:sz="4" w:space="0" w:color="000101"/>
                            </w:tcBorders>
                            <w:shd w:val="clear" w:color="auto" w:fill="DCDCE0"/>
                          </w:tcPr>
                          <w:p w14:paraId="44E2C78D"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replacement, etc.) </w:t>
                            </w:r>
                          </w:p>
                        </w:tc>
                        <w:tc>
                          <w:tcPr>
                            <w:tcW w:w="5270" w:type="dxa"/>
                            <w:gridSpan w:val="11"/>
                            <w:tcBorders>
                              <w:left w:val="single" w:sz="4" w:space="0" w:color="000101"/>
                              <w:right w:val="single" w:sz="4" w:space="0" w:color="000000"/>
                            </w:tcBorders>
                            <w:shd w:val="clear" w:color="auto" w:fill="DCDCE0"/>
                          </w:tcPr>
                          <w:p w14:paraId="4B0E4922" w14:textId="77777777" w:rsidR="00000000" w:rsidRDefault="00A450E1">
                            <w:pPr>
                              <w:pStyle w:val="Default"/>
                              <w:rPr>
                                <w:rFonts w:cs="Times New Roman"/>
                                <w:color w:val="auto"/>
                              </w:rPr>
                            </w:pPr>
                          </w:p>
                        </w:tc>
                      </w:tr>
                      <w:tr w:rsidR="00000000" w14:paraId="7EF42FA1" w14:textId="77777777">
                        <w:tblPrEx>
                          <w:tblCellMar>
                            <w:top w:w="0" w:type="dxa"/>
                            <w:bottom w:w="0" w:type="dxa"/>
                          </w:tblCellMar>
                        </w:tblPrEx>
                        <w:trPr>
                          <w:gridAfter w:val="1"/>
                          <w:wAfter w:w="6" w:type="dxa"/>
                          <w:trHeight w:val="152"/>
                        </w:trPr>
                        <w:tc>
                          <w:tcPr>
                            <w:tcW w:w="3802" w:type="dxa"/>
                            <w:gridSpan w:val="10"/>
                            <w:tcBorders>
                              <w:left w:val="single" w:sz="4" w:space="0" w:color="000000"/>
                              <w:right w:val="single" w:sz="4" w:space="0" w:color="000101"/>
                            </w:tcBorders>
                            <w:vAlign w:val="bottom"/>
                          </w:tcPr>
                          <w:p w14:paraId="0CFA54F5"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National and international requirements </w:t>
                            </w:r>
                          </w:p>
                        </w:tc>
                        <w:tc>
                          <w:tcPr>
                            <w:tcW w:w="5270" w:type="dxa"/>
                            <w:gridSpan w:val="11"/>
                            <w:tcBorders>
                              <w:left w:val="single" w:sz="4" w:space="0" w:color="000101"/>
                              <w:right w:val="single" w:sz="4" w:space="0" w:color="000000"/>
                            </w:tcBorders>
                            <w:vAlign w:val="bottom"/>
                          </w:tcPr>
                          <w:p w14:paraId="7A99F25F"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Training model developed to an international standard, with </w:t>
                            </w:r>
                          </w:p>
                        </w:tc>
                      </w:tr>
                      <w:tr w:rsidR="00000000" w14:paraId="710EF107" w14:textId="77777777">
                        <w:tblPrEx>
                          <w:tblCellMar>
                            <w:top w:w="0" w:type="dxa"/>
                            <w:bottom w:w="0" w:type="dxa"/>
                          </w:tblCellMar>
                        </w:tblPrEx>
                        <w:trPr>
                          <w:gridAfter w:val="1"/>
                          <w:wAfter w:w="6" w:type="dxa"/>
                          <w:trHeight w:val="120"/>
                        </w:trPr>
                        <w:tc>
                          <w:tcPr>
                            <w:tcW w:w="3802" w:type="dxa"/>
                            <w:gridSpan w:val="10"/>
                            <w:tcBorders>
                              <w:left w:val="single" w:sz="4" w:space="0" w:color="000000"/>
                              <w:right w:val="single" w:sz="4" w:space="0" w:color="000101"/>
                            </w:tcBorders>
                            <w:vAlign w:val="center"/>
                          </w:tcPr>
                          <w:p w14:paraId="78D41CE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regarding labour laws, affirmative action, </w:t>
                            </w:r>
                          </w:p>
                        </w:tc>
                        <w:tc>
                          <w:tcPr>
                            <w:tcW w:w="5270" w:type="dxa"/>
                            <w:gridSpan w:val="11"/>
                            <w:tcBorders>
                              <w:left w:val="single" w:sz="4" w:space="0" w:color="000101"/>
                              <w:right w:val="single" w:sz="4" w:space="0" w:color="000000"/>
                            </w:tcBorders>
                            <w:vAlign w:val="center"/>
                          </w:tcPr>
                          <w:p w14:paraId="7C66065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ability to tailor to meet specific requirements, prior learning </w:t>
                            </w:r>
                          </w:p>
                        </w:tc>
                      </w:tr>
                      <w:tr w:rsidR="00000000" w14:paraId="21DAC9A5" w14:textId="77777777">
                        <w:tblPrEx>
                          <w:tblCellMar>
                            <w:top w:w="0" w:type="dxa"/>
                            <w:bottom w:w="0" w:type="dxa"/>
                          </w:tblCellMar>
                        </w:tblPrEx>
                        <w:trPr>
                          <w:gridAfter w:val="1"/>
                          <w:wAfter w:w="6" w:type="dxa"/>
                          <w:trHeight w:val="151"/>
                        </w:trPr>
                        <w:tc>
                          <w:tcPr>
                            <w:tcW w:w="3802" w:type="dxa"/>
                            <w:gridSpan w:val="10"/>
                            <w:tcBorders>
                              <w:left w:val="single" w:sz="4" w:space="0" w:color="000000"/>
                              <w:right w:val="single" w:sz="4" w:space="0" w:color="000101"/>
                            </w:tcBorders>
                          </w:tcPr>
                          <w:p w14:paraId="6541924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educational requirements, etc </w:t>
                            </w:r>
                          </w:p>
                        </w:tc>
                        <w:tc>
                          <w:tcPr>
                            <w:tcW w:w="5270" w:type="dxa"/>
                            <w:gridSpan w:val="11"/>
                            <w:tcBorders>
                              <w:left w:val="single" w:sz="4" w:space="0" w:color="000101"/>
                              <w:right w:val="single" w:sz="4" w:space="0" w:color="000000"/>
                            </w:tcBorders>
                          </w:tcPr>
                          <w:p w14:paraId="1F94931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assessments of students, etc </w:t>
                            </w:r>
                          </w:p>
                        </w:tc>
                      </w:tr>
                      <w:tr w:rsidR="00000000" w14:paraId="0580438F" w14:textId="77777777">
                        <w:tblPrEx>
                          <w:tblCellMar>
                            <w:top w:w="0" w:type="dxa"/>
                            <w:bottom w:w="0" w:type="dxa"/>
                          </w:tblCellMar>
                        </w:tblPrEx>
                        <w:trPr>
                          <w:gridAfter w:val="1"/>
                          <w:wAfter w:w="6" w:type="dxa"/>
                          <w:trHeight w:val="152"/>
                        </w:trPr>
                        <w:tc>
                          <w:tcPr>
                            <w:tcW w:w="3802" w:type="dxa"/>
                            <w:gridSpan w:val="10"/>
                            <w:tcBorders>
                              <w:left w:val="single" w:sz="4" w:space="0" w:color="000000"/>
                              <w:right w:val="single" w:sz="4" w:space="0" w:color="000101"/>
                            </w:tcBorders>
                            <w:shd w:val="clear" w:color="auto" w:fill="DCDCE0"/>
                            <w:vAlign w:val="bottom"/>
                          </w:tcPr>
                          <w:p w14:paraId="617689F1"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Variance in equipment in service, and </w:t>
                            </w:r>
                          </w:p>
                        </w:tc>
                        <w:tc>
                          <w:tcPr>
                            <w:tcW w:w="5270" w:type="dxa"/>
                            <w:gridSpan w:val="11"/>
                            <w:tcBorders>
                              <w:left w:val="single" w:sz="4" w:space="0" w:color="000101"/>
                              <w:right w:val="single" w:sz="4" w:space="0" w:color="000000"/>
                            </w:tcBorders>
                            <w:shd w:val="clear" w:color="auto" w:fill="DCDCE0"/>
                            <w:vAlign w:val="bottom"/>
                          </w:tcPr>
                          <w:p w14:paraId="1B96DBF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Training to take into account actual, on-site requirements while </w:t>
                            </w:r>
                          </w:p>
                        </w:tc>
                      </w:tr>
                      <w:tr w:rsidR="00000000" w14:paraId="513286AF" w14:textId="77777777">
                        <w:tblPrEx>
                          <w:tblCellMar>
                            <w:top w:w="0" w:type="dxa"/>
                            <w:bottom w:w="0" w:type="dxa"/>
                          </w:tblCellMar>
                        </w:tblPrEx>
                        <w:trPr>
                          <w:gridAfter w:val="1"/>
                          <w:wAfter w:w="6" w:type="dxa"/>
                          <w:trHeight w:val="272"/>
                        </w:trPr>
                        <w:tc>
                          <w:tcPr>
                            <w:tcW w:w="3802" w:type="dxa"/>
                            <w:gridSpan w:val="10"/>
                            <w:tcBorders>
                              <w:left w:val="single" w:sz="4" w:space="0" w:color="000000"/>
                              <w:right w:val="single" w:sz="4" w:space="0" w:color="000101"/>
                            </w:tcBorders>
                            <w:shd w:val="clear" w:color="auto" w:fill="DCDCE0"/>
                          </w:tcPr>
                          <w:p w14:paraId="24AC6F5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facilities to train on the equipment </w:t>
                            </w:r>
                          </w:p>
                        </w:tc>
                        <w:tc>
                          <w:tcPr>
                            <w:tcW w:w="5270" w:type="dxa"/>
                            <w:gridSpan w:val="11"/>
                            <w:tcBorders>
                              <w:left w:val="single" w:sz="4" w:space="0" w:color="000101"/>
                              <w:right w:val="single" w:sz="4" w:space="0" w:color="000000"/>
                            </w:tcBorders>
                            <w:shd w:val="clear" w:color="auto" w:fill="DCDCE0"/>
                          </w:tcPr>
                          <w:p w14:paraId="0638EEEC"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providing access to a network of training facilities through the IALA network </w:t>
                            </w:r>
                          </w:p>
                        </w:tc>
                      </w:tr>
                      <w:tr w:rsidR="00000000" w14:paraId="4837DE3C" w14:textId="77777777">
                        <w:tblPrEx>
                          <w:tblCellMar>
                            <w:top w:w="0" w:type="dxa"/>
                            <w:bottom w:w="0" w:type="dxa"/>
                          </w:tblCellMar>
                        </w:tblPrEx>
                        <w:trPr>
                          <w:gridAfter w:val="1"/>
                          <w:wAfter w:w="6" w:type="dxa"/>
                          <w:trHeight w:val="305"/>
                        </w:trPr>
                        <w:tc>
                          <w:tcPr>
                            <w:tcW w:w="3802" w:type="dxa"/>
                            <w:gridSpan w:val="10"/>
                            <w:tcBorders>
                              <w:left w:val="single" w:sz="4" w:space="0" w:color="000000"/>
                              <w:right w:val="single" w:sz="4" w:space="0" w:color="000101"/>
                            </w:tcBorders>
                          </w:tcPr>
                          <w:p w14:paraId="1A65D532"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Language requirements for AtoN personnel </w:t>
                            </w:r>
                          </w:p>
                        </w:tc>
                        <w:tc>
                          <w:tcPr>
                            <w:tcW w:w="5270" w:type="dxa"/>
                            <w:gridSpan w:val="11"/>
                            <w:tcBorders>
                              <w:left w:val="single" w:sz="4" w:space="0" w:color="000101"/>
                              <w:right w:val="single" w:sz="4" w:space="0" w:color="000000"/>
                            </w:tcBorders>
                            <w:vAlign w:val="center"/>
                          </w:tcPr>
                          <w:p w14:paraId="4FB0AF09"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While development will be in English, members will be encouraged to translate to language of choice </w:t>
                            </w:r>
                          </w:p>
                        </w:tc>
                      </w:tr>
                      <w:tr w:rsidR="00000000" w14:paraId="111ADB71" w14:textId="77777777">
                        <w:tblPrEx>
                          <w:tblCellMar>
                            <w:top w:w="0" w:type="dxa"/>
                            <w:bottom w:w="0" w:type="dxa"/>
                          </w:tblCellMar>
                        </w:tblPrEx>
                        <w:trPr>
                          <w:gridAfter w:val="1"/>
                          <w:wAfter w:w="6" w:type="dxa"/>
                          <w:trHeight w:val="152"/>
                        </w:trPr>
                        <w:tc>
                          <w:tcPr>
                            <w:tcW w:w="3802" w:type="dxa"/>
                            <w:gridSpan w:val="10"/>
                            <w:tcBorders>
                              <w:left w:val="single" w:sz="4" w:space="0" w:color="000000"/>
                              <w:right w:val="single" w:sz="4" w:space="0" w:color="000101"/>
                            </w:tcBorders>
                            <w:shd w:val="clear" w:color="auto" w:fill="DCDCE0"/>
                            <w:vAlign w:val="bottom"/>
                          </w:tcPr>
                          <w:p w14:paraId="22558834"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Access to training facilities and instructional </w:t>
                            </w:r>
                          </w:p>
                        </w:tc>
                        <w:tc>
                          <w:tcPr>
                            <w:tcW w:w="5270" w:type="dxa"/>
                            <w:gridSpan w:val="11"/>
                            <w:tcBorders>
                              <w:left w:val="single" w:sz="4" w:space="0" w:color="000101"/>
                              <w:right w:val="single" w:sz="4" w:space="0" w:color="000000"/>
                            </w:tcBorders>
                            <w:shd w:val="clear" w:color="auto" w:fill="DCDCE0"/>
                            <w:vAlign w:val="bottom"/>
                          </w:tcPr>
                          <w:p w14:paraId="4656F5A7"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Use of modern educational techniques, including computer </w:t>
                            </w:r>
                          </w:p>
                        </w:tc>
                      </w:tr>
                      <w:tr w:rsidR="00000000" w14:paraId="16E1D2B8" w14:textId="77777777">
                        <w:tblPrEx>
                          <w:tblCellMar>
                            <w:top w:w="0" w:type="dxa"/>
                            <w:bottom w:w="0" w:type="dxa"/>
                          </w:tblCellMar>
                        </w:tblPrEx>
                        <w:trPr>
                          <w:gridAfter w:val="1"/>
                          <w:wAfter w:w="6" w:type="dxa"/>
                          <w:trHeight w:val="185"/>
                        </w:trPr>
                        <w:tc>
                          <w:tcPr>
                            <w:tcW w:w="3802" w:type="dxa"/>
                            <w:gridSpan w:val="10"/>
                            <w:tcBorders>
                              <w:left w:val="single" w:sz="4" w:space="0" w:color="000000"/>
                              <w:bottom w:val="single" w:sz="4" w:space="0" w:color="000000"/>
                              <w:right w:val="single" w:sz="4" w:space="0" w:color="000101"/>
                            </w:tcBorders>
                            <w:shd w:val="clear" w:color="auto" w:fill="DCDCE0"/>
                          </w:tcPr>
                          <w:p w14:paraId="4E613460"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staff – through physical locality or language </w:t>
                            </w:r>
                          </w:p>
                        </w:tc>
                        <w:tc>
                          <w:tcPr>
                            <w:tcW w:w="5270" w:type="dxa"/>
                            <w:gridSpan w:val="11"/>
                            <w:tcBorders>
                              <w:left w:val="single" w:sz="4" w:space="0" w:color="000101"/>
                              <w:bottom w:val="single" w:sz="4" w:space="0" w:color="000000"/>
                              <w:right w:val="single" w:sz="4" w:space="0" w:color="000000"/>
                            </w:tcBorders>
                            <w:shd w:val="clear" w:color="auto" w:fill="DCDCE0"/>
                          </w:tcPr>
                          <w:p w14:paraId="022314CE" w14:textId="77777777" w:rsidR="00000000" w:rsidRDefault="00A450E1">
                            <w:pPr>
                              <w:pStyle w:val="Default"/>
                              <w:rPr>
                                <w:rFonts w:ascii="Helvetica 55 Roman" w:hAnsi="Helvetica 55 Roman" w:cs="Helvetica 55 Roman"/>
                                <w:sz w:val="18"/>
                                <w:szCs w:val="18"/>
                              </w:rPr>
                            </w:pPr>
                            <w:r>
                              <w:rPr>
                                <w:rFonts w:ascii="Helvetica 55 Roman" w:hAnsi="Helvetica 55 Roman" w:cs="Helvetica 55 Roman"/>
                                <w:sz w:val="18"/>
                                <w:szCs w:val="18"/>
                              </w:rPr>
                              <w:t xml:space="preserve">mediated communication (CMC) will improve access to training </w:t>
                            </w:r>
                          </w:p>
                        </w:tc>
                      </w:tr>
                    </w:tbl>
                  </w:txbxContent>
                </v:textbox>
                <w10:wrap type="through" anchorx="page" anchory="page"/>
              </v:shape>
            </w:pict>
          </mc:Fallback>
        </mc:AlternateContent>
      </w:r>
    </w:p>
    <w:p w14:paraId="36B996EF" w14:textId="77777777" w:rsidR="00541A14" w:rsidRDefault="00DD420F">
      <w:pPr>
        <w:pStyle w:val="Default"/>
        <w:framePr w:w="7860" w:wrap="auto" w:vAnchor="page" w:hAnchor="page" w:x="2426" w:y="9716"/>
        <w:spacing w:after="120"/>
        <w:rPr>
          <w:rFonts w:cs="Times New Roman"/>
          <w:color w:val="auto"/>
        </w:rPr>
      </w:pPr>
      <w:r>
        <w:rPr>
          <w:rFonts w:cs="Times New Roman"/>
          <w:noProof/>
          <w:color w:val="auto"/>
        </w:rPr>
        <w:drawing>
          <wp:inline distT="0" distB="0" distL="0" distR="0" wp14:anchorId="4440DFE7" wp14:editId="07DA8C5E">
            <wp:extent cx="4469765" cy="3123565"/>
            <wp:effectExtent l="0" t="0" r="635" b="635"/>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4469765" cy="3123565"/>
                    </a:xfrm>
                    <a:prstGeom prst="rect">
                      <a:avLst/>
                    </a:prstGeom>
                    <a:noFill/>
                    <a:ln>
                      <a:noFill/>
                    </a:ln>
                  </pic:spPr>
                </pic:pic>
              </a:graphicData>
            </a:graphic>
          </wp:inline>
        </w:drawing>
      </w:r>
    </w:p>
    <w:p w14:paraId="08E025F8" w14:textId="77777777" w:rsidR="00541A14" w:rsidRDefault="00A450E1">
      <w:pPr>
        <w:pStyle w:val="CM164"/>
        <w:spacing w:after="1215"/>
        <w:jc w:val="center"/>
        <w:rPr>
          <w:rFonts w:ascii="Palatino" w:hAnsi="Palatino" w:cs="Palatino"/>
          <w:sz w:val="20"/>
          <w:szCs w:val="20"/>
        </w:rPr>
      </w:pPr>
      <w:r>
        <w:rPr>
          <w:rFonts w:ascii="Palatino" w:hAnsi="Palatino" w:cs="Palatino"/>
          <w:i/>
          <w:iCs/>
          <w:sz w:val="20"/>
          <w:szCs w:val="20"/>
        </w:rPr>
        <w:t xml:space="preserve">Figure 34 – Potential IALA World Wide Academy Organisational Structure </w:t>
      </w:r>
    </w:p>
    <w:p w14:paraId="1A1D5817" w14:textId="77777777" w:rsidR="00541A14" w:rsidRDefault="00DD420F">
      <w:pPr>
        <w:pStyle w:val="Default"/>
        <w:framePr w:w="10740" w:wrap="auto" w:vAnchor="page" w:hAnchor="page" w:x="1434" w:y="16278"/>
        <w:rPr>
          <w:rFonts w:ascii="Palatino" w:hAnsi="Palatino" w:cs="Palatino"/>
          <w:color w:val="auto"/>
          <w:sz w:val="20"/>
          <w:szCs w:val="20"/>
        </w:rPr>
      </w:pPr>
      <w:r>
        <w:rPr>
          <w:rFonts w:ascii="Palatino" w:hAnsi="Palatino" w:cs="Palatino"/>
          <w:noProof/>
          <w:color w:val="auto"/>
          <w:sz w:val="20"/>
          <w:szCs w:val="20"/>
        </w:rPr>
        <w:drawing>
          <wp:inline distT="0" distB="0" distL="0" distR="0" wp14:anchorId="6647B7C1" wp14:editId="68615D7F">
            <wp:extent cx="7542530" cy="420370"/>
            <wp:effectExtent l="0" t="0" r="1270" b="1143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72C91849" w14:textId="77777777" w:rsidR="00541A14" w:rsidRDefault="00DD420F">
      <w:pPr>
        <w:pStyle w:val="Default"/>
        <w:pageBreakBefore/>
        <w:framePr w:w="12729" w:wrap="auto" w:vAnchor="page" w:hAnchor="page" w:x="101" w:y="14857"/>
        <w:rPr>
          <w:rFonts w:ascii="Palatino" w:hAnsi="Palatino" w:cs="Palatino"/>
          <w:color w:val="auto"/>
          <w:sz w:val="20"/>
          <w:szCs w:val="20"/>
        </w:rPr>
      </w:pPr>
      <w:r>
        <w:rPr>
          <w:rFonts w:ascii="Palatino" w:hAnsi="Palatino" w:cs="Palatino"/>
          <w:noProof/>
          <w:color w:val="auto"/>
          <w:sz w:val="20"/>
          <w:szCs w:val="20"/>
        </w:rPr>
        <w:drawing>
          <wp:inline distT="0" distB="0" distL="0" distR="0" wp14:anchorId="7A4CD109" wp14:editId="6FFC48CB">
            <wp:extent cx="7553960" cy="1069467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7553960" cy="10694670"/>
                    </a:xfrm>
                    <a:prstGeom prst="rect">
                      <a:avLst/>
                    </a:prstGeom>
                    <a:noFill/>
                    <a:ln>
                      <a:noFill/>
                    </a:ln>
                  </pic:spPr>
                </pic:pic>
              </a:graphicData>
            </a:graphic>
          </wp:inline>
        </w:drawing>
      </w:r>
    </w:p>
    <w:p w14:paraId="27B58F9F" w14:textId="77777777" w:rsidR="00541A14" w:rsidRDefault="00A450E1">
      <w:pPr>
        <w:pStyle w:val="CM192"/>
        <w:pageBreakBefore/>
        <w:spacing w:after="1992"/>
        <w:jc w:val="center"/>
        <w:rPr>
          <w:rFonts w:ascii="Futura Book" w:hAnsi="Futura Book" w:cs="Futura Book"/>
          <w:color w:val="FFFFFF"/>
          <w:sz w:val="80"/>
          <w:szCs w:val="80"/>
        </w:rPr>
      </w:pPr>
      <w:r>
        <w:rPr>
          <w:rFonts w:ascii="Futura Book" w:hAnsi="Futura Book" w:cs="Futura Book"/>
          <w:b/>
          <w:bCs/>
          <w:color w:val="FFFFFF"/>
          <w:sz w:val="80"/>
          <w:szCs w:val="80"/>
        </w:rPr>
        <w:t xml:space="preserve">A </w:t>
      </w:r>
    </w:p>
    <w:p w14:paraId="7B539E33" w14:textId="77777777" w:rsidR="00541A14" w:rsidRDefault="00A450E1">
      <w:pPr>
        <w:pStyle w:val="Default"/>
        <w:spacing w:after="11810" w:line="626" w:lineRule="atLeast"/>
        <w:jc w:val="center"/>
        <w:rPr>
          <w:rFonts w:ascii="Futura Book" w:hAnsi="Futura Book" w:cs="Futura Book"/>
          <w:color w:val="FFFFFF"/>
          <w:sz w:val="52"/>
          <w:szCs w:val="52"/>
        </w:rPr>
      </w:pPr>
      <w:r>
        <w:rPr>
          <w:rFonts w:ascii="Futura Book" w:hAnsi="Futura Book" w:cs="Futura Book"/>
          <w:b/>
          <w:bCs/>
          <w:color w:val="FFFFFF"/>
          <w:sz w:val="52"/>
          <w:szCs w:val="52"/>
        </w:rPr>
        <w:t xml:space="preserve">IALA MARITIME BUOYAGE SYSTEM </w:t>
      </w:r>
    </w:p>
    <w:p w14:paraId="51E909C1" w14:textId="77777777" w:rsidR="00541A14" w:rsidRDefault="00DD420F">
      <w:pPr>
        <w:pStyle w:val="Default"/>
        <w:framePr w:w="10740" w:wrap="auto" w:vAnchor="page" w:hAnchor="page" w:x="1434" w:y="16318"/>
        <w:rPr>
          <w:rFonts w:ascii="Futura Book" w:hAnsi="Futura Book" w:cs="Futura Book"/>
          <w:color w:val="FFFFFF"/>
          <w:sz w:val="52"/>
          <w:szCs w:val="52"/>
        </w:rPr>
      </w:pPr>
      <w:r>
        <w:rPr>
          <w:rFonts w:ascii="Futura Book" w:hAnsi="Futura Book" w:cs="Futura Book"/>
          <w:noProof/>
          <w:color w:val="FFFFFF"/>
          <w:sz w:val="52"/>
          <w:szCs w:val="52"/>
        </w:rPr>
        <w:drawing>
          <wp:inline distT="0" distB="0" distL="0" distR="0" wp14:anchorId="3C817DC5" wp14:editId="4EC2C94E">
            <wp:extent cx="7542530" cy="391795"/>
            <wp:effectExtent l="0" t="0" r="127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74281B6F" w14:textId="77777777" w:rsidR="00541A14" w:rsidRDefault="00DD420F">
      <w:pPr>
        <w:pStyle w:val="Default"/>
        <w:pageBreakBefore/>
        <w:framePr w:w="10680" w:wrap="auto" w:vAnchor="page" w:hAnchor="page" w:x="608" w:y="16318"/>
        <w:rPr>
          <w:rFonts w:ascii="Futura Book" w:hAnsi="Futura Book" w:cs="Futura Book"/>
          <w:color w:val="FFFFFF"/>
          <w:sz w:val="52"/>
          <w:szCs w:val="52"/>
        </w:rPr>
      </w:pPr>
      <w:r>
        <w:rPr>
          <w:rFonts w:ascii="Futura Book" w:hAnsi="Futura Book" w:cs="Futura Book"/>
          <w:noProof/>
          <w:color w:val="FFFFFF"/>
          <w:sz w:val="52"/>
          <w:szCs w:val="52"/>
        </w:rPr>
        <w:drawing>
          <wp:inline distT="0" distB="0" distL="0" distR="0" wp14:anchorId="21B18DE7" wp14:editId="339DA538">
            <wp:extent cx="6275705" cy="142240"/>
            <wp:effectExtent l="0" t="0" r="0" b="1016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275705" cy="142240"/>
                    </a:xfrm>
                    <a:prstGeom prst="rect">
                      <a:avLst/>
                    </a:prstGeom>
                    <a:noFill/>
                    <a:ln>
                      <a:noFill/>
                    </a:ln>
                  </pic:spPr>
                </pic:pic>
              </a:graphicData>
            </a:graphic>
          </wp:inline>
        </w:drawing>
      </w:r>
    </w:p>
    <w:p w14:paraId="41B167DC" w14:textId="77777777" w:rsidR="00541A14" w:rsidRDefault="00A450E1">
      <w:pPr>
        <w:pStyle w:val="CM165"/>
        <w:pageBreakBefore/>
        <w:spacing w:after="85"/>
        <w:ind w:left="2067"/>
        <w:jc w:val="both"/>
        <w:rPr>
          <w:rFonts w:ascii="DIN" w:hAnsi="DIN" w:cs="DIN"/>
          <w:color w:val="EC1B22"/>
          <w:sz w:val="75"/>
          <w:szCs w:val="75"/>
        </w:rPr>
      </w:pPr>
      <w:r>
        <w:rPr>
          <w:rFonts w:ascii="DIN" w:hAnsi="DIN" w:cs="DIN"/>
          <w:color w:val="EC1B22"/>
          <w:sz w:val="75"/>
          <w:szCs w:val="75"/>
        </w:rPr>
        <w:t xml:space="preserve">Contents </w:t>
      </w:r>
    </w:p>
    <w:p w14:paraId="4DEA4A8C" w14:textId="77777777" w:rsidR="00541A14" w:rsidRDefault="00A450E1">
      <w:pPr>
        <w:pStyle w:val="CM166"/>
        <w:spacing w:after="2425" w:line="563" w:lineRule="atLeast"/>
        <w:jc w:val="both"/>
        <w:rPr>
          <w:rFonts w:ascii="DIN" w:hAnsi="DIN" w:cs="DIN"/>
          <w:color w:val="EC1B22"/>
          <w:sz w:val="22"/>
          <w:szCs w:val="22"/>
        </w:rPr>
      </w:pPr>
      <w:r>
        <w:rPr>
          <w:rFonts w:ascii="DIN" w:hAnsi="DIN" w:cs="DIN"/>
          <w:color w:val="000000"/>
          <w:sz w:val="22"/>
          <w:szCs w:val="22"/>
        </w:rPr>
        <w:t xml:space="preserve">Historical background . . . . . . . . . . . . . . . . . . . . . . </w:t>
      </w:r>
      <w:r>
        <w:rPr>
          <w:rFonts w:ascii="DIN" w:hAnsi="DIN" w:cs="DIN"/>
          <w:b/>
          <w:bCs/>
          <w:color w:val="EC1B22"/>
          <w:sz w:val="22"/>
          <w:szCs w:val="22"/>
        </w:rPr>
        <w:t xml:space="preserve">3 </w:t>
      </w:r>
      <w:r>
        <w:rPr>
          <w:rFonts w:ascii="DIN" w:hAnsi="DIN" w:cs="DIN"/>
          <w:color w:val="000000"/>
          <w:sz w:val="22"/>
          <w:szCs w:val="22"/>
        </w:rPr>
        <w:t xml:space="preserve">General Principles of the System . . . . . . . . . . . . . </w:t>
      </w:r>
      <w:r>
        <w:rPr>
          <w:rFonts w:ascii="DIN" w:hAnsi="DIN" w:cs="DIN"/>
          <w:b/>
          <w:bCs/>
          <w:color w:val="EC1B22"/>
          <w:sz w:val="22"/>
          <w:szCs w:val="22"/>
        </w:rPr>
        <w:t xml:space="preserve">5 </w:t>
      </w:r>
      <w:r>
        <w:rPr>
          <w:rFonts w:ascii="DIN" w:hAnsi="DIN" w:cs="DIN"/>
          <w:color w:val="000000"/>
          <w:sz w:val="22"/>
          <w:szCs w:val="22"/>
        </w:rPr>
        <w:t xml:space="preserve">Rules . . . . . . . . . . . . . . . . . . . . . . . . . . . . . . . . . . . . </w:t>
      </w:r>
      <w:r>
        <w:rPr>
          <w:rFonts w:ascii="DIN" w:hAnsi="DIN" w:cs="DIN"/>
          <w:b/>
          <w:bCs/>
          <w:color w:val="EC1B22"/>
          <w:sz w:val="22"/>
          <w:szCs w:val="22"/>
        </w:rPr>
        <w:t xml:space="preserve">8 </w:t>
      </w:r>
      <w:r>
        <w:rPr>
          <w:rFonts w:ascii="DIN" w:hAnsi="DIN" w:cs="DIN"/>
          <w:color w:val="000000"/>
          <w:sz w:val="22"/>
          <w:szCs w:val="22"/>
        </w:rPr>
        <w:t>Map showing Regions A &amp; B . . . . . . . . . . . .</w:t>
      </w:r>
      <w:r>
        <w:rPr>
          <w:rFonts w:ascii="DIN" w:hAnsi="DIN" w:cs="DIN"/>
          <w:b/>
          <w:bCs/>
          <w:color w:val="EC1B22"/>
          <w:sz w:val="22"/>
          <w:szCs w:val="22"/>
        </w:rPr>
        <w:t xml:space="preserve">12 </w:t>
      </w:r>
      <w:r>
        <w:rPr>
          <w:rFonts w:ascii="DIN" w:hAnsi="DIN" w:cs="DIN"/>
          <w:color w:val="EC1B22"/>
          <w:sz w:val="22"/>
          <w:szCs w:val="22"/>
        </w:rPr>
        <w:t xml:space="preserve">&amp; </w:t>
      </w:r>
      <w:r>
        <w:rPr>
          <w:rFonts w:ascii="DIN" w:hAnsi="DIN" w:cs="DIN"/>
          <w:b/>
          <w:bCs/>
          <w:color w:val="EC1B22"/>
          <w:sz w:val="22"/>
          <w:szCs w:val="22"/>
        </w:rPr>
        <w:t xml:space="preserve">13 </w:t>
      </w:r>
    </w:p>
    <w:p w14:paraId="303ABEB8" w14:textId="77777777" w:rsidR="00541A14" w:rsidRDefault="00DD420F">
      <w:pPr>
        <w:pStyle w:val="Default"/>
        <w:framePr w:w="1315" w:wrap="auto" w:vAnchor="page" w:hAnchor="page" w:x="6511" w:y="14870"/>
        <w:spacing w:after="1680"/>
        <w:rPr>
          <w:rFonts w:ascii="DIN" w:hAnsi="DIN" w:cs="DIN"/>
          <w:color w:val="EC1B22"/>
          <w:sz w:val="22"/>
          <w:szCs w:val="22"/>
        </w:rPr>
      </w:pPr>
      <w:r>
        <w:rPr>
          <w:rFonts w:ascii="DIN" w:hAnsi="DIN" w:cs="DIN"/>
          <w:noProof/>
          <w:color w:val="EC1B22"/>
          <w:sz w:val="22"/>
          <w:szCs w:val="22"/>
        </w:rPr>
        <w:drawing>
          <wp:inline distT="0" distB="0" distL="0" distR="0" wp14:anchorId="41D82811" wp14:editId="1C85DC09">
            <wp:extent cx="22860" cy="1143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22860" cy="11430"/>
                    </a:xfrm>
                    <a:prstGeom prst="rect">
                      <a:avLst/>
                    </a:prstGeom>
                    <a:noFill/>
                    <a:ln>
                      <a:noFill/>
                    </a:ln>
                  </pic:spPr>
                </pic:pic>
              </a:graphicData>
            </a:graphic>
          </wp:inline>
        </w:drawing>
      </w:r>
    </w:p>
    <w:p w14:paraId="58B354DC" w14:textId="77777777" w:rsidR="00541A14" w:rsidRDefault="00A450E1">
      <w:pPr>
        <w:pStyle w:val="CM12"/>
        <w:jc w:val="both"/>
        <w:rPr>
          <w:rFonts w:ascii="DIN" w:hAnsi="DIN" w:cs="DIN"/>
          <w:color w:val="000000"/>
          <w:sz w:val="15"/>
          <w:szCs w:val="15"/>
        </w:rPr>
      </w:pPr>
      <w:r>
        <w:rPr>
          <w:rFonts w:ascii="DIN" w:hAnsi="DIN" w:cs="DIN"/>
          <w:color w:val="000000"/>
          <w:sz w:val="15"/>
          <w:szCs w:val="15"/>
        </w:rPr>
        <w:t xml:space="preserve">Maritime Buoyage System </w:t>
      </w:r>
    </w:p>
    <w:p w14:paraId="72CB68B7" w14:textId="77777777" w:rsidR="00541A14" w:rsidRDefault="00A450E1">
      <w:pPr>
        <w:pStyle w:val="CM12"/>
        <w:jc w:val="both"/>
        <w:rPr>
          <w:rFonts w:ascii="DIN" w:hAnsi="DIN" w:cs="DIN"/>
          <w:color w:val="EC1B22"/>
          <w:sz w:val="15"/>
          <w:szCs w:val="15"/>
        </w:rPr>
      </w:pPr>
      <w:r>
        <w:rPr>
          <w:rFonts w:ascii="DIN" w:hAnsi="DIN" w:cs="DIN"/>
          <w:color w:val="EC1B22"/>
          <w:sz w:val="15"/>
          <w:szCs w:val="15"/>
        </w:rPr>
        <w:t xml:space="preserve">Contents </w:t>
      </w:r>
    </w:p>
    <w:p w14:paraId="007D2ACC" w14:textId="77777777" w:rsidR="00541A14" w:rsidRDefault="00A450E1">
      <w:pPr>
        <w:pStyle w:val="CM170"/>
        <w:spacing w:after="887"/>
        <w:ind w:left="4827"/>
        <w:rPr>
          <w:rFonts w:ascii="DIN" w:hAnsi="DIN" w:cs="DIN"/>
          <w:color w:val="6B6D6F"/>
          <w:sz w:val="47"/>
          <w:szCs w:val="47"/>
        </w:rPr>
      </w:pPr>
      <w:r>
        <w:rPr>
          <w:rFonts w:ascii="DIN" w:hAnsi="DIN" w:cs="DIN"/>
          <w:color w:val="6B6D6F"/>
          <w:sz w:val="47"/>
          <w:szCs w:val="47"/>
        </w:rPr>
        <w:t xml:space="preserve">01 </w:t>
      </w:r>
    </w:p>
    <w:p w14:paraId="5CDF8064" w14:textId="77777777" w:rsidR="00541A14" w:rsidRDefault="00DD420F">
      <w:pPr>
        <w:pStyle w:val="Default"/>
        <w:framePr w:w="10739" w:wrap="auto" w:vAnchor="page" w:hAnchor="page" w:x="1434" w:y="16318"/>
        <w:rPr>
          <w:rFonts w:ascii="DIN" w:hAnsi="DIN" w:cs="DIN"/>
          <w:color w:val="6B6D6F"/>
          <w:sz w:val="47"/>
          <w:szCs w:val="47"/>
        </w:rPr>
      </w:pPr>
      <w:r>
        <w:rPr>
          <w:rFonts w:ascii="DIN" w:hAnsi="DIN" w:cs="DIN"/>
          <w:noProof/>
          <w:color w:val="6B6D6F"/>
          <w:sz w:val="47"/>
          <w:szCs w:val="47"/>
        </w:rPr>
        <w:drawing>
          <wp:inline distT="0" distB="0" distL="0" distR="0" wp14:anchorId="5657002A" wp14:editId="62AE1C41">
            <wp:extent cx="7542530" cy="391795"/>
            <wp:effectExtent l="0" t="0" r="127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054D6396" w14:textId="77777777" w:rsidR="00541A14" w:rsidRDefault="00DD420F">
      <w:pPr>
        <w:pStyle w:val="Default"/>
        <w:pageBreakBefore/>
        <w:framePr w:w="10730" w:wrap="auto" w:vAnchor="page" w:hAnchor="page" w:x="608" w:y="16318"/>
        <w:rPr>
          <w:rFonts w:ascii="DIN" w:hAnsi="DIN" w:cs="DIN"/>
          <w:color w:val="6B6D6F"/>
          <w:sz w:val="47"/>
          <w:szCs w:val="47"/>
        </w:rPr>
      </w:pPr>
      <w:r>
        <w:rPr>
          <w:rFonts w:ascii="DIN" w:hAnsi="DIN" w:cs="DIN"/>
          <w:noProof/>
          <w:color w:val="6B6D6F"/>
          <w:sz w:val="47"/>
          <w:szCs w:val="47"/>
        </w:rPr>
        <w:drawing>
          <wp:inline distT="0" distB="0" distL="0" distR="0" wp14:anchorId="4C7ED104" wp14:editId="38255368">
            <wp:extent cx="7553960" cy="39179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04F2159D" w14:textId="77777777" w:rsidR="00541A14" w:rsidRDefault="00A450E1">
      <w:pPr>
        <w:pStyle w:val="CM180"/>
        <w:pageBreakBefore/>
        <w:spacing w:after="732"/>
        <w:jc w:val="center"/>
        <w:rPr>
          <w:rFonts w:ascii="DIN" w:hAnsi="DIN" w:cs="DIN"/>
          <w:color w:val="EC1B22"/>
          <w:sz w:val="22"/>
          <w:szCs w:val="22"/>
        </w:rPr>
      </w:pPr>
      <w:r>
        <w:rPr>
          <w:rFonts w:ascii="DIN" w:hAnsi="DIN" w:cs="DIN"/>
          <w:color w:val="EC1B22"/>
          <w:sz w:val="22"/>
          <w:szCs w:val="22"/>
        </w:rPr>
        <w:t xml:space="preserve">International Association of Marine Aids to Navigation and Lighthouse Authorities </w:t>
      </w:r>
    </w:p>
    <w:p w14:paraId="5633CA47" w14:textId="77777777" w:rsidR="00541A14" w:rsidRDefault="00A450E1">
      <w:pPr>
        <w:pStyle w:val="CM1"/>
        <w:jc w:val="center"/>
        <w:rPr>
          <w:rFonts w:ascii="DIN" w:hAnsi="DIN" w:cs="DIN"/>
          <w:color w:val="EC1B22"/>
          <w:sz w:val="65"/>
          <w:szCs w:val="65"/>
        </w:rPr>
      </w:pPr>
      <w:r>
        <w:rPr>
          <w:rFonts w:ascii="DIN" w:hAnsi="DIN" w:cs="DIN"/>
          <w:b/>
          <w:bCs/>
          <w:color w:val="EC1B22"/>
          <w:sz w:val="65"/>
          <w:szCs w:val="65"/>
        </w:rPr>
        <w:t xml:space="preserve">MARITIME BUOYAGE SYSTEM </w:t>
      </w:r>
    </w:p>
    <w:p w14:paraId="1BE3E002" w14:textId="77777777" w:rsidR="00541A14" w:rsidRDefault="00A450E1">
      <w:pPr>
        <w:pStyle w:val="CM162"/>
        <w:spacing w:after="552"/>
        <w:ind w:left="2062"/>
        <w:rPr>
          <w:rFonts w:ascii="DIN" w:hAnsi="DIN" w:cs="DIN"/>
          <w:color w:val="EC1B22"/>
          <w:sz w:val="52"/>
          <w:szCs w:val="52"/>
        </w:rPr>
      </w:pPr>
      <w:r>
        <w:rPr>
          <w:rFonts w:ascii="DIN" w:hAnsi="DIN" w:cs="DIN"/>
          <w:color w:val="EC1B22"/>
          <w:sz w:val="52"/>
          <w:szCs w:val="52"/>
        </w:rPr>
        <w:t xml:space="preserve">and Other Aids to Navigation </w:t>
      </w:r>
    </w:p>
    <w:p w14:paraId="10157AE1" w14:textId="77777777" w:rsidR="00541A14" w:rsidRDefault="00A450E1">
      <w:pPr>
        <w:pStyle w:val="CM176"/>
        <w:spacing w:after="1320"/>
        <w:jc w:val="center"/>
        <w:rPr>
          <w:rFonts w:ascii="DIN" w:hAnsi="DIN" w:cs="DIN"/>
          <w:color w:val="6B6D6F"/>
          <w:sz w:val="61"/>
          <w:szCs w:val="61"/>
        </w:rPr>
      </w:pPr>
      <w:r>
        <w:rPr>
          <w:rFonts w:ascii="DIN" w:hAnsi="DIN" w:cs="DIN"/>
          <w:color w:val="6B6D6F"/>
          <w:sz w:val="61"/>
          <w:szCs w:val="61"/>
        </w:rPr>
        <w:t xml:space="preserve">Historical Background </w:t>
      </w:r>
    </w:p>
    <w:p w14:paraId="2317CE86" w14:textId="77777777" w:rsidR="00541A14" w:rsidRDefault="00A450E1">
      <w:pPr>
        <w:pStyle w:val="CM173"/>
        <w:spacing w:after="340"/>
        <w:jc w:val="center"/>
        <w:rPr>
          <w:rFonts w:ascii="DIN" w:hAnsi="DIN" w:cs="DIN"/>
          <w:color w:val="EC1B22"/>
          <w:sz w:val="22"/>
          <w:szCs w:val="22"/>
        </w:rPr>
      </w:pPr>
      <w:r>
        <w:rPr>
          <w:rFonts w:ascii="DIN" w:hAnsi="DIN" w:cs="DIN"/>
          <w:b/>
          <w:bCs/>
          <w:color w:val="EC1B22"/>
          <w:sz w:val="22"/>
          <w:szCs w:val="22"/>
        </w:rPr>
        <w:t xml:space="preserve">PRIOR TO 1976 </w:t>
      </w:r>
    </w:p>
    <w:p w14:paraId="635ABAC7"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95104" behindDoc="0" locked="0" layoutInCell="0" allowOverlap="1" wp14:anchorId="0AFD852A" wp14:editId="3AEA6191">
                <wp:simplePos x="0" y="0"/>
                <wp:positionH relativeFrom="page">
                  <wp:posOffset>606425</wp:posOffset>
                </wp:positionH>
                <wp:positionV relativeFrom="page">
                  <wp:posOffset>4070985</wp:posOffset>
                </wp:positionV>
                <wp:extent cx="6248400" cy="6075680"/>
                <wp:effectExtent l="0" t="0" r="0" b="0"/>
                <wp:wrapThrough wrapText="bothSides">
                  <wp:wrapPolygon edited="0">
                    <wp:start x="0" y="0"/>
                    <wp:lineTo x="21600" y="0"/>
                    <wp:lineTo x="21600" y="21600"/>
                    <wp:lineTo x="0" y="21600"/>
                    <wp:lineTo x="0" y="0"/>
                  </wp:wrapPolygon>
                </wp:wrapThrough>
                <wp:docPr id="520"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0" cy="6075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4497"/>
                              <w:gridCol w:w="4492"/>
                            </w:tblGrid>
                            <w:tr w:rsidR="00541A14" w14:paraId="1E3710BC" w14:textId="77777777">
                              <w:trPr>
                                <w:trHeight w:val="105"/>
                              </w:trPr>
                              <w:tc>
                                <w:tcPr>
                                  <w:tcW w:w="4497" w:type="dxa"/>
                                </w:tcPr>
                                <w:p w14:paraId="50DB1DF0" w14:textId="77777777" w:rsidR="00541A14" w:rsidRDefault="00A450E1">
                                  <w:pPr>
                                    <w:pStyle w:val="Default"/>
                                    <w:rPr>
                                      <w:rFonts w:ascii="DIN" w:hAnsi="DIN" w:cs="DIN"/>
                                      <w:sz w:val="17"/>
                                      <w:szCs w:val="17"/>
                                    </w:rPr>
                                  </w:pPr>
                                  <w:r>
                                    <w:rPr>
                                      <w:rFonts w:ascii="DIN" w:hAnsi="DIN" w:cs="DIN"/>
                                      <w:sz w:val="17"/>
                                      <w:szCs w:val="17"/>
                                    </w:rPr>
                                    <w:t xml:space="preserve">There was once more than thirty different buoyage </w:t>
                                  </w:r>
                                </w:p>
                              </w:tc>
                              <w:tc>
                                <w:tcPr>
                                  <w:tcW w:w="4492" w:type="dxa"/>
                                </w:tcPr>
                                <w:p w14:paraId="011859BB" w14:textId="77777777" w:rsidR="00541A14" w:rsidRDefault="00541A14">
                                  <w:pPr>
                                    <w:pStyle w:val="Default"/>
                                    <w:jc w:val="right"/>
                                    <w:rPr>
                                      <w:rFonts w:cs="Times New Roman"/>
                                      <w:color w:val="auto"/>
                                    </w:rPr>
                                  </w:pPr>
                                </w:p>
                              </w:tc>
                            </w:tr>
                            <w:tr w:rsidR="00541A14" w14:paraId="25047E0D" w14:textId="77777777">
                              <w:trPr>
                                <w:trHeight w:val="122"/>
                              </w:trPr>
                              <w:tc>
                                <w:tcPr>
                                  <w:tcW w:w="4497" w:type="dxa"/>
                                </w:tcPr>
                                <w:p w14:paraId="4189BFCF" w14:textId="77777777" w:rsidR="00541A14" w:rsidRDefault="00A450E1">
                                  <w:pPr>
                                    <w:pStyle w:val="Default"/>
                                    <w:rPr>
                                      <w:rFonts w:ascii="DIN" w:hAnsi="DIN" w:cs="DIN"/>
                                      <w:sz w:val="17"/>
                                      <w:szCs w:val="17"/>
                                    </w:rPr>
                                  </w:pPr>
                                  <w:r>
                                    <w:rPr>
                                      <w:rFonts w:ascii="DIN" w:hAnsi="DIN" w:cs="DIN"/>
                                      <w:sz w:val="17"/>
                                      <w:szCs w:val="17"/>
                                    </w:rPr>
                                    <w:t xml:space="preserve">systems in use world-wide, many of these systems </w:t>
                                  </w:r>
                                </w:p>
                              </w:tc>
                              <w:tc>
                                <w:tcPr>
                                  <w:tcW w:w="4492" w:type="dxa"/>
                                </w:tcPr>
                                <w:p w14:paraId="5C90406D" w14:textId="77777777" w:rsidR="00541A14" w:rsidRDefault="00541A14">
                                  <w:pPr>
                                    <w:pStyle w:val="Default"/>
                                    <w:jc w:val="right"/>
                                    <w:rPr>
                                      <w:rFonts w:cs="Times New Roman"/>
                                      <w:color w:val="auto"/>
                                    </w:rPr>
                                  </w:pPr>
                                </w:p>
                              </w:tc>
                            </w:tr>
                            <w:tr w:rsidR="00541A14" w14:paraId="22C40054" w14:textId="77777777">
                              <w:trPr>
                                <w:trHeight w:val="182"/>
                              </w:trPr>
                              <w:tc>
                                <w:tcPr>
                                  <w:tcW w:w="4497" w:type="dxa"/>
                                </w:tcPr>
                                <w:p w14:paraId="38647424" w14:textId="77777777" w:rsidR="00541A14" w:rsidRDefault="00A450E1">
                                  <w:pPr>
                                    <w:pStyle w:val="Default"/>
                                    <w:rPr>
                                      <w:rFonts w:ascii="DIN" w:hAnsi="DIN" w:cs="DIN"/>
                                      <w:sz w:val="17"/>
                                      <w:szCs w:val="17"/>
                                    </w:rPr>
                                  </w:pPr>
                                  <w:r>
                                    <w:rPr>
                                      <w:rFonts w:ascii="DIN" w:hAnsi="DIN" w:cs="DIN"/>
                                      <w:sz w:val="17"/>
                                      <w:szCs w:val="17"/>
                                    </w:rPr>
                                    <w:t xml:space="preserve">having rules in complete conflict with one another. </w:t>
                                  </w:r>
                                </w:p>
                              </w:tc>
                              <w:tc>
                                <w:tcPr>
                                  <w:tcW w:w="4492" w:type="dxa"/>
                                </w:tcPr>
                                <w:p w14:paraId="00C8647F" w14:textId="77777777" w:rsidR="00541A14" w:rsidRDefault="00541A14">
                                  <w:pPr>
                                    <w:pStyle w:val="Default"/>
                                    <w:jc w:val="right"/>
                                    <w:rPr>
                                      <w:rFonts w:cs="Times New Roman"/>
                                      <w:color w:val="auto"/>
                                    </w:rPr>
                                  </w:pPr>
                                </w:p>
                              </w:tc>
                            </w:tr>
                            <w:tr w:rsidR="00541A14" w14:paraId="4B84847D" w14:textId="77777777">
                              <w:trPr>
                                <w:trHeight w:val="181"/>
                              </w:trPr>
                              <w:tc>
                                <w:tcPr>
                                  <w:tcW w:w="4497" w:type="dxa"/>
                                  <w:vAlign w:val="bottom"/>
                                </w:tcPr>
                                <w:p w14:paraId="544D6617" w14:textId="77777777" w:rsidR="00541A14" w:rsidRDefault="00A450E1">
                                  <w:pPr>
                                    <w:pStyle w:val="Default"/>
                                    <w:rPr>
                                      <w:rFonts w:ascii="DIN" w:hAnsi="DIN" w:cs="DIN"/>
                                      <w:sz w:val="17"/>
                                      <w:szCs w:val="17"/>
                                    </w:rPr>
                                  </w:pPr>
                                  <w:r>
                                    <w:rPr>
                                      <w:rFonts w:ascii="DIN" w:hAnsi="DIN" w:cs="DIN"/>
                                      <w:sz w:val="17"/>
                                      <w:szCs w:val="17"/>
                                    </w:rPr>
                                    <w:t xml:space="preserve">There has long been disagreement over the way in </w:t>
                                  </w:r>
                                </w:p>
                              </w:tc>
                              <w:tc>
                                <w:tcPr>
                                  <w:tcW w:w="4492" w:type="dxa"/>
                                </w:tcPr>
                                <w:p w14:paraId="385261F3" w14:textId="77777777" w:rsidR="00541A14" w:rsidRDefault="00541A14">
                                  <w:pPr>
                                    <w:pStyle w:val="Default"/>
                                    <w:jc w:val="right"/>
                                    <w:rPr>
                                      <w:rFonts w:cs="Times New Roman"/>
                                      <w:color w:val="auto"/>
                                    </w:rPr>
                                  </w:pPr>
                                </w:p>
                              </w:tc>
                            </w:tr>
                            <w:tr w:rsidR="00541A14" w14:paraId="3CC74A50" w14:textId="77777777">
                              <w:trPr>
                                <w:trHeight w:val="121"/>
                              </w:trPr>
                              <w:tc>
                                <w:tcPr>
                                  <w:tcW w:w="4497" w:type="dxa"/>
                                </w:tcPr>
                                <w:p w14:paraId="35DB87C0" w14:textId="77777777" w:rsidR="00541A14" w:rsidRDefault="00A450E1">
                                  <w:pPr>
                                    <w:pStyle w:val="Default"/>
                                    <w:rPr>
                                      <w:rFonts w:ascii="DIN" w:hAnsi="DIN" w:cs="DIN"/>
                                      <w:sz w:val="17"/>
                                      <w:szCs w:val="17"/>
                                    </w:rPr>
                                  </w:pPr>
                                  <w:r>
                                    <w:rPr>
                                      <w:rFonts w:ascii="DIN" w:hAnsi="DIN" w:cs="DIN"/>
                                      <w:sz w:val="17"/>
                                      <w:szCs w:val="17"/>
                                    </w:rPr>
                                    <w:t xml:space="preserve">which buoy lights should be used since they first </w:t>
                                  </w:r>
                                </w:p>
                              </w:tc>
                              <w:tc>
                                <w:tcPr>
                                  <w:tcW w:w="4492" w:type="dxa"/>
                                </w:tcPr>
                                <w:p w14:paraId="41F3B082" w14:textId="77777777" w:rsidR="00541A14" w:rsidRDefault="00541A14">
                                  <w:pPr>
                                    <w:pStyle w:val="Default"/>
                                    <w:jc w:val="right"/>
                                    <w:rPr>
                                      <w:rFonts w:cs="Times New Roman"/>
                                      <w:color w:val="auto"/>
                                    </w:rPr>
                                  </w:pPr>
                                </w:p>
                              </w:tc>
                            </w:tr>
                            <w:tr w:rsidR="00541A14" w14:paraId="53E7CB20" w14:textId="77777777">
                              <w:trPr>
                                <w:trHeight w:val="121"/>
                              </w:trPr>
                              <w:tc>
                                <w:tcPr>
                                  <w:tcW w:w="4497" w:type="dxa"/>
                                </w:tcPr>
                                <w:p w14:paraId="447AA5CB" w14:textId="77777777" w:rsidR="00541A14" w:rsidRDefault="00A450E1">
                                  <w:pPr>
                                    <w:pStyle w:val="Default"/>
                                    <w:rPr>
                                      <w:rFonts w:ascii="DIN" w:hAnsi="DIN" w:cs="DIN"/>
                                      <w:sz w:val="17"/>
                                      <w:szCs w:val="17"/>
                                    </w:rPr>
                                  </w:pPr>
                                  <w:r>
                                    <w:rPr>
                                      <w:rFonts w:ascii="DIN" w:hAnsi="DIN" w:cs="DIN"/>
                                      <w:sz w:val="17"/>
                                      <w:szCs w:val="17"/>
                                    </w:rPr>
                                    <w:t xml:space="preserve">appeared towards the end of the 19th century. In </w:t>
                                  </w:r>
                                </w:p>
                              </w:tc>
                              <w:tc>
                                <w:tcPr>
                                  <w:tcW w:w="4492" w:type="dxa"/>
                                </w:tcPr>
                                <w:p w14:paraId="30374892" w14:textId="77777777" w:rsidR="00541A14" w:rsidRDefault="00541A14">
                                  <w:pPr>
                                    <w:pStyle w:val="Default"/>
                                    <w:jc w:val="right"/>
                                    <w:rPr>
                                      <w:rFonts w:cs="Times New Roman"/>
                                      <w:color w:val="auto"/>
                                    </w:rPr>
                                  </w:pPr>
                                </w:p>
                              </w:tc>
                            </w:tr>
                            <w:tr w:rsidR="00541A14" w14:paraId="18E821B8" w14:textId="77777777">
                              <w:trPr>
                                <w:trHeight w:val="121"/>
                              </w:trPr>
                              <w:tc>
                                <w:tcPr>
                                  <w:tcW w:w="4497" w:type="dxa"/>
                                </w:tcPr>
                                <w:p w14:paraId="7E686C67" w14:textId="77777777" w:rsidR="00541A14" w:rsidRDefault="00A450E1">
                                  <w:pPr>
                                    <w:pStyle w:val="Default"/>
                                    <w:rPr>
                                      <w:rFonts w:ascii="DIN" w:hAnsi="DIN" w:cs="DIN"/>
                                      <w:sz w:val="17"/>
                                      <w:szCs w:val="17"/>
                                    </w:rPr>
                                  </w:pPr>
                                  <w:r>
                                    <w:rPr>
                                      <w:rFonts w:ascii="DIN" w:hAnsi="DIN" w:cs="DIN"/>
                                      <w:sz w:val="17"/>
                                      <w:szCs w:val="17"/>
                                    </w:rPr>
                                    <w:t xml:space="preserve">particular, some countries favoured using red lights </w:t>
                                  </w:r>
                                </w:p>
                              </w:tc>
                              <w:tc>
                                <w:tcPr>
                                  <w:tcW w:w="4492" w:type="dxa"/>
                                </w:tcPr>
                                <w:p w14:paraId="0713AD33" w14:textId="77777777" w:rsidR="00541A14" w:rsidRDefault="00541A14">
                                  <w:pPr>
                                    <w:pStyle w:val="Default"/>
                                    <w:jc w:val="right"/>
                                    <w:rPr>
                                      <w:rFonts w:cs="Times New Roman"/>
                                      <w:color w:val="auto"/>
                                    </w:rPr>
                                  </w:pPr>
                                </w:p>
                              </w:tc>
                            </w:tr>
                            <w:tr w:rsidR="00541A14" w14:paraId="08020F42" w14:textId="77777777">
                              <w:trPr>
                                <w:trHeight w:val="121"/>
                              </w:trPr>
                              <w:tc>
                                <w:tcPr>
                                  <w:tcW w:w="4497" w:type="dxa"/>
                                </w:tcPr>
                                <w:p w14:paraId="1C625F6C" w14:textId="77777777" w:rsidR="00541A14" w:rsidRDefault="00A450E1">
                                  <w:pPr>
                                    <w:pStyle w:val="Default"/>
                                    <w:rPr>
                                      <w:rFonts w:ascii="DIN" w:hAnsi="DIN" w:cs="DIN"/>
                                      <w:sz w:val="17"/>
                                      <w:szCs w:val="17"/>
                                    </w:rPr>
                                  </w:pPr>
                                  <w:r>
                                    <w:rPr>
                                      <w:rFonts w:ascii="DIN" w:hAnsi="DIN" w:cs="DIN"/>
                                      <w:sz w:val="17"/>
                                      <w:szCs w:val="17"/>
                                    </w:rPr>
                                    <w:t xml:space="preserve">to mark the port hand side of channels and others </w:t>
                                  </w:r>
                                </w:p>
                              </w:tc>
                              <w:tc>
                                <w:tcPr>
                                  <w:tcW w:w="4492" w:type="dxa"/>
                                </w:tcPr>
                                <w:p w14:paraId="04F361F8" w14:textId="77777777" w:rsidR="00541A14" w:rsidRDefault="00541A14">
                                  <w:pPr>
                                    <w:pStyle w:val="Default"/>
                                    <w:jc w:val="right"/>
                                    <w:rPr>
                                      <w:rFonts w:cs="Times New Roman"/>
                                      <w:color w:val="auto"/>
                                    </w:rPr>
                                  </w:pPr>
                                </w:p>
                              </w:tc>
                            </w:tr>
                            <w:tr w:rsidR="00541A14" w14:paraId="6F4C81D5" w14:textId="77777777">
                              <w:trPr>
                                <w:trHeight w:val="182"/>
                              </w:trPr>
                              <w:tc>
                                <w:tcPr>
                                  <w:tcW w:w="4497" w:type="dxa"/>
                                </w:tcPr>
                                <w:p w14:paraId="5210183D" w14:textId="77777777" w:rsidR="00541A14" w:rsidRDefault="00A450E1">
                                  <w:pPr>
                                    <w:pStyle w:val="Default"/>
                                    <w:rPr>
                                      <w:rFonts w:ascii="DIN" w:hAnsi="DIN" w:cs="DIN"/>
                                      <w:sz w:val="17"/>
                                      <w:szCs w:val="17"/>
                                    </w:rPr>
                                  </w:pPr>
                                  <w:r>
                                    <w:rPr>
                                      <w:rFonts w:ascii="DIN" w:hAnsi="DIN" w:cs="DIN"/>
                                      <w:sz w:val="17"/>
                                      <w:szCs w:val="17"/>
                                    </w:rPr>
                                    <w:t xml:space="preserve">favoured them for marking the starboard hand. </w:t>
                                  </w:r>
                                </w:p>
                              </w:tc>
                              <w:tc>
                                <w:tcPr>
                                  <w:tcW w:w="4492" w:type="dxa"/>
                                </w:tcPr>
                                <w:p w14:paraId="4E7EBE04" w14:textId="77777777" w:rsidR="00541A14" w:rsidRDefault="00541A14">
                                  <w:pPr>
                                    <w:pStyle w:val="Default"/>
                                    <w:jc w:val="right"/>
                                    <w:rPr>
                                      <w:rFonts w:cs="Times New Roman"/>
                                      <w:color w:val="auto"/>
                                    </w:rPr>
                                  </w:pPr>
                                </w:p>
                              </w:tc>
                            </w:tr>
                            <w:tr w:rsidR="00541A14" w14:paraId="363AE92E" w14:textId="77777777">
                              <w:trPr>
                                <w:trHeight w:val="181"/>
                              </w:trPr>
                              <w:tc>
                                <w:tcPr>
                                  <w:tcW w:w="4497" w:type="dxa"/>
                                  <w:vAlign w:val="bottom"/>
                                </w:tcPr>
                                <w:p w14:paraId="651DB52C" w14:textId="77777777" w:rsidR="00541A14" w:rsidRDefault="00A450E1">
                                  <w:pPr>
                                    <w:pStyle w:val="Default"/>
                                    <w:rPr>
                                      <w:rFonts w:ascii="DIN" w:hAnsi="DIN" w:cs="DIN"/>
                                      <w:sz w:val="17"/>
                                      <w:szCs w:val="17"/>
                                    </w:rPr>
                                  </w:pPr>
                                  <w:r>
                                    <w:rPr>
                                      <w:rFonts w:ascii="DIN" w:hAnsi="DIN" w:cs="DIN"/>
                                      <w:sz w:val="17"/>
                                      <w:szCs w:val="17"/>
                                    </w:rPr>
                                    <w:t xml:space="preserve">Another major difference of opinion revolved around the </w:t>
                                  </w:r>
                                </w:p>
                              </w:tc>
                              <w:tc>
                                <w:tcPr>
                                  <w:tcW w:w="4492" w:type="dxa"/>
                                </w:tcPr>
                                <w:p w14:paraId="3FBC4F4C" w14:textId="77777777" w:rsidR="00541A14" w:rsidRDefault="00541A14">
                                  <w:pPr>
                                    <w:pStyle w:val="Default"/>
                                    <w:jc w:val="right"/>
                                    <w:rPr>
                                      <w:rFonts w:cs="Times New Roman"/>
                                      <w:color w:val="auto"/>
                                    </w:rPr>
                                  </w:pPr>
                                </w:p>
                              </w:tc>
                            </w:tr>
                            <w:tr w:rsidR="00541A14" w14:paraId="440C622E" w14:textId="77777777">
                              <w:trPr>
                                <w:trHeight w:val="121"/>
                              </w:trPr>
                              <w:tc>
                                <w:tcPr>
                                  <w:tcW w:w="4497" w:type="dxa"/>
                                </w:tcPr>
                                <w:p w14:paraId="0D1069FF" w14:textId="77777777" w:rsidR="00541A14" w:rsidRDefault="00A450E1">
                                  <w:pPr>
                                    <w:pStyle w:val="Default"/>
                                    <w:rPr>
                                      <w:rFonts w:ascii="DIN" w:hAnsi="DIN" w:cs="DIN"/>
                                      <w:sz w:val="17"/>
                                      <w:szCs w:val="17"/>
                                    </w:rPr>
                                  </w:pPr>
                                  <w:r>
                                    <w:rPr>
                                      <w:rFonts w:ascii="DIN" w:hAnsi="DIN" w:cs="DIN"/>
                                      <w:sz w:val="17"/>
                                      <w:szCs w:val="17"/>
                                    </w:rPr>
                                    <w:t xml:space="preserve">principles to be applied when laying out marks to assist </w:t>
                                  </w:r>
                                </w:p>
                              </w:tc>
                              <w:tc>
                                <w:tcPr>
                                  <w:tcW w:w="4492" w:type="dxa"/>
                                </w:tcPr>
                                <w:p w14:paraId="49BF1EC6" w14:textId="77777777" w:rsidR="00541A14" w:rsidRDefault="00541A14">
                                  <w:pPr>
                                    <w:pStyle w:val="Default"/>
                                    <w:jc w:val="right"/>
                                    <w:rPr>
                                      <w:rFonts w:cs="Times New Roman"/>
                                      <w:color w:val="auto"/>
                                    </w:rPr>
                                  </w:pPr>
                                </w:p>
                              </w:tc>
                            </w:tr>
                            <w:tr w:rsidR="00541A14" w14:paraId="47D4247E" w14:textId="77777777">
                              <w:trPr>
                                <w:trHeight w:val="121"/>
                              </w:trPr>
                              <w:tc>
                                <w:tcPr>
                                  <w:tcW w:w="4497" w:type="dxa"/>
                                </w:tcPr>
                                <w:p w14:paraId="2A1F46CB" w14:textId="77777777" w:rsidR="00541A14" w:rsidRDefault="00A450E1">
                                  <w:pPr>
                                    <w:pStyle w:val="Default"/>
                                    <w:rPr>
                                      <w:rFonts w:ascii="DIN" w:hAnsi="DIN" w:cs="DIN"/>
                                      <w:sz w:val="17"/>
                                      <w:szCs w:val="17"/>
                                    </w:rPr>
                                  </w:pPr>
                                  <w:r>
                                    <w:rPr>
                                      <w:rFonts w:ascii="DIN" w:hAnsi="DIN" w:cs="DIN"/>
                                      <w:sz w:val="17"/>
                                      <w:szCs w:val="17"/>
                                    </w:rPr>
                                    <w:t xml:space="preserve">the mariner. Most countries adopted the principle of </w:t>
                                  </w:r>
                                </w:p>
                              </w:tc>
                              <w:tc>
                                <w:tcPr>
                                  <w:tcW w:w="4492" w:type="dxa"/>
                                </w:tcPr>
                                <w:p w14:paraId="0CEBA98C" w14:textId="77777777" w:rsidR="00541A14" w:rsidRDefault="00541A14">
                                  <w:pPr>
                                    <w:pStyle w:val="Default"/>
                                    <w:jc w:val="right"/>
                                    <w:rPr>
                                      <w:rFonts w:cs="Times New Roman"/>
                                      <w:color w:val="auto"/>
                                    </w:rPr>
                                  </w:pPr>
                                </w:p>
                              </w:tc>
                            </w:tr>
                            <w:tr w:rsidR="00541A14" w14:paraId="57928AB6" w14:textId="77777777">
                              <w:trPr>
                                <w:trHeight w:val="121"/>
                              </w:trPr>
                              <w:tc>
                                <w:tcPr>
                                  <w:tcW w:w="4497" w:type="dxa"/>
                                </w:tcPr>
                                <w:p w14:paraId="3088DE4D" w14:textId="77777777" w:rsidR="00541A14" w:rsidRDefault="00A450E1">
                                  <w:pPr>
                                    <w:pStyle w:val="Default"/>
                                    <w:rPr>
                                      <w:rFonts w:ascii="DIN" w:hAnsi="DIN" w:cs="DIN"/>
                                      <w:sz w:val="17"/>
                                      <w:szCs w:val="17"/>
                                    </w:rPr>
                                  </w:pPr>
                                  <w:r>
                                    <w:rPr>
                                      <w:rFonts w:ascii="DIN" w:hAnsi="DIN" w:cs="DIN"/>
                                      <w:sz w:val="17"/>
                                      <w:szCs w:val="17"/>
                                    </w:rPr>
                                    <w:t xml:space="preserve">the Lateral system whereby marks indicate the port and </w:t>
                                  </w:r>
                                </w:p>
                              </w:tc>
                              <w:tc>
                                <w:tcPr>
                                  <w:tcW w:w="4492" w:type="dxa"/>
                                </w:tcPr>
                                <w:p w14:paraId="0DC4F25D" w14:textId="77777777" w:rsidR="00541A14" w:rsidRDefault="00541A14">
                                  <w:pPr>
                                    <w:pStyle w:val="Default"/>
                                    <w:jc w:val="right"/>
                                    <w:rPr>
                                      <w:rFonts w:cs="Times New Roman"/>
                                      <w:color w:val="auto"/>
                                    </w:rPr>
                                  </w:pPr>
                                </w:p>
                              </w:tc>
                            </w:tr>
                            <w:tr w:rsidR="00541A14" w14:paraId="2C7CAF04" w14:textId="77777777">
                              <w:trPr>
                                <w:trHeight w:val="121"/>
                              </w:trPr>
                              <w:tc>
                                <w:tcPr>
                                  <w:tcW w:w="4497" w:type="dxa"/>
                                </w:tcPr>
                                <w:p w14:paraId="2BE05969" w14:textId="77777777" w:rsidR="00541A14" w:rsidRDefault="00A450E1">
                                  <w:pPr>
                                    <w:pStyle w:val="Default"/>
                                    <w:rPr>
                                      <w:rFonts w:ascii="DIN" w:hAnsi="DIN" w:cs="DIN"/>
                                      <w:sz w:val="17"/>
                                      <w:szCs w:val="17"/>
                                    </w:rPr>
                                  </w:pPr>
                                  <w:r>
                                    <w:rPr>
                                      <w:rFonts w:ascii="DIN" w:hAnsi="DIN" w:cs="DIN"/>
                                      <w:sz w:val="17"/>
                                      <w:szCs w:val="17"/>
                                    </w:rPr>
                                    <w:t xml:space="preserve">starboard sides of the route to be followed according to </w:t>
                                  </w:r>
                                </w:p>
                              </w:tc>
                              <w:tc>
                                <w:tcPr>
                                  <w:tcW w:w="4492" w:type="dxa"/>
                                </w:tcPr>
                                <w:p w14:paraId="58D2DD32" w14:textId="77777777" w:rsidR="00541A14" w:rsidRDefault="00541A14">
                                  <w:pPr>
                                    <w:pStyle w:val="Default"/>
                                    <w:jc w:val="right"/>
                                    <w:rPr>
                                      <w:rFonts w:cs="Times New Roman"/>
                                      <w:color w:val="auto"/>
                                    </w:rPr>
                                  </w:pPr>
                                </w:p>
                              </w:tc>
                            </w:tr>
                            <w:tr w:rsidR="00541A14" w14:paraId="3AF6BE8A" w14:textId="77777777">
                              <w:trPr>
                                <w:trHeight w:val="120"/>
                              </w:trPr>
                              <w:tc>
                                <w:tcPr>
                                  <w:tcW w:w="4497" w:type="dxa"/>
                                </w:tcPr>
                                <w:p w14:paraId="4652FCDA" w14:textId="77777777" w:rsidR="00541A14" w:rsidRDefault="00A450E1">
                                  <w:pPr>
                                    <w:pStyle w:val="Default"/>
                                    <w:rPr>
                                      <w:rFonts w:ascii="DIN" w:hAnsi="DIN" w:cs="DIN"/>
                                      <w:sz w:val="17"/>
                                      <w:szCs w:val="17"/>
                                    </w:rPr>
                                  </w:pPr>
                                  <w:r>
                                    <w:rPr>
                                      <w:rFonts w:ascii="DIN" w:hAnsi="DIN" w:cs="DIN"/>
                                      <w:sz w:val="17"/>
                                      <w:szCs w:val="17"/>
                                    </w:rPr>
                                    <w:t xml:space="preserve">some agreed direction. However, several countries also </w:t>
                                  </w:r>
                                </w:p>
                              </w:tc>
                              <w:tc>
                                <w:tcPr>
                                  <w:tcW w:w="4492" w:type="dxa"/>
                                </w:tcPr>
                                <w:p w14:paraId="78BB0D36" w14:textId="77777777" w:rsidR="00541A14" w:rsidRDefault="00541A14">
                                  <w:pPr>
                                    <w:pStyle w:val="Default"/>
                                    <w:jc w:val="right"/>
                                    <w:rPr>
                                      <w:rFonts w:cs="Times New Roman"/>
                                      <w:color w:val="auto"/>
                                    </w:rPr>
                                  </w:pPr>
                                </w:p>
                              </w:tc>
                            </w:tr>
                            <w:tr w:rsidR="00541A14" w14:paraId="0EC3581F" w14:textId="77777777">
                              <w:trPr>
                                <w:trHeight w:val="121"/>
                              </w:trPr>
                              <w:tc>
                                <w:tcPr>
                                  <w:tcW w:w="4497" w:type="dxa"/>
                                </w:tcPr>
                                <w:p w14:paraId="26F87998" w14:textId="77777777" w:rsidR="00541A14" w:rsidRDefault="00A450E1">
                                  <w:pPr>
                                    <w:pStyle w:val="Default"/>
                                    <w:rPr>
                                      <w:rFonts w:ascii="DIN" w:hAnsi="DIN" w:cs="DIN"/>
                                      <w:sz w:val="17"/>
                                      <w:szCs w:val="17"/>
                                    </w:rPr>
                                  </w:pPr>
                                  <w:r>
                                    <w:rPr>
                                      <w:rFonts w:ascii="DIN" w:hAnsi="DIN" w:cs="DIN"/>
                                      <w:sz w:val="17"/>
                                      <w:szCs w:val="17"/>
                                    </w:rPr>
                                    <w:t xml:space="preserve">favoured using the principle of Cardinal marks whereby </w:t>
                                  </w:r>
                                </w:p>
                              </w:tc>
                              <w:tc>
                                <w:tcPr>
                                  <w:tcW w:w="4492" w:type="dxa"/>
                                </w:tcPr>
                                <w:p w14:paraId="255D7E4F" w14:textId="77777777" w:rsidR="00541A14" w:rsidRDefault="00A450E1">
                                  <w:pPr>
                                    <w:pStyle w:val="Default"/>
                                    <w:jc w:val="right"/>
                                    <w:rPr>
                                      <w:rFonts w:ascii="DIN" w:hAnsi="DIN" w:cs="DIN"/>
                                      <w:sz w:val="17"/>
                                      <w:szCs w:val="17"/>
                                    </w:rPr>
                                  </w:pPr>
                                  <w:r>
                                    <w:rPr>
                                      <w:rFonts w:ascii="DIN" w:hAnsi="DIN" w:cs="DIN"/>
                                      <w:sz w:val="17"/>
                                      <w:szCs w:val="17"/>
                                    </w:rPr>
                                    <w:t xml:space="preserve">At the end of World War II many countries found </w:t>
                                  </w:r>
                                </w:p>
                              </w:tc>
                            </w:tr>
                            <w:tr w:rsidR="00541A14" w14:paraId="45512A0C" w14:textId="77777777">
                              <w:trPr>
                                <w:trHeight w:val="121"/>
                              </w:trPr>
                              <w:tc>
                                <w:tcPr>
                                  <w:tcW w:w="4497" w:type="dxa"/>
                                </w:tcPr>
                                <w:p w14:paraId="7718524F" w14:textId="77777777" w:rsidR="00541A14" w:rsidRDefault="00A450E1">
                                  <w:pPr>
                                    <w:pStyle w:val="Default"/>
                                    <w:rPr>
                                      <w:rFonts w:ascii="DIN" w:hAnsi="DIN" w:cs="DIN"/>
                                      <w:sz w:val="17"/>
                                      <w:szCs w:val="17"/>
                                    </w:rPr>
                                  </w:pPr>
                                  <w:r>
                                    <w:rPr>
                                      <w:rFonts w:ascii="DIN" w:hAnsi="DIN" w:cs="DIN"/>
                                      <w:sz w:val="17"/>
                                      <w:szCs w:val="17"/>
                                    </w:rPr>
                                    <w:t xml:space="preserve">dangers are marked by one or more buoys or beacons </w:t>
                                  </w:r>
                                </w:p>
                              </w:tc>
                              <w:tc>
                                <w:tcPr>
                                  <w:tcW w:w="4492" w:type="dxa"/>
                                </w:tcPr>
                                <w:p w14:paraId="7B1A919D" w14:textId="77777777" w:rsidR="00541A14" w:rsidRDefault="00A450E1">
                                  <w:pPr>
                                    <w:pStyle w:val="Default"/>
                                    <w:jc w:val="right"/>
                                    <w:rPr>
                                      <w:rFonts w:ascii="DIN" w:hAnsi="DIN" w:cs="DIN"/>
                                      <w:sz w:val="17"/>
                                      <w:szCs w:val="17"/>
                                    </w:rPr>
                                  </w:pPr>
                                  <w:r>
                                    <w:rPr>
                                      <w:rFonts w:ascii="DIN" w:hAnsi="DIN" w:cs="DIN"/>
                                      <w:sz w:val="17"/>
                                      <w:szCs w:val="17"/>
                                    </w:rPr>
                                    <w:t xml:space="preserve">their aids to navigation destroyed and the process of </w:t>
                                  </w:r>
                                </w:p>
                              </w:tc>
                            </w:tr>
                            <w:tr w:rsidR="00541A14" w14:paraId="3995B71B" w14:textId="77777777">
                              <w:trPr>
                                <w:trHeight w:val="121"/>
                              </w:trPr>
                              <w:tc>
                                <w:tcPr>
                                  <w:tcW w:w="4497" w:type="dxa"/>
                                </w:tcPr>
                                <w:p w14:paraId="55C6EB7F" w14:textId="77777777" w:rsidR="00541A14" w:rsidRDefault="00A450E1">
                                  <w:pPr>
                                    <w:pStyle w:val="Default"/>
                                    <w:rPr>
                                      <w:rFonts w:ascii="DIN" w:hAnsi="DIN" w:cs="DIN"/>
                                      <w:sz w:val="17"/>
                                      <w:szCs w:val="17"/>
                                    </w:rPr>
                                  </w:pPr>
                                  <w:r>
                                    <w:rPr>
                                      <w:rFonts w:ascii="DIN" w:hAnsi="DIN" w:cs="DIN"/>
                                      <w:sz w:val="17"/>
                                      <w:szCs w:val="17"/>
                                    </w:rPr>
                                    <w:t xml:space="preserve">laid out in the quadrants of the compass to indicate </w:t>
                                  </w:r>
                                </w:p>
                              </w:tc>
                              <w:tc>
                                <w:tcPr>
                                  <w:tcW w:w="4492" w:type="dxa"/>
                                </w:tcPr>
                                <w:p w14:paraId="4B453882" w14:textId="77777777" w:rsidR="00541A14" w:rsidRDefault="00A450E1">
                                  <w:pPr>
                                    <w:pStyle w:val="Default"/>
                                    <w:jc w:val="right"/>
                                    <w:rPr>
                                      <w:rFonts w:ascii="DIN" w:hAnsi="DIN" w:cs="DIN"/>
                                      <w:sz w:val="17"/>
                                      <w:szCs w:val="17"/>
                                    </w:rPr>
                                  </w:pPr>
                                  <w:r>
                                    <w:rPr>
                                      <w:rFonts w:ascii="DIN" w:hAnsi="DIN" w:cs="DIN"/>
                                      <w:sz w:val="17"/>
                                      <w:szCs w:val="17"/>
                                    </w:rPr>
                                    <w:t xml:space="preserve">restoration had to be undertaken urgently. In the </w:t>
                                  </w:r>
                                </w:p>
                              </w:tc>
                            </w:tr>
                            <w:tr w:rsidR="00541A14" w14:paraId="1043E01B" w14:textId="77777777">
                              <w:trPr>
                                <w:trHeight w:val="121"/>
                              </w:trPr>
                              <w:tc>
                                <w:tcPr>
                                  <w:tcW w:w="4497" w:type="dxa"/>
                                </w:tcPr>
                                <w:p w14:paraId="3F9E6585" w14:textId="77777777" w:rsidR="00541A14" w:rsidRDefault="00A450E1">
                                  <w:pPr>
                                    <w:pStyle w:val="Default"/>
                                    <w:rPr>
                                      <w:rFonts w:ascii="DIN" w:hAnsi="DIN" w:cs="DIN"/>
                                      <w:sz w:val="17"/>
                                      <w:szCs w:val="17"/>
                                    </w:rPr>
                                  </w:pPr>
                                  <w:r>
                                    <w:rPr>
                                      <w:rFonts w:ascii="DIN" w:hAnsi="DIN" w:cs="DIN"/>
                                      <w:sz w:val="17"/>
                                      <w:szCs w:val="17"/>
                                    </w:rPr>
                                    <w:t xml:space="preserve">where the danger lies in relation to the mark, this </w:t>
                                  </w:r>
                                </w:p>
                              </w:tc>
                              <w:tc>
                                <w:tcPr>
                                  <w:tcW w:w="4492" w:type="dxa"/>
                                </w:tcPr>
                                <w:p w14:paraId="3AA96992" w14:textId="77777777" w:rsidR="00541A14" w:rsidRDefault="00A450E1">
                                  <w:pPr>
                                    <w:pStyle w:val="Default"/>
                                    <w:jc w:val="right"/>
                                    <w:rPr>
                                      <w:rFonts w:ascii="DIN" w:hAnsi="DIN" w:cs="DIN"/>
                                      <w:sz w:val="17"/>
                                      <w:szCs w:val="17"/>
                                    </w:rPr>
                                  </w:pPr>
                                  <w:r>
                                    <w:rPr>
                                      <w:rFonts w:ascii="DIN" w:hAnsi="DIN" w:cs="DIN"/>
                                      <w:sz w:val="17"/>
                                      <w:szCs w:val="17"/>
                                    </w:rPr>
                                    <w:t xml:space="preserve">absence of anything better, the Geneva rules were </w:t>
                                  </w:r>
                                </w:p>
                              </w:tc>
                            </w:tr>
                            <w:tr w:rsidR="00541A14" w14:paraId="4AC0539A" w14:textId="77777777">
                              <w:trPr>
                                <w:trHeight w:val="121"/>
                              </w:trPr>
                              <w:tc>
                                <w:tcPr>
                                  <w:tcW w:w="4497" w:type="dxa"/>
                                </w:tcPr>
                                <w:p w14:paraId="16F92C06" w14:textId="77777777" w:rsidR="00541A14" w:rsidRDefault="00A450E1">
                                  <w:pPr>
                                    <w:pStyle w:val="Default"/>
                                    <w:rPr>
                                      <w:rFonts w:ascii="DIN" w:hAnsi="DIN" w:cs="DIN"/>
                                      <w:sz w:val="17"/>
                                      <w:szCs w:val="17"/>
                                    </w:rPr>
                                  </w:pPr>
                                  <w:r>
                                    <w:rPr>
                                      <w:rFonts w:ascii="DIN" w:hAnsi="DIN" w:cs="DIN"/>
                                      <w:sz w:val="17"/>
                                      <w:szCs w:val="17"/>
                                    </w:rPr>
                                    <w:t xml:space="preserve">system being particularly useful in the open sea where </w:t>
                                  </w:r>
                                </w:p>
                              </w:tc>
                              <w:tc>
                                <w:tcPr>
                                  <w:tcW w:w="4492" w:type="dxa"/>
                                </w:tcPr>
                                <w:p w14:paraId="701AAF34" w14:textId="77777777" w:rsidR="00541A14" w:rsidRDefault="00A450E1">
                                  <w:pPr>
                                    <w:pStyle w:val="Default"/>
                                    <w:jc w:val="right"/>
                                    <w:rPr>
                                      <w:rFonts w:ascii="DIN" w:hAnsi="DIN" w:cs="DIN"/>
                                      <w:sz w:val="17"/>
                                      <w:szCs w:val="17"/>
                                    </w:rPr>
                                  </w:pPr>
                                  <w:r>
                                    <w:rPr>
                                      <w:rFonts w:ascii="DIN" w:hAnsi="DIN" w:cs="DIN"/>
                                      <w:sz w:val="17"/>
                                      <w:szCs w:val="17"/>
                                    </w:rPr>
                                    <w:t xml:space="preserve">adopted with or without variation to suit local </w:t>
                                  </w:r>
                                </w:p>
                              </w:tc>
                            </w:tr>
                            <w:tr w:rsidR="00541A14" w14:paraId="63C45F92" w14:textId="77777777">
                              <w:trPr>
                                <w:trHeight w:val="121"/>
                              </w:trPr>
                              <w:tc>
                                <w:tcPr>
                                  <w:tcW w:w="4497" w:type="dxa"/>
                                </w:tcPr>
                                <w:p w14:paraId="4F542292" w14:textId="77777777" w:rsidR="00541A14" w:rsidRDefault="00A450E1">
                                  <w:pPr>
                                    <w:pStyle w:val="Default"/>
                                    <w:rPr>
                                      <w:rFonts w:ascii="DIN" w:hAnsi="DIN" w:cs="DIN"/>
                                      <w:sz w:val="17"/>
                                      <w:szCs w:val="17"/>
                                    </w:rPr>
                                  </w:pPr>
                                  <w:r>
                                    <w:rPr>
                                      <w:rFonts w:ascii="DIN" w:hAnsi="DIN" w:cs="DIN"/>
                                      <w:sz w:val="17"/>
                                      <w:szCs w:val="17"/>
                                    </w:rPr>
                                    <w:t xml:space="preserve">the Lateral buoyage direction may not be apparent. </w:t>
                                  </w:r>
                                </w:p>
                              </w:tc>
                              <w:tc>
                                <w:tcPr>
                                  <w:tcW w:w="4492" w:type="dxa"/>
                                </w:tcPr>
                                <w:p w14:paraId="69BF1CE5" w14:textId="77777777" w:rsidR="00541A14" w:rsidRDefault="00A450E1">
                                  <w:pPr>
                                    <w:pStyle w:val="Default"/>
                                    <w:jc w:val="right"/>
                                    <w:rPr>
                                      <w:rFonts w:ascii="DIN" w:hAnsi="DIN" w:cs="DIN"/>
                                      <w:sz w:val="17"/>
                                      <w:szCs w:val="17"/>
                                    </w:rPr>
                                  </w:pPr>
                                  <w:r>
                                    <w:rPr>
                                      <w:rFonts w:ascii="DIN" w:hAnsi="DIN" w:cs="DIN"/>
                                      <w:sz w:val="17"/>
                                      <w:szCs w:val="17"/>
                                    </w:rPr>
                                    <w:t xml:space="preserve">conditions and the equipment available. This led to </w:t>
                                  </w:r>
                                </w:p>
                              </w:tc>
                            </w:tr>
                            <w:tr w:rsidR="00541A14" w14:paraId="4094E5F2" w14:textId="77777777">
                              <w:trPr>
                                <w:trHeight w:val="118"/>
                              </w:trPr>
                              <w:tc>
                                <w:tcPr>
                                  <w:tcW w:w="4497" w:type="dxa"/>
                                </w:tcPr>
                                <w:p w14:paraId="7F9350D5" w14:textId="77777777" w:rsidR="00541A14" w:rsidRDefault="00541A14">
                                  <w:pPr>
                                    <w:pStyle w:val="Default"/>
                                    <w:rPr>
                                      <w:rFonts w:cs="Times New Roman"/>
                                      <w:color w:val="auto"/>
                                    </w:rPr>
                                  </w:pPr>
                                </w:p>
                              </w:tc>
                              <w:tc>
                                <w:tcPr>
                                  <w:tcW w:w="4492" w:type="dxa"/>
                                </w:tcPr>
                                <w:p w14:paraId="5190F1B1" w14:textId="77777777" w:rsidR="00541A14" w:rsidRDefault="00A450E1">
                                  <w:pPr>
                                    <w:pStyle w:val="Default"/>
                                    <w:jc w:val="right"/>
                                    <w:rPr>
                                      <w:rFonts w:ascii="DIN" w:hAnsi="DIN" w:cs="DIN"/>
                                      <w:sz w:val="17"/>
                                      <w:szCs w:val="17"/>
                                    </w:rPr>
                                  </w:pPr>
                                  <w:r>
                                    <w:rPr>
                                      <w:rFonts w:ascii="DIN" w:hAnsi="DIN" w:cs="DIN"/>
                                      <w:sz w:val="17"/>
                                      <w:szCs w:val="17"/>
                                    </w:rPr>
                                    <w:t xml:space="preserve">wide and sometimes conflicting differences particularly </w:t>
                                  </w:r>
                                </w:p>
                              </w:tc>
                            </w:tr>
                            <w:tr w:rsidR="00541A14" w14:paraId="5A67E9D6" w14:textId="77777777">
                              <w:trPr>
                                <w:trHeight w:val="126"/>
                              </w:trPr>
                              <w:tc>
                                <w:tcPr>
                                  <w:tcW w:w="4497" w:type="dxa"/>
                                  <w:vAlign w:val="center"/>
                                </w:tcPr>
                                <w:p w14:paraId="2B465C2B" w14:textId="77777777" w:rsidR="00541A14" w:rsidRDefault="00A450E1">
                                  <w:pPr>
                                    <w:pStyle w:val="Default"/>
                                    <w:rPr>
                                      <w:rFonts w:ascii="DIN" w:hAnsi="DIN" w:cs="DIN"/>
                                      <w:sz w:val="17"/>
                                      <w:szCs w:val="17"/>
                                    </w:rPr>
                                  </w:pPr>
                                  <w:r>
                                    <w:rPr>
                                      <w:rFonts w:ascii="DIN" w:hAnsi="DIN" w:cs="DIN"/>
                                      <w:sz w:val="17"/>
                                      <w:szCs w:val="17"/>
                                    </w:rPr>
                                    <w:t xml:space="preserve">The nearest approach to international agreement on a </w:t>
                                  </w:r>
                                </w:p>
                              </w:tc>
                              <w:tc>
                                <w:tcPr>
                                  <w:tcW w:w="4492" w:type="dxa"/>
                                </w:tcPr>
                                <w:p w14:paraId="454A9CA3" w14:textId="77777777" w:rsidR="00541A14" w:rsidRDefault="00A450E1">
                                  <w:pPr>
                                    <w:pStyle w:val="Default"/>
                                    <w:jc w:val="right"/>
                                    <w:rPr>
                                      <w:rFonts w:ascii="DIN" w:hAnsi="DIN" w:cs="DIN"/>
                                      <w:sz w:val="17"/>
                                      <w:szCs w:val="17"/>
                                    </w:rPr>
                                  </w:pPr>
                                  <w:r>
                                    <w:rPr>
                                      <w:rFonts w:ascii="DIN" w:hAnsi="DIN" w:cs="DIN"/>
                                      <w:sz w:val="17"/>
                                      <w:szCs w:val="17"/>
                                    </w:rPr>
                                    <w:t xml:space="preserve">in the crowded waters of North Western Europe. </w:t>
                                  </w:r>
                                </w:p>
                              </w:tc>
                            </w:tr>
                            <w:tr w:rsidR="00541A14" w14:paraId="36F761EF" w14:textId="77777777">
                              <w:trPr>
                                <w:trHeight w:val="118"/>
                              </w:trPr>
                              <w:tc>
                                <w:tcPr>
                                  <w:tcW w:w="4497" w:type="dxa"/>
                                </w:tcPr>
                                <w:p w14:paraId="5F82A1AA" w14:textId="77777777" w:rsidR="00541A14" w:rsidRDefault="00A450E1">
                                  <w:pPr>
                                    <w:pStyle w:val="Default"/>
                                    <w:rPr>
                                      <w:rFonts w:ascii="DIN" w:hAnsi="DIN" w:cs="DIN"/>
                                      <w:sz w:val="17"/>
                                      <w:szCs w:val="17"/>
                                    </w:rPr>
                                  </w:pPr>
                                  <w:r>
                                    <w:rPr>
                                      <w:rFonts w:ascii="DIN" w:hAnsi="DIN" w:cs="DIN"/>
                                      <w:sz w:val="17"/>
                                      <w:szCs w:val="17"/>
                                    </w:rPr>
                                    <w:t xml:space="preserve">unified system of buoyage was reached at Geneva in </w:t>
                                  </w:r>
                                </w:p>
                              </w:tc>
                              <w:tc>
                                <w:tcPr>
                                  <w:tcW w:w="4492" w:type="dxa"/>
                                </w:tcPr>
                                <w:p w14:paraId="3180D851" w14:textId="77777777" w:rsidR="00541A14" w:rsidRDefault="00541A14">
                                  <w:pPr>
                                    <w:pStyle w:val="Default"/>
                                    <w:jc w:val="right"/>
                                    <w:rPr>
                                      <w:rFonts w:cs="Times New Roman"/>
                                      <w:color w:val="auto"/>
                                    </w:rPr>
                                  </w:pPr>
                                </w:p>
                              </w:tc>
                            </w:tr>
                            <w:tr w:rsidR="00541A14" w14:paraId="40C2D19D" w14:textId="77777777">
                              <w:trPr>
                                <w:trHeight w:val="121"/>
                              </w:trPr>
                              <w:tc>
                                <w:tcPr>
                                  <w:tcW w:w="4497" w:type="dxa"/>
                                  <w:vAlign w:val="center"/>
                                </w:tcPr>
                                <w:p w14:paraId="4B74E4BE" w14:textId="77777777" w:rsidR="00541A14" w:rsidRDefault="00A450E1">
                                  <w:pPr>
                                    <w:pStyle w:val="Default"/>
                                    <w:rPr>
                                      <w:rFonts w:ascii="DIN" w:hAnsi="DIN" w:cs="DIN"/>
                                      <w:sz w:val="17"/>
                                      <w:szCs w:val="17"/>
                                    </w:rPr>
                                  </w:pPr>
                                  <w:r>
                                    <w:rPr>
                                      <w:rFonts w:ascii="DIN" w:hAnsi="DIN" w:cs="DIN"/>
                                      <w:sz w:val="17"/>
                                      <w:szCs w:val="17"/>
                                    </w:rPr>
                                    <w:t xml:space="preserve">1936. This Agreement, drawn up under the auspices of </w:t>
                                  </w:r>
                                </w:p>
                              </w:tc>
                              <w:tc>
                                <w:tcPr>
                                  <w:tcW w:w="4492" w:type="dxa"/>
                                </w:tcPr>
                                <w:p w14:paraId="5E781B79" w14:textId="77777777" w:rsidR="00541A14" w:rsidRDefault="00A450E1">
                                  <w:pPr>
                                    <w:pStyle w:val="Default"/>
                                    <w:jc w:val="right"/>
                                    <w:rPr>
                                      <w:rFonts w:ascii="DIN" w:hAnsi="DIN" w:cs="DIN"/>
                                      <w:sz w:val="17"/>
                                      <w:szCs w:val="17"/>
                                    </w:rPr>
                                  </w:pPr>
                                  <w:r>
                                    <w:rPr>
                                      <w:rFonts w:ascii="DIN" w:hAnsi="DIN" w:cs="DIN"/>
                                      <w:sz w:val="17"/>
                                      <w:szCs w:val="17"/>
                                    </w:rPr>
                                    <w:t xml:space="preserve">In 1957 the, then, International Association of </w:t>
                                  </w:r>
                                </w:p>
                              </w:tc>
                            </w:tr>
                            <w:tr w:rsidR="00541A14" w14:paraId="2AAF140A" w14:textId="77777777">
                              <w:trPr>
                                <w:trHeight w:val="121"/>
                              </w:trPr>
                              <w:tc>
                                <w:tcPr>
                                  <w:tcW w:w="4497" w:type="dxa"/>
                                  <w:vAlign w:val="center"/>
                                </w:tcPr>
                                <w:p w14:paraId="0CF05A04" w14:textId="77777777" w:rsidR="00541A14" w:rsidRDefault="00A450E1">
                                  <w:pPr>
                                    <w:pStyle w:val="Default"/>
                                    <w:rPr>
                                      <w:rFonts w:ascii="DIN" w:hAnsi="DIN" w:cs="DIN"/>
                                      <w:sz w:val="17"/>
                                      <w:szCs w:val="17"/>
                                    </w:rPr>
                                  </w:pPr>
                                  <w:r>
                                    <w:rPr>
                                      <w:rFonts w:ascii="DIN" w:hAnsi="DIN" w:cs="DIN"/>
                                      <w:sz w:val="17"/>
                                      <w:szCs w:val="17"/>
                                    </w:rPr>
                                    <w:t xml:space="preserve">the League of Nations, was never ratified due to the </w:t>
                                  </w:r>
                                </w:p>
                              </w:tc>
                              <w:tc>
                                <w:tcPr>
                                  <w:tcW w:w="4492" w:type="dxa"/>
                                </w:tcPr>
                                <w:p w14:paraId="7BBA0718" w14:textId="77777777" w:rsidR="00541A14" w:rsidRDefault="00A450E1">
                                  <w:pPr>
                                    <w:pStyle w:val="Default"/>
                                    <w:jc w:val="right"/>
                                    <w:rPr>
                                      <w:rFonts w:ascii="DIN" w:hAnsi="DIN" w:cs="DIN"/>
                                      <w:sz w:val="17"/>
                                      <w:szCs w:val="17"/>
                                    </w:rPr>
                                  </w:pPr>
                                  <w:r>
                                    <w:rPr>
                                      <w:rFonts w:ascii="DIN" w:hAnsi="DIN" w:cs="DIN"/>
                                      <w:sz w:val="17"/>
                                      <w:szCs w:val="17"/>
                                    </w:rPr>
                                    <w:t xml:space="preserve">Lighthouse Authorities (IALA) was formed in order </w:t>
                                  </w:r>
                                </w:p>
                              </w:tc>
                            </w:tr>
                            <w:tr w:rsidR="00541A14" w14:paraId="5E414E1D" w14:textId="77777777">
                              <w:trPr>
                                <w:trHeight w:val="121"/>
                              </w:trPr>
                              <w:tc>
                                <w:tcPr>
                                  <w:tcW w:w="4497" w:type="dxa"/>
                                  <w:vAlign w:val="center"/>
                                </w:tcPr>
                                <w:p w14:paraId="19A081E7" w14:textId="77777777" w:rsidR="00541A14" w:rsidRDefault="00A450E1">
                                  <w:pPr>
                                    <w:pStyle w:val="Default"/>
                                    <w:rPr>
                                      <w:rFonts w:ascii="DIN" w:hAnsi="DIN" w:cs="DIN"/>
                                      <w:sz w:val="17"/>
                                      <w:szCs w:val="17"/>
                                    </w:rPr>
                                  </w:pPr>
                                  <w:r>
                                    <w:rPr>
                                      <w:rFonts w:ascii="DIN" w:hAnsi="DIN" w:cs="DIN"/>
                                      <w:sz w:val="17"/>
                                      <w:szCs w:val="17"/>
                                    </w:rPr>
                                    <w:t xml:space="preserve">outbreak of World War II. The Agreement proposed </w:t>
                                  </w:r>
                                </w:p>
                              </w:tc>
                              <w:tc>
                                <w:tcPr>
                                  <w:tcW w:w="4492" w:type="dxa"/>
                                </w:tcPr>
                                <w:p w14:paraId="3DA42C39" w14:textId="77777777" w:rsidR="00541A14" w:rsidRDefault="00A450E1">
                                  <w:pPr>
                                    <w:pStyle w:val="Default"/>
                                    <w:jc w:val="right"/>
                                    <w:rPr>
                                      <w:rFonts w:ascii="DIN" w:hAnsi="DIN" w:cs="DIN"/>
                                      <w:sz w:val="17"/>
                                      <w:szCs w:val="17"/>
                                    </w:rPr>
                                  </w:pPr>
                                  <w:r>
                                    <w:rPr>
                                      <w:rFonts w:ascii="DIN" w:hAnsi="DIN" w:cs="DIN"/>
                                      <w:sz w:val="17"/>
                                      <w:szCs w:val="17"/>
                                    </w:rPr>
                                    <w:t xml:space="preserve">to support the goals of the technical lighthouse </w:t>
                                  </w:r>
                                </w:p>
                              </w:tc>
                            </w:tr>
                            <w:tr w:rsidR="00541A14" w14:paraId="38F06C74" w14:textId="77777777">
                              <w:trPr>
                                <w:trHeight w:val="121"/>
                              </w:trPr>
                              <w:tc>
                                <w:tcPr>
                                  <w:tcW w:w="4497" w:type="dxa"/>
                                  <w:vAlign w:val="center"/>
                                </w:tcPr>
                                <w:p w14:paraId="0A5E8C59" w14:textId="77777777" w:rsidR="00541A14" w:rsidRDefault="00A450E1">
                                  <w:pPr>
                                    <w:pStyle w:val="Default"/>
                                    <w:rPr>
                                      <w:rFonts w:ascii="DIN" w:hAnsi="DIN" w:cs="DIN"/>
                                      <w:sz w:val="17"/>
                                      <w:szCs w:val="17"/>
                                    </w:rPr>
                                  </w:pPr>
                                  <w:r>
                                    <w:rPr>
                                      <w:rFonts w:ascii="DIN" w:hAnsi="DIN" w:cs="DIN"/>
                                      <w:sz w:val="17"/>
                                      <w:szCs w:val="17"/>
                                    </w:rPr>
                                    <w:t xml:space="preserve">the use of either Cardinal marks or Lateral marks but </w:t>
                                  </w:r>
                                </w:p>
                              </w:tc>
                              <w:tc>
                                <w:tcPr>
                                  <w:tcW w:w="4492" w:type="dxa"/>
                                </w:tcPr>
                                <w:p w14:paraId="683AF5B1" w14:textId="77777777" w:rsidR="00541A14" w:rsidRDefault="00A450E1">
                                  <w:pPr>
                                    <w:pStyle w:val="Default"/>
                                    <w:jc w:val="right"/>
                                    <w:rPr>
                                      <w:rFonts w:ascii="DIN" w:hAnsi="DIN" w:cs="DIN"/>
                                      <w:sz w:val="17"/>
                                      <w:szCs w:val="17"/>
                                    </w:rPr>
                                  </w:pPr>
                                  <w:r>
                                    <w:rPr>
                                      <w:rFonts w:ascii="DIN" w:hAnsi="DIN" w:cs="DIN"/>
                                      <w:sz w:val="17"/>
                                      <w:szCs w:val="17"/>
                                    </w:rPr>
                                    <w:t xml:space="preserve">conferences which had been convening since 1929. </w:t>
                                  </w:r>
                                </w:p>
                              </w:tc>
                            </w:tr>
                            <w:tr w:rsidR="00541A14" w14:paraId="71728FEB" w14:textId="77777777">
                              <w:trPr>
                                <w:trHeight w:val="122"/>
                              </w:trPr>
                              <w:tc>
                                <w:tcPr>
                                  <w:tcW w:w="4497" w:type="dxa"/>
                                  <w:vAlign w:val="center"/>
                                </w:tcPr>
                                <w:p w14:paraId="7A7D8038" w14:textId="77777777" w:rsidR="00541A14" w:rsidRDefault="00A450E1">
                                  <w:pPr>
                                    <w:pStyle w:val="Default"/>
                                    <w:rPr>
                                      <w:rFonts w:ascii="DIN" w:hAnsi="DIN" w:cs="DIN"/>
                                      <w:sz w:val="17"/>
                                      <w:szCs w:val="17"/>
                                    </w:rPr>
                                  </w:pPr>
                                  <w:r>
                                    <w:rPr>
                                      <w:rFonts w:ascii="DIN" w:hAnsi="DIN" w:cs="DIN"/>
                                      <w:sz w:val="17"/>
                                      <w:szCs w:val="17"/>
                                    </w:rPr>
                                    <w:t xml:space="preserve">separated them into two different systems. It provided </w:t>
                                  </w:r>
                                </w:p>
                              </w:tc>
                              <w:tc>
                                <w:tcPr>
                                  <w:tcW w:w="4492" w:type="dxa"/>
                                </w:tcPr>
                                <w:p w14:paraId="3BACDBA1" w14:textId="77777777" w:rsidR="00541A14" w:rsidRDefault="00541A14">
                                  <w:pPr>
                                    <w:pStyle w:val="Default"/>
                                    <w:jc w:val="right"/>
                                    <w:rPr>
                                      <w:rFonts w:cs="Times New Roman"/>
                                      <w:color w:val="auto"/>
                                    </w:rPr>
                                  </w:pPr>
                                </w:p>
                              </w:tc>
                            </w:tr>
                            <w:tr w:rsidR="00541A14" w14:paraId="4B30DBD3" w14:textId="77777777">
                              <w:trPr>
                                <w:trHeight w:val="121"/>
                              </w:trPr>
                              <w:tc>
                                <w:tcPr>
                                  <w:tcW w:w="4497" w:type="dxa"/>
                                </w:tcPr>
                                <w:p w14:paraId="530821CE" w14:textId="77777777" w:rsidR="00541A14" w:rsidRDefault="00A450E1">
                                  <w:pPr>
                                    <w:pStyle w:val="Default"/>
                                    <w:rPr>
                                      <w:rFonts w:ascii="DIN" w:hAnsi="DIN" w:cs="DIN"/>
                                      <w:sz w:val="17"/>
                                      <w:szCs w:val="17"/>
                                    </w:rPr>
                                  </w:pPr>
                                  <w:r>
                                    <w:rPr>
                                      <w:rFonts w:ascii="DIN" w:hAnsi="DIN" w:cs="DIN"/>
                                      <w:sz w:val="17"/>
                                      <w:szCs w:val="17"/>
                                    </w:rPr>
                                    <w:t xml:space="preserve">for the use of the colour red on port hand marks and </w:t>
                                  </w:r>
                                </w:p>
                              </w:tc>
                              <w:tc>
                                <w:tcPr>
                                  <w:tcW w:w="4492" w:type="dxa"/>
                                </w:tcPr>
                                <w:p w14:paraId="7A05CA5A" w14:textId="77777777" w:rsidR="00541A14" w:rsidRDefault="00A450E1">
                                  <w:pPr>
                                    <w:pStyle w:val="Default"/>
                                    <w:jc w:val="right"/>
                                    <w:rPr>
                                      <w:rFonts w:ascii="DIN" w:hAnsi="DIN" w:cs="DIN"/>
                                      <w:sz w:val="17"/>
                                      <w:szCs w:val="17"/>
                                    </w:rPr>
                                  </w:pPr>
                                  <w:r>
                                    <w:rPr>
                                      <w:rFonts w:ascii="DIN" w:hAnsi="DIN" w:cs="DIN"/>
                                      <w:sz w:val="17"/>
                                      <w:szCs w:val="17"/>
                                    </w:rPr>
                                    <w:t xml:space="preserve">Attempts to bring complete unity had little success. </w:t>
                                  </w:r>
                                </w:p>
                              </w:tc>
                            </w:tr>
                            <w:tr w:rsidR="00541A14" w14:paraId="512B418F" w14:textId="77777777">
                              <w:trPr>
                                <w:trHeight w:val="105"/>
                              </w:trPr>
                              <w:tc>
                                <w:tcPr>
                                  <w:tcW w:w="4497" w:type="dxa"/>
                                  <w:vAlign w:val="center"/>
                                </w:tcPr>
                                <w:p w14:paraId="2C6E14AE" w14:textId="77777777" w:rsidR="00541A14" w:rsidRDefault="00A450E1">
                                  <w:pPr>
                                    <w:pStyle w:val="Default"/>
                                    <w:rPr>
                                      <w:rFonts w:ascii="DIN" w:hAnsi="DIN" w:cs="DIN"/>
                                      <w:sz w:val="17"/>
                                      <w:szCs w:val="17"/>
                                    </w:rPr>
                                  </w:pPr>
                                  <w:r>
                                    <w:rPr>
                                      <w:rFonts w:ascii="DIN" w:hAnsi="DIN" w:cs="DIN"/>
                                      <w:sz w:val="17"/>
                                      <w:szCs w:val="17"/>
                                    </w:rPr>
                                    <w:t xml:space="preserve">largely reserved the colour green for wreck marking. </w:t>
                                  </w:r>
                                </w:p>
                              </w:tc>
                              <w:tc>
                                <w:tcPr>
                                  <w:tcW w:w="4492" w:type="dxa"/>
                                  <w:vAlign w:val="center"/>
                                </w:tcPr>
                                <w:p w14:paraId="161C27B0" w14:textId="77777777" w:rsidR="00541A14" w:rsidRDefault="00A450E1">
                                  <w:pPr>
                                    <w:pStyle w:val="Default"/>
                                    <w:jc w:val="right"/>
                                    <w:rPr>
                                      <w:rFonts w:ascii="DIN" w:hAnsi="DIN" w:cs="DIN"/>
                                      <w:sz w:val="17"/>
                                      <w:szCs w:val="17"/>
                                    </w:rPr>
                                  </w:pPr>
                                  <w:r>
                                    <w:rPr>
                                      <w:rFonts w:ascii="DIN" w:hAnsi="DIN" w:cs="DIN"/>
                                      <w:sz w:val="17"/>
                                      <w:szCs w:val="17"/>
                                    </w:rPr>
                                    <w:t xml:space="preserve">Fresh impetus was given to the task of the IALA </w:t>
                                  </w:r>
                                </w:p>
                              </w:tc>
                            </w:tr>
                          </w:tbl>
                          <w:p w14:paraId="2C711C4A"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62" type="#_x0000_t202" style="position:absolute;margin-left:47.75pt;margin-top:320.55pt;width:492pt;height:478.4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120"/>
                        <w:gridCol w:w="302"/>
                        <w:gridCol w:w="33"/>
                        <w:gridCol w:w="312"/>
                        <w:gridCol w:w="180"/>
                        <w:gridCol w:w="20"/>
                        <w:gridCol w:w="218"/>
                        <w:gridCol w:w="502"/>
                        <w:gridCol w:w="842"/>
                        <w:gridCol w:w="735"/>
                        <w:gridCol w:w="5"/>
                        <w:gridCol w:w="5"/>
                        <w:gridCol w:w="12"/>
                        <w:gridCol w:w="47"/>
                        <w:gridCol w:w="168"/>
                        <w:gridCol w:w="1187"/>
                        <w:gridCol w:w="10"/>
                        <w:gridCol w:w="3295"/>
                        <w:gridCol w:w="77"/>
                        <w:gridCol w:w="23"/>
                      </w:tblGrid>
                      <w:tr w:rsidR="00000000" w14:paraId="1E3710BC" w14:textId="77777777">
                        <w:tblPrEx>
                          <w:tblCellMar>
                            <w:top w:w="0" w:type="dxa"/>
                            <w:bottom w:w="0" w:type="dxa"/>
                          </w:tblCellMar>
                        </w:tblPrEx>
                        <w:trPr>
                          <w:gridAfter w:val="2"/>
                          <w:wAfter w:w="48" w:type="dxa"/>
                          <w:trHeight w:val="105"/>
                        </w:trPr>
                        <w:tc>
                          <w:tcPr>
                            <w:tcW w:w="4497" w:type="dxa"/>
                            <w:gridSpan w:val="15"/>
                          </w:tcPr>
                          <w:p w14:paraId="50DB1DF0" w14:textId="77777777" w:rsidR="00000000" w:rsidRDefault="00A450E1">
                            <w:pPr>
                              <w:pStyle w:val="Default"/>
                              <w:rPr>
                                <w:rFonts w:ascii="DIN" w:hAnsi="DIN" w:cs="DIN"/>
                                <w:sz w:val="17"/>
                                <w:szCs w:val="17"/>
                              </w:rPr>
                            </w:pPr>
                            <w:r>
                              <w:rPr>
                                <w:rFonts w:ascii="DIN" w:hAnsi="DIN" w:cs="DIN"/>
                                <w:sz w:val="17"/>
                                <w:szCs w:val="17"/>
                              </w:rPr>
                              <w:t xml:space="preserve">There was once more than thirty different buoyage </w:t>
                            </w:r>
                          </w:p>
                        </w:tc>
                        <w:tc>
                          <w:tcPr>
                            <w:tcW w:w="4492" w:type="dxa"/>
                            <w:gridSpan w:val="3"/>
                          </w:tcPr>
                          <w:p w14:paraId="011859BB" w14:textId="77777777" w:rsidR="00000000" w:rsidRDefault="00A450E1">
                            <w:pPr>
                              <w:pStyle w:val="Default"/>
                              <w:jc w:val="right"/>
                              <w:rPr>
                                <w:rFonts w:cs="Times New Roman"/>
                                <w:color w:val="auto"/>
                              </w:rPr>
                            </w:pPr>
                          </w:p>
                        </w:tc>
                      </w:tr>
                      <w:tr w:rsidR="00000000" w14:paraId="25047E0D" w14:textId="77777777">
                        <w:tblPrEx>
                          <w:tblCellMar>
                            <w:top w:w="0" w:type="dxa"/>
                            <w:bottom w:w="0" w:type="dxa"/>
                          </w:tblCellMar>
                        </w:tblPrEx>
                        <w:trPr>
                          <w:gridAfter w:val="2"/>
                          <w:wAfter w:w="48" w:type="dxa"/>
                          <w:trHeight w:val="122"/>
                        </w:trPr>
                        <w:tc>
                          <w:tcPr>
                            <w:tcW w:w="4497" w:type="dxa"/>
                            <w:gridSpan w:val="15"/>
                          </w:tcPr>
                          <w:p w14:paraId="4189BFCF" w14:textId="77777777" w:rsidR="00000000" w:rsidRDefault="00A450E1">
                            <w:pPr>
                              <w:pStyle w:val="Default"/>
                              <w:rPr>
                                <w:rFonts w:ascii="DIN" w:hAnsi="DIN" w:cs="DIN"/>
                                <w:sz w:val="17"/>
                                <w:szCs w:val="17"/>
                              </w:rPr>
                            </w:pPr>
                            <w:r>
                              <w:rPr>
                                <w:rFonts w:ascii="DIN" w:hAnsi="DIN" w:cs="DIN"/>
                                <w:sz w:val="17"/>
                                <w:szCs w:val="17"/>
                              </w:rPr>
                              <w:t xml:space="preserve">systems in use world-wide, many of these systems </w:t>
                            </w:r>
                          </w:p>
                        </w:tc>
                        <w:tc>
                          <w:tcPr>
                            <w:tcW w:w="4492" w:type="dxa"/>
                            <w:gridSpan w:val="3"/>
                          </w:tcPr>
                          <w:p w14:paraId="5C90406D" w14:textId="77777777" w:rsidR="00000000" w:rsidRDefault="00A450E1">
                            <w:pPr>
                              <w:pStyle w:val="Default"/>
                              <w:jc w:val="right"/>
                              <w:rPr>
                                <w:rFonts w:cs="Times New Roman"/>
                                <w:color w:val="auto"/>
                              </w:rPr>
                            </w:pPr>
                          </w:p>
                        </w:tc>
                      </w:tr>
                      <w:tr w:rsidR="00000000" w14:paraId="22C40054" w14:textId="77777777">
                        <w:tblPrEx>
                          <w:tblCellMar>
                            <w:top w:w="0" w:type="dxa"/>
                            <w:bottom w:w="0" w:type="dxa"/>
                          </w:tblCellMar>
                        </w:tblPrEx>
                        <w:trPr>
                          <w:gridAfter w:val="2"/>
                          <w:wAfter w:w="48" w:type="dxa"/>
                          <w:trHeight w:val="182"/>
                        </w:trPr>
                        <w:tc>
                          <w:tcPr>
                            <w:tcW w:w="4497" w:type="dxa"/>
                            <w:gridSpan w:val="15"/>
                          </w:tcPr>
                          <w:p w14:paraId="38647424" w14:textId="77777777" w:rsidR="00000000" w:rsidRDefault="00A450E1">
                            <w:pPr>
                              <w:pStyle w:val="Default"/>
                              <w:rPr>
                                <w:rFonts w:ascii="DIN" w:hAnsi="DIN" w:cs="DIN"/>
                                <w:sz w:val="17"/>
                                <w:szCs w:val="17"/>
                              </w:rPr>
                            </w:pPr>
                            <w:r>
                              <w:rPr>
                                <w:rFonts w:ascii="DIN" w:hAnsi="DIN" w:cs="DIN"/>
                                <w:sz w:val="17"/>
                                <w:szCs w:val="17"/>
                              </w:rPr>
                              <w:t xml:space="preserve">having rules in complete conflict with one another. </w:t>
                            </w:r>
                          </w:p>
                        </w:tc>
                        <w:tc>
                          <w:tcPr>
                            <w:tcW w:w="4492" w:type="dxa"/>
                            <w:gridSpan w:val="3"/>
                          </w:tcPr>
                          <w:p w14:paraId="00C8647F" w14:textId="77777777" w:rsidR="00000000" w:rsidRDefault="00A450E1">
                            <w:pPr>
                              <w:pStyle w:val="Default"/>
                              <w:jc w:val="right"/>
                              <w:rPr>
                                <w:rFonts w:cs="Times New Roman"/>
                                <w:color w:val="auto"/>
                              </w:rPr>
                            </w:pPr>
                          </w:p>
                        </w:tc>
                      </w:tr>
                      <w:tr w:rsidR="00000000" w14:paraId="4B84847D" w14:textId="77777777">
                        <w:tblPrEx>
                          <w:tblCellMar>
                            <w:top w:w="0" w:type="dxa"/>
                            <w:bottom w:w="0" w:type="dxa"/>
                          </w:tblCellMar>
                        </w:tblPrEx>
                        <w:trPr>
                          <w:gridAfter w:val="2"/>
                          <w:wAfter w:w="48" w:type="dxa"/>
                          <w:trHeight w:val="181"/>
                        </w:trPr>
                        <w:tc>
                          <w:tcPr>
                            <w:tcW w:w="4497" w:type="dxa"/>
                            <w:gridSpan w:val="15"/>
                            <w:vAlign w:val="bottom"/>
                          </w:tcPr>
                          <w:p w14:paraId="544D6617" w14:textId="77777777" w:rsidR="00000000" w:rsidRDefault="00A450E1">
                            <w:pPr>
                              <w:pStyle w:val="Default"/>
                              <w:rPr>
                                <w:rFonts w:ascii="DIN" w:hAnsi="DIN" w:cs="DIN"/>
                                <w:sz w:val="17"/>
                                <w:szCs w:val="17"/>
                              </w:rPr>
                            </w:pPr>
                            <w:r>
                              <w:rPr>
                                <w:rFonts w:ascii="DIN" w:hAnsi="DIN" w:cs="DIN"/>
                                <w:sz w:val="17"/>
                                <w:szCs w:val="17"/>
                              </w:rPr>
                              <w:t xml:space="preserve">There has long been disagreement over the way in </w:t>
                            </w:r>
                          </w:p>
                        </w:tc>
                        <w:tc>
                          <w:tcPr>
                            <w:tcW w:w="4492" w:type="dxa"/>
                            <w:gridSpan w:val="3"/>
                          </w:tcPr>
                          <w:p w14:paraId="385261F3" w14:textId="77777777" w:rsidR="00000000" w:rsidRDefault="00A450E1">
                            <w:pPr>
                              <w:pStyle w:val="Default"/>
                              <w:jc w:val="right"/>
                              <w:rPr>
                                <w:rFonts w:cs="Times New Roman"/>
                                <w:color w:val="auto"/>
                              </w:rPr>
                            </w:pPr>
                          </w:p>
                        </w:tc>
                      </w:tr>
                      <w:tr w:rsidR="00000000" w14:paraId="3CC74A50" w14:textId="77777777">
                        <w:tblPrEx>
                          <w:tblCellMar>
                            <w:top w:w="0" w:type="dxa"/>
                            <w:bottom w:w="0" w:type="dxa"/>
                          </w:tblCellMar>
                        </w:tblPrEx>
                        <w:trPr>
                          <w:gridAfter w:val="2"/>
                          <w:wAfter w:w="48" w:type="dxa"/>
                          <w:trHeight w:val="121"/>
                        </w:trPr>
                        <w:tc>
                          <w:tcPr>
                            <w:tcW w:w="4497" w:type="dxa"/>
                            <w:gridSpan w:val="15"/>
                          </w:tcPr>
                          <w:p w14:paraId="35DB87C0" w14:textId="77777777" w:rsidR="00000000" w:rsidRDefault="00A450E1">
                            <w:pPr>
                              <w:pStyle w:val="Default"/>
                              <w:rPr>
                                <w:rFonts w:ascii="DIN" w:hAnsi="DIN" w:cs="DIN"/>
                                <w:sz w:val="17"/>
                                <w:szCs w:val="17"/>
                              </w:rPr>
                            </w:pPr>
                            <w:r>
                              <w:rPr>
                                <w:rFonts w:ascii="DIN" w:hAnsi="DIN" w:cs="DIN"/>
                                <w:sz w:val="17"/>
                                <w:szCs w:val="17"/>
                              </w:rPr>
                              <w:t>which buoy</w:t>
                            </w:r>
                            <w:r>
                              <w:rPr>
                                <w:rFonts w:ascii="DIN" w:hAnsi="DIN" w:cs="DIN"/>
                                <w:sz w:val="17"/>
                                <w:szCs w:val="17"/>
                              </w:rPr>
                              <w:t xml:space="preserve"> lights should be used since they first </w:t>
                            </w:r>
                          </w:p>
                        </w:tc>
                        <w:tc>
                          <w:tcPr>
                            <w:tcW w:w="4492" w:type="dxa"/>
                            <w:gridSpan w:val="3"/>
                          </w:tcPr>
                          <w:p w14:paraId="41F3B082" w14:textId="77777777" w:rsidR="00000000" w:rsidRDefault="00A450E1">
                            <w:pPr>
                              <w:pStyle w:val="Default"/>
                              <w:jc w:val="right"/>
                              <w:rPr>
                                <w:rFonts w:cs="Times New Roman"/>
                                <w:color w:val="auto"/>
                              </w:rPr>
                            </w:pPr>
                          </w:p>
                        </w:tc>
                      </w:tr>
                      <w:tr w:rsidR="00000000" w14:paraId="53E7CB20" w14:textId="77777777">
                        <w:tblPrEx>
                          <w:tblCellMar>
                            <w:top w:w="0" w:type="dxa"/>
                            <w:bottom w:w="0" w:type="dxa"/>
                          </w:tblCellMar>
                        </w:tblPrEx>
                        <w:trPr>
                          <w:gridAfter w:val="2"/>
                          <w:wAfter w:w="48" w:type="dxa"/>
                          <w:trHeight w:val="121"/>
                        </w:trPr>
                        <w:tc>
                          <w:tcPr>
                            <w:tcW w:w="4497" w:type="dxa"/>
                            <w:gridSpan w:val="15"/>
                          </w:tcPr>
                          <w:p w14:paraId="447AA5CB" w14:textId="77777777" w:rsidR="00000000" w:rsidRDefault="00A450E1">
                            <w:pPr>
                              <w:pStyle w:val="Default"/>
                              <w:rPr>
                                <w:rFonts w:ascii="DIN" w:hAnsi="DIN" w:cs="DIN"/>
                                <w:sz w:val="17"/>
                                <w:szCs w:val="17"/>
                              </w:rPr>
                            </w:pPr>
                            <w:r>
                              <w:rPr>
                                <w:rFonts w:ascii="DIN" w:hAnsi="DIN" w:cs="DIN"/>
                                <w:sz w:val="17"/>
                                <w:szCs w:val="17"/>
                              </w:rPr>
                              <w:t xml:space="preserve">appeared towards the end of the 19th century. In </w:t>
                            </w:r>
                          </w:p>
                        </w:tc>
                        <w:tc>
                          <w:tcPr>
                            <w:tcW w:w="4492" w:type="dxa"/>
                            <w:gridSpan w:val="3"/>
                          </w:tcPr>
                          <w:p w14:paraId="30374892" w14:textId="77777777" w:rsidR="00000000" w:rsidRDefault="00A450E1">
                            <w:pPr>
                              <w:pStyle w:val="Default"/>
                              <w:jc w:val="right"/>
                              <w:rPr>
                                <w:rFonts w:cs="Times New Roman"/>
                                <w:color w:val="auto"/>
                              </w:rPr>
                            </w:pPr>
                          </w:p>
                        </w:tc>
                      </w:tr>
                      <w:tr w:rsidR="00000000" w14:paraId="18E821B8" w14:textId="77777777">
                        <w:tblPrEx>
                          <w:tblCellMar>
                            <w:top w:w="0" w:type="dxa"/>
                            <w:bottom w:w="0" w:type="dxa"/>
                          </w:tblCellMar>
                        </w:tblPrEx>
                        <w:trPr>
                          <w:gridAfter w:val="2"/>
                          <w:wAfter w:w="48" w:type="dxa"/>
                          <w:trHeight w:val="121"/>
                        </w:trPr>
                        <w:tc>
                          <w:tcPr>
                            <w:tcW w:w="4497" w:type="dxa"/>
                            <w:gridSpan w:val="15"/>
                          </w:tcPr>
                          <w:p w14:paraId="7E686C67" w14:textId="77777777" w:rsidR="00000000" w:rsidRDefault="00A450E1">
                            <w:pPr>
                              <w:pStyle w:val="Default"/>
                              <w:rPr>
                                <w:rFonts w:ascii="DIN" w:hAnsi="DIN" w:cs="DIN"/>
                                <w:sz w:val="17"/>
                                <w:szCs w:val="17"/>
                              </w:rPr>
                            </w:pPr>
                            <w:r>
                              <w:rPr>
                                <w:rFonts w:ascii="DIN" w:hAnsi="DIN" w:cs="DIN"/>
                                <w:sz w:val="17"/>
                                <w:szCs w:val="17"/>
                              </w:rPr>
                              <w:t xml:space="preserve">particular, some countries favoured using red lights </w:t>
                            </w:r>
                          </w:p>
                        </w:tc>
                        <w:tc>
                          <w:tcPr>
                            <w:tcW w:w="4492" w:type="dxa"/>
                            <w:gridSpan w:val="3"/>
                          </w:tcPr>
                          <w:p w14:paraId="0713AD33" w14:textId="77777777" w:rsidR="00000000" w:rsidRDefault="00A450E1">
                            <w:pPr>
                              <w:pStyle w:val="Default"/>
                              <w:jc w:val="right"/>
                              <w:rPr>
                                <w:rFonts w:cs="Times New Roman"/>
                                <w:color w:val="auto"/>
                              </w:rPr>
                            </w:pPr>
                          </w:p>
                        </w:tc>
                      </w:tr>
                      <w:tr w:rsidR="00000000" w14:paraId="08020F42" w14:textId="77777777">
                        <w:tblPrEx>
                          <w:tblCellMar>
                            <w:top w:w="0" w:type="dxa"/>
                            <w:bottom w:w="0" w:type="dxa"/>
                          </w:tblCellMar>
                        </w:tblPrEx>
                        <w:trPr>
                          <w:gridAfter w:val="2"/>
                          <w:wAfter w:w="48" w:type="dxa"/>
                          <w:trHeight w:val="121"/>
                        </w:trPr>
                        <w:tc>
                          <w:tcPr>
                            <w:tcW w:w="4497" w:type="dxa"/>
                            <w:gridSpan w:val="15"/>
                          </w:tcPr>
                          <w:p w14:paraId="1C625F6C" w14:textId="77777777" w:rsidR="00000000" w:rsidRDefault="00A450E1">
                            <w:pPr>
                              <w:pStyle w:val="Default"/>
                              <w:rPr>
                                <w:rFonts w:ascii="DIN" w:hAnsi="DIN" w:cs="DIN"/>
                                <w:sz w:val="17"/>
                                <w:szCs w:val="17"/>
                              </w:rPr>
                            </w:pPr>
                            <w:r>
                              <w:rPr>
                                <w:rFonts w:ascii="DIN" w:hAnsi="DIN" w:cs="DIN"/>
                                <w:sz w:val="17"/>
                                <w:szCs w:val="17"/>
                              </w:rPr>
                              <w:t xml:space="preserve">to mark the port hand side of channels and others </w:t>
                            </w:r>
                          </w:p>
                        </w:tc>
                        <w:tc>
                          <w:tcPr>
                            <w:tcW w:w="4492" w:type="dxa"/>
                            <w:gridSpan w:val="3"/>
                          </w:tcPr>
                          <w:p w14:paraId="04F361F8" w14:textId="77777777" w:rsidR="00000000" w:rsidRDefault="00A450E1">
                            <w:pPr>
                              <w:pStyle w:val="Default"/>
                              <w:jc w:val="right"/>
                              <w:rPr>
                                <w:rFonts w:cs="Times New Roman"/>
                                <w:color w:val="auto"/>
                              </w:rPr>
                            </w:pPr>
                          </w:p>
                        </w:tc>
                      </w:tr>
                      <w:tr w:rsidR="00000000" w14:paraId="6F4C81D5" w14:textId="77777777">
                        <w:tblPrEx>
                          <w:tblCellMar>
                            <w:top w:w="0" w:type="dxa"/>
                            <w:bottom w:w="0" w:type="dxa"/>
                          </w:tblCellMar>
                        </w:tblPrEx>
                        <w:trPr>
                          <w:gridAfter w:val="2"/>
                          <w:wAfter w:w="48" w:type="dxa"/>
                          <w:trHeight w:val="182"/>
                        </w:trPr>
                        <w:tc>
                          <w:tcPr>
                            <w:tcW w:w="4497" w:type="dxa"/>
                            <w:gridSpan w:val="15"/>
                          </w:tcPr>
                          <w:p w14:paraId="5210183D" w14:textId="77777777" w:rsidR="00000000" w:rsidRDefault="00A450E1">
                            <w:pPr>
                              <w:pStyle w:val="Default"/>
                              <w:rPr>
                                <w:rFonts w:ascii="DIN" w:hAnsi="DIN" w:cs="DIN"/>
                                <w:sz w:val="17"/>
                                <w:szCs w:val="17"/>
                              </w:rPr>
                            </w:pPr>
                            <w:r>
                              <w:rPr>
                                <w:rFonts w:ascii="DIN" w:hAnsi="DIN" w:cs="DIN"/>
                                <w:sz w:val="17"/>
                                <w:szCs w:val="17"/>
                              </w:rPr>
                              <w:t xml:space="preserve">favoured them for marking the starboard hand. </w:t>
                            </w:r>
                          </w:p>
                        </w:tc>
                        <w:tc>
                          <w:tcPr>
                            <w:tcW w:w="4492" w:type="dxa"/>
                            <w:gridSpan w:val="3"/>
                          </w:tcPr>
                          <w:p w14:paraId="4E7EBE04" w14:textId="77777777" w:rsidR="00000000" w:rsidRDefault="00A450E1">
                            <w:pPr>
                              <w:pStyle w:val="Default"/>
                              <w:jc w:val="right"/>
                              <w:rPr>
                                <w:rFonts w:cs="Times New Roman"/>
                                <w:color w:val="auto"/>
                              </w:rPr>
                            </w:pPr>
                          </w:p>
                        </w:tc>
                      </w:tr>
                      <w:tr w:rsidR="00000000" w14:paraId="363AE92E" w14:textId="77777777">
                        <w:tblPrEx>
                          <w:tblCellMar>
                            <w:top w:w="0" w:type="dxa"/>
                            <w:bottom w:w="0" w:type="dxa"/>
                          </w:tblCellMar>
                        </w:tblPrEx>
                        <w:trPr>
                          <w:gridAfter w:val="2"/>
                          <w:wAfter w:w="48" w:type="dxa"/>
                          <w:trHeight w:val="181"/>
                        </w:trPr>
                        <w:tc>
                          <w:tcPr>
                            <w:tcW w:w="4497" w:type="dxa"/>
                            <w:gridSpan w:val="15"/>
                            <w:vAlign w:val="bottom"/>
                          </w:tcPr>
                          <w:p w14:paraId="651DB52C" w14:textId="77777777" w:rsidR="00000000" w:rsidRDefault="00A450E1">
                            <w:pPr>
                              <w:pStyle w:val="Default"/>
                              <w:rPr>
                                <w:rFonts w:ascii="DIN" w:hAnsi="DIN" w:cs="DIN"/>
                                <w:sz w:val="17"/>
                                <w:szCs w:val="17"/>
                              </w:rPr>
                            </w:pPr>
                            <w:r>
                              <w:rPr>
                                <w:rFonts w:ascii="DIN" w:hAnsi="DIN" w:cs="DIN"/>
                                <w:sz w:val="17"/>
                                <w:szCs w:val="17"/>
                              </w:rPr>
                              <w:t xml:space="preserve">Another major difference of opinion revolved around the </w:t>
                            </w:r>
                          </w:p>
                        </w:tc>
                        <w:tc>
                          <w:tcPr>
                            <w:tcW w:w="4492" w:type="dxa"/>
                            <w:gridSpan w:val="3"/>
                          </w:tcPr>
                          <w:p w14:paraId="3FBC4F4C" w14:textId="77777777" w:rsidR="00000000" w:rsidRDefault="00A450E1">
                            <w:pPr>
                              <w:pStyle w:val="Default"/>
                              <w:jc w:val="right"/>
                              <w:rPr>
                                <w:rFonts w:cs="Times New Roman"/>
                                <w:color w:val="auto"/>
                              </w:rPr>
                            </w:pPr>
                          </w:p>
                        </w:tc>
                      </w:tr>
                      <w:tr w:rsidR="00000000" w14:paraId="440C622E" w14:textId="77777777">
                        <w:tblPrEx>
                          <w:tblCellMar>
                            <w:top w:w="0" w:type="dxa"/>
                            <w:bottom w:w="0" w:type="dxa"/>
                          </w:tblCellMar>
                        </w:tblPrEx>
                        <w:trPr>
                          <w:gridAfter w:val="2"/>
                          <w:wAfter w:w="48" w:type="dxa"/>
                          <w:trHeight w:val="121"/>
                        </w:trPr>
                        <w:tc>
                          <w:tcPr>
                            <w:tcW w:w="4497" w:type="dxa"/>
                            <w:gridSpan w:val="15"/>
                          </w:tcPr>
                          <w:p w14:paraId="0D1069FF" w14:textId="77777777" w:rsidR="00000000" w:rsidRDefault="00A450E1">
                            <w:pPr>
                              <w:pStyle w:val="Default"/>
                              <w:rPr>
                                <w:rFonts w:ascii="DIN" w:hAnsi="DIN" w:cs="DIN"/>
                                <w:sz w:val="17"/>
                                <w:szCs w:val="17"/>
                              </w:rPr>
                            </w:pPr>
                            <w:r>
                              <w:rPr>
                                <w:rFonts w:ascii="DIN" w:hAnsi="DIN" w:cs="DIN"/>
                                <w:sz w:val="17"/>
                                <w:szCs w:val="17"/>
                              </w:rPr>
                              <w:t xml:space="preserve">principles to be applied when laying out marks to assist </w:t>
                            </w:r>
                          </w:p>
                        </w:tc>
                        <w:tc>
                          <w:tcPr>
                            <w:tcW w:w="4492" w:type="dxa"/>
                            <w:gridSpan w:val="3"/>
                          </w:tcPr>
                          <w:p w14:paraId="49BF1EC6" w14:textId="77777777" w:rsidR="00000000" w:rsidRDefault="00A450E1">
                            <w:pPr>
                              <w:pStyle w:val="Default"/>
                              <w:jc w:val="right"/>
                              <w:rPr>
                                <w:rFonts w:cs="Times New Roman"/>
                                <w:color w:val="auto"/>
                              </w:rPr>
                            </w:pPr>
                          </w:p>
                        </w:tc>
                      </w:tr>
                      <w:tr w:rsidR="00000000" w14:paraId="47D4247E" w14:textId="77777777">
                        <w:tblPrEx>
                          <w:tblCellMar>
                            <w:top w:w="0" w:type="dxa"/>
                            <w:bottom w:w="0" w:type="dxa"/>
                          </w:tblCellMar>
                        </w:tblPrEx>
                        <w:trPr>
                          <w:gridAfter w:val="2"/>
                          <w:wAfter w:w="48" w:type="dxa"/>
                          <w:trHeight w:val="121"/>
                        </w:trPr>
                        <w:tc>
                          <w:tcPr>
                            <w:tcW w:w="4497" w:type="dxa"/>
                            <w:gridSpan w:val="15"/>
                          </w:tcPr>
                          <w:p w14:paraId="2A1F46CB" w14:textId="77777777" w:rsidR="00000000" w:rsidRDefault="00A450E1">
                            <w:pPr>
                              <w:pStyle w:val="Default"/>
                              <w:rPr>
                                <w:rFonts w:ascii="DIN" w:hAnsi="DIN" w:cs="DIN"/>
                                <w:sz w:val="17"/>
                                <w:szCs w:val="17"/>
                              </w:rPr>
                            </w:pPr>
                            <w:r>
                              <w:rPr>
                                <w:rFonts w:ascii="DIN" w:hAnsi="DIN" w:cs="DIN"/>
                                <w:sz w:val="17"/>
                                <w:szCs w:val="17"/>
                              </w:rPr>
                              <w:t xml:space="preserve">the mariner. Most countries adopted the principle of </w:t>
                            </w:r>
                          </w:p>
                        </w:tc>
                        <w:tc>
                          <w:tcPr>
                            <w:tcW w:w="4492" w:type="dxa"/>
                            <w:gridSpan w:val="3"/>
                          </w:tcPr>
                          <w:p w14:paraId="0CEBA98C" w14:textId="77777777" w:rsidR="00000000" w:rsidRDefault="00A450E1">
                            <w:pPr>
                              <w:pStyle w:val="Default"/>
                              <w:jc w:val="right"/>
                              <w:rPr>
                                <w:rFonts w:cs="Times New Roman"/>
                                <w:color w:val="auto"/>
                              </w:rPr>
                            </w:pPr>
                          </w:p>
                        </w:tc>
                      </w:tr>
                      <w:tr w:rsidR="00000000" w14:paraId="57928AB6" w14:textId="77777777">
                        <w:tblPrEx>
                          <w:tblCellMar>
                            <w:top w:w="0" w:type="dxa"/>
                            <w:bottom w:w="0" w:type="dxa"/>
                          </w:tblCellMar>
                        </w:tblPrEx>
                        <w:trPr>
                          <w:gridAfter w:val="2"/>
                          <w:wAfter w:w="48" w:type="dxa"/>
                          <w:trHeight w:val="121"/>
                        </w:trPr>
                        <w:tc>
                          <w:tcPr>
                            <w:tcW w:w="4497" w:type="dxa"/>
                            <w:gridSpan w:val="15"/>
                          </w:tcPr>
                          <w:p w14:paraId="3088DE4D" w14:textId="77777777" w:rsidR="00000000" w:rsidRDefault="00A450E1">
                            <w:pPr>
                              <w:pStyle w:val="Default"/>
                              <w:rPr>
                                <w:rFonts w:ascii="DIN" w:hAnsi="DIN" w:cs="DIN"/>
                                <w:sz w:val="17"/>
                                <w:szCs w:val="17"/>
                              </w:rPr>
                            </w:pPr>
                            <w:r>
                              <w:rPr>
                                <w:rFonts w:ascii="DIN" w:hAnsi="DIN" w:cs="DIN"/>
                                <w:sz w:val="17"/>
                                <w:szCs w:val="17"/>
                              </w:rPr>
                              <w:t xml:space="preserve">the Lateral system whereby marks indicate the port and </w:t>
                            </w:r>
                          </w:p>
                        </w:tc>
                        <w:tc>
                          <w:tcPr>
                            <w:tcW w:w="4492" w:type="dxa"/>
                            <w:gridSpan w:val="3"/>
                          </w:tcPr>
                          <w:p w14:paraId="0DC4F25D" w14:textId="77777777" w:rsidR="00000000" w:rsidRDefault="00A450E1">
                            <w:pPr>
                              <w:pStyle w:val="Default"/>
                              <w:jc w:val="right"/>
                              <w:rPr>
                                <w:rFonts w:cs="Times New Roman"/>
                                <w:color w:val="auto"/>
                              </w:rPr>
                            </w:pPr>
                          </w:p>
                        </w:tc>
                      </w:tr>
                      <w:tr w:rsidR="00000000" w14:paraId="2C7CAF04" w14:textId="77777777">
                        <w:tblPrEx>
                          <w:tblCellMar>
                            <w:top w:w="0" w:type="dxa"/>
                            <w:bottom w:w="0" w:type="dxa"/>
                          </w:tblCellMar>
                        </w:tblPrEx>
                        <w:trPr>
                          <w:gridAfter w:val="2"/>
                          <w:wAfter w:w="48" w:type="dxa"/>
                          <w:trHeight w:val="121"/>
                        </w:trPr>
                        <w:tc>
                          <w:tcPr>
                            <w:tcW w:w="4497" w:type="dxa"/>
                            <w:gridSpan w:val="15"/>
                          </w:tcPr>
                          <w:p w14:paraId="2BE05969" w14:textId="77777777" w:rsidR="00000000" w:rsidRDefault="00A450E1">
                            <w:pPr>
                              <w:pStyle w:val="Default"/>
                              <w:rPr>
                                <w:rFonts w:ascii="DIN" w:hAnsi="DIN" w:cs="DIN"/>
                                <w:sz w:val="17"/>
                                <w:szCs w:val="17"/>
                              </w:rPr>
                            </w:pPr>
                            <w:r>
                              <w:rPr>
                                <w:rFonts w:ascii="DIN" w:hAnsi="DIN" w:cs="DIN"/>
                                <w:sz w:val="17"/>
                                <w:szCs w:val="17"/>
                              </w:rPr>
                              <w:t xml:space="preserve">starboard sides of the route to be followed according to </w:t>
                            </w:r>
                          </w:p>
                        </w:tc>
                        <w:tc>
                          <w:tcPr>
                            <w:tcW w:w="4492" w:type="dxa"/>
                            <w:gridSpan w:val="3"/>
                          </w:tcPr>
                          <w:p w14:paraId="58D2DD32" w14:textId="77777777" w:rsidR="00000000" w:rsidRDefault="00A450E1">
                            <w:pPr>
                              <w:pStyle w:val="Default"/>
                              <w:jc w:val="right"/>
                              <w:rPr>
                                <w:rFonts w:cs="Times New Roman"/>
                                <w:color w:val="auto"/>
                              </w:rPr>
                            </w:pPr>
                          </w:p>
                        </w:tc>
                      </w:tr>
                      <w:tr w:rsidR="00000000" w14:paraId="3AF6BE8A" w14:textId="77777777">
                        <w:tblPrEx>
                          <w:tblCellMar>
                            <w:top w:w="0" w:type="dxa"/>
                            <w:bottom w:w="0" w:type="dxa"/>
                          </w:tblCellMar>
                        </w:tblPrEx>
                        <w:trPr>
                          <w:gridAfter w:val="2"/>
                          <w:wAfter w:w="48" w:type="dxa"/>
                          <w:trHeight w:val="120"/>
                        </w:trPr>
                        <w:tc>
                          <w:tcPr>
                            <w:tcW w:w="4497" w:type="dxa"/>
                            <w:gridSpan w:val="15"/>
                          </w:tcPr>
                          <w:p w14:paraId="4652FCDA" w14:textId="77777777" w:rsidR="00000000" w:rsidRDefault="00A450E1">
                            <w:pPr>
                              <w:pStyle w:val="Default"/>
                              <w:rPr>
                                <w:rFonts w:ascii="DIN" w:hAnsi="DIN" w:cs="DIN"/>
                                <w:sz w:val="17"/>
                                <w:szCs w:val="17"/>
                              </w:rPr>
                            </w:pPr>
                            <w:r>
                              <w:rPr>
                                <w:rFonts w:ascii="DIN" w:hAnsi="DIN" w:cs="DIN"/>
                                <w:sz w:val="17"/>
                                <w:szCs w:val="17"/>
                              </w:rPr>
                              <w:t xml:space="preserve">some agreed direction. However, several countries also </w:t>
                            </w:r>
                          </w:p>
                        </w:tc>
                        <w:tc>
                          <w:tcPr>
                            <w:tcW w:w="4492" w:type="dxa"/>
                            <w:gridSpan w:val="3"/>
                          </w:tcPr>
                          <w:p w14:paraId="78BB0D36" w14:textId="77777777" w:rsidR="00000000" w:rsidRDefault="00A450E1">
                            <w:pPr>
                              <w:pStyle w:val="Default"/>
                              <w:jc w:val="right"/>
                              <w:rPr>
                                <w:rFonts w:cs="Times New Roman"/>
                                <w:color w:val="auto"/>
                              </w:rPr>
                            </w:pPr>
                          </w:p>
                        </w:tc>
                      </w:tr>
                      <w:tr w:rsidR="00000000" w14:paraId="0EC3581F" w14:textId="77777777">
                        <w:tblPrEx>
                          <w:tblCellMar>
                            <w:top w:w="0" w:type="dxa"/>
                            <w:bottom w:w="0" w:type="dxa"/>
                          </w:tblCellMar>
                        </w:tblPrEx>
                        <w:trPr>
                          <w:gridAfter w:val="2"/>
                          <w:wAfter w:w="48" w:type="dxa"/>
                          <w:trHeight w:val="121"/>
                        </w:trPr>
                        <w:tc>
                          <w:tcPr>
                            <w:tcW w:w="4497" w:type="dxa"/>
                            <w:gridSpan w:val="15"/>
                          </w:tcPr>
                          <w:p w14:paraId="26F87998" w14:textId="77777777" w:rsidR="00000000" w:rsidRDefault="00A450E1">
                            <w:pPr>
                              <w:pStyle w:val="Default"/>
                              <w:rPr>
                                <w:rFonts w:ascii="DIN" w:hAnsi="DIN" w:cs="DIN"/>
                                <w:sz w:val="17"/>
                                <w:szCs w:val="17"/>
                              </w:rPr>
                            </w:pPr>
                            <w:r>
                              <w:rPr>
                                <w:rFonts w:ascii="DIN" w:hAnsi="DIN" w:cs="DIN"/>
                                <w:sz w:val="17"/>
                                <w:szCs w:val="17"/>
                              </w:rPr>
                              <w:t xml:space="preserve">favoured using the principle of Cardinal marks whereby </w:t>
                            </w:r>
                          </w:p>
                        </w:tc>
                        <w:tc>
                          <w:tcPr>
                            <w:tcW w:w="4492" w:type="dxa"/>
                            <w:gridSpan w:val="3"/>
                          </w:tcPr>
                          <w:p w14:paraId="255D7E4F" w14:textId="77777777" w:rsidR="00000000" w:rsidRDefault="00A450E1">
                            <w:pPr>
                              <w:pStyle w:val="Default"/>
                              <w:jc w:val="right"/>
                              <w:rPr>
                                <w:rFonts w:ascii="DIN" w:hAnsi="DIN" w:cs="DIN"/>
                                <w:sz w:val="17"/>
                                <w:szCs w:val="17"/>
                              </w:rPr>
                            </w:pPr>
                            <w:r>
                              <w:rPr>
                                <w:rFonts w:ascii="DIN" w:hAnsi="DIN" w:cs="DIN"/>
                                <w:sz w:val="17"/>
                                <w:szCs w:val="17"/>
                              </w:rPr>
                              <w:t xml:space="preserve">At the end of World War II many countries found </w:t>
                            </w:r>
                          </w:p>
                        </w:tc>
                      </w:tr>
                      <w:tr w:rsidR="00000000" w14:paraId="45512A0C" w14:textId="77777777">
                        <w:tblPrEx>
                          <w:tblCellMar>
                            <w:top w:w="0" w:type="dxa"/>
                            <w:bottom w:w="0" w:type="dxa"/>
                          </w:tblCellMar>
                        </w:tblPrEx>
                        <w:trPr>
                          <w:gridAfter w:val="2"/>
                          <w:wAfter w:w="48" w:type="dxa"/>
                          <w:trHeight w:val="121"/>
                        </w:trPr>
                        <w:tc>
                          <w:tcPr>
                            <w:tcW w:w="4497" w:type="dxa"/>
                            <w:gridSpan w:val="15"/>
                          </w:tcPr>
                          <w:p w14:paraId="7718524F" w14:textId="77777777" w:rsidR="00000000" w:rsidRDefault="00A450E1">
                            <w:pPr>
                              <w:pStyle w:val="Default"/>
                              <w:rPr>
                                <w:rFonts w:ascii="DIN" w:hAnsi="DIN" w:cs="DIN"/>
                                <w:sz w:val="17"/>
                                <w:szCs w:val="17"/>
                              </w:rPr>
                            </w:pPr>
                            <w:r>
                              <w:rPr>
                                <w:rFonts w:ascii="DIN" w:hAnsi="DIN" w:cs="DIN"/>
                                <w:sz w:val="17"/>
                                <w:szCs w:val="17"/>
                              </w:rPr>
                              <w:t xml:space="preserve">dangers are marked by one or more buoys or beacons </w:t>
                            </w:r>
                          </w:p>
                        </w:tc>
                        <w:tc>
                          <w:tcPr>
                            <w:tcW w:w="4492" w:type="dxa"/>
                            <w:gridSpan w:val="3"/>
                          </w:tcPr>
                          <w:p w14:paraId="7B1A919D" w14:textId="77777777" w:rsidR="00000000" w:rsidRDefault="00A450E1">
                            <w:pPr>
                              <w:pStyle w:val="Default"/>
                              <w:jc w:val="right"/>
                              <w:rPr>
                                <w:rFonts w:ascii="DIN" w:hAnsi="DIN" w:cs="DIN"/>
                                <w:sz w:val="17"/>
                                <w:szCs w:val="17"/>
                              </w:rPr>
                            </w:pPr>
                            <w:r>
                              <w:rPr>
                                <w:rFonts w:ascii="DIN" w:hAnsi="DIN" w:cs="DIN"/>
                                <w:sz w:val="17"/>
                                <w:szCs w:val="17"/>
                              </w:rPr>
                              <w:t xml:space="preserve">their aids to navigation destroyed and the process of </w:t>
                            </w:r>
                          </w:p>
                        </w:tc>
                      </w:tr>
                      <w:tr w:rsidR="00000000" w14:paraId="3995B71B" w14:textId="77777777">
                        <w:tblPrEx>
                          <w:tblCellMar>
                            <w:top w:w="0" w:type="dxa"/>
                            <w:bottom w:w="0" w:type="dxa"/>
                          </w:tblCellMar>
                        </w:tblPrEx>
                        <w:trPr>
                          <w:gridAfter w:val="2"/>
                          <w:wAfter w:w="48" w:type="dxa"/>
                          <w:trHeight w:val="121"/>
                        </w:trPr>
                        <w:tc>
                          <w:tcPr>
                            <w:tcW w:w="4497" w:type="dxa"/>
                            <w:gridSpan w:val="15"/>
                          </w:tcPr>
                          <w:p w14:paraId="55C6EB7F" w14:textId="77777777" w:rsidR="00000000" w:rsidRDefault="00A450E1">
                            <w:pPr>
                              <w:pStyle w:val="Default"/>
                              <w:rPr>
                                <w:rFonts w:ascii="DIN" w:hAnsi="DIN" w:cs="DIN"/>
                                <w:sz w:val="17"/>
                                <w:szCs w:val="17"/>
                              </w:rPr>
                            </w:pPr>
                            <w:r>
                              <w:rPr>
                                <w:rFonts w:ascii="DIN" w:hAnsi="DIN" w:cs="DIN"/>
                                <w:sz w:val="17"/>
                                <w:szCs w:val="17"/>
                              </w:rPr>
                              <w:t xml:space="preserve">laid out in the quadrants of the compass to indicate </w:t>
                            </w:r>
                          </w:p>
                        </w:tc>
                        <w:tc>
                          <w:tcPr>
                            <w:tcW w:w="4492" w:type="dxa"/>
                            <w:gridSpan w:val="3"/>
                          </w:tcPr>
                          <w:p w14:paraId="4B453882" w14:textId="77777777" w:rsidR="00000000" w:rsidRDefault="00A450E1">
                            <w:pPr>
                              <w:pStyle w:val="Default"/>
                              <w:jc w:val="right"/>
                              <w:rPr>
                                <w:rFonts w:ascii="DIN" w:hAnsi="DIN" w:cs="DIN"/>
                                <w:sz w:val="17"/>
                                <w:szCs w:val="17"/>
                              </w:rPr>
                            </w:pPr>
                            <w:r>
                              <w:rPr>
                                <w:rFonts w:ascii="DIN" w:hAnsi="DIN" w:cs="DIN"/>
                                <w:sz w:val="17"/>
                                <w:szCs w:val="17"/>
                              </w:rPr>
                              <w:t xml:space="preserve">restoration had to be undertaken urgently. In the </w:t>
                            </w:r>
                          </w:p>
                        </w:tc>
                      </w:tr>
                      <w:tr w:rsidR="00000000" w14:paraId="1043E01B" w14:textId="77777777">
                        <w:tblPrEx>
                          <w:tblCellMar>
                            <w:top w:w="0" w:type="dxa"/>
                            <w:bottom w:w="0" w:type="dxa"/>
                          </w:tblCellMar>
                        </w:tblPrEx>
                        <w:trPr>
                          <w:gridAfter w:val="2"/>
                          <w:wAfter w:w="48" w:type="dxa"/>
                          <w:trHeight w:val="121"/>
                        </w:trPr>
                        <w:tc>
                          <w:tcPr>
                            <w:tcW w:w="4497" w:type="dxa"/>
                            <w:gridSpan w:val="15"/>
                          </w:tcPr>
                          <w:p w14:paraId="3F9E6585" w14:textId="77777777" w:rsidR="00000000" w:rsidRDefault="00A450E1">
                            <w:pPr>
                              <w:pStyle w:val="Default"/>
                              <w:rPr>
                                <w:rFonts w:ascii="DIN" w:hAnsi="DIN" w:cs="DIN"/>
                                <w:sz w:val="17"/>
                                <w:szCs w:val="17"/>
                              </w:rPr>
                            </w:pPr>
                            <w:r>
                              <w:rPr>
                                <w:rFonts w:ascii="DIN" w:hAnsi="DIN" w:cs="DIN"/>
                                <w:sz w:val="17"/>
                                <w:szCs w:val="17"/>
                              </w:rPr>
                              <w:t>where the danger lies in relation to the m</w:t>
                            </w:r>
                            <w:r>
                              <w:rPr>
                                <w:rFonts w:ascii="DIN" w:hAnsi="DIN" w:cs="DIN"/>
                                <w:sz w:val="17"/>
                                <w:szCs w:val="17"/>
                              </w:rPr>
                              <w:t xml:space="preserve">ark, this </w:t>
                            </w:r>
                          </w:p>
                        </w:tc>
                        <w:tc>
                          <w:tcPr>
                            <w:tcW w:w="4492" w:type="dxa"/>
                            <w:gridSpan w:val="3"/>
                          </w:tcPr>
                          <w:p w14:paraId="3AA96992" w14:textId="77777777" w:rsidR="00000000" w:rsidRDefault="00A450E1">
                            <w:pPr>
                              <w:pStyle w:val="Default"/>
                              <w:jc w:val="right"/>
                              <w:rPr>
                                <w:rFonts w:ascii="DIN" w:hAnsi="DIN" w:cs="DIN"/>
                                <w:sz w:val="17"/>
                                <w:szCs w:val="17"/>
                              </w:rPr>
                            </w:pPr>
                            <w:r>
                              <w:rPr>
                                <w:rFonts w:ascii="DIN" w:hAnsi="DIN" w:cs="DIN"/>
                                <w:sz w:val="17"/>
                                <w:szCs w:val="17"/>
                              </w:rPr>
                              <w:t xml:space="preserve">absence of anything better, the Geneva rules were </w:t>
                            </w:r>
                          </w:p>
                        </w:tc>
                      </w:tr>
                      <w:tr w:rsidR="00000000" w14:paraId="4AC0539A" w14:textId="77777777">
                        <w:tblPrEx>
                          <w:tblCellMar>
                            <w:top w:w="0" w:type="dxa"/>
                            <w:bottom w:w="0" w:type="dxa"/>
                          </w:tblCellMar>
                        </w:tblPrEx>
                        <w:trPr>
                          <w:gridAfter w:val="2"/>
                          <w:wAfter w:w="48" w:type="dxa"/>
                          <w:trHeight w:val="121"/>
                        </w:trPr>
                        <w:tc>
                          <w:tcPr>
                            <w:tcW w:w="4497" w:type="dxa"/>
                            <w:gridSpan w:val="15"/>
                          </w:tcPr>
                          <w:p w14:paraId="16F92C06" w14:textId="77777777" w:rsidR="00000000" w:rsidRDefault="00A450E1">
                            <w:pPr>
                              <w:pStyle w:val="Default"/>
                              <w:rPr>
                                <w:rFonts w:ascii="DIN" w:hAnsi="DIN" w:cs="DIN"/>
                                <w:sz w:val="17"/>
                                <w:szCs w:val="17"/>
                              </w:rPr>
                            </w:pPr>
                            <w:r>
                              <w:rPr>
                                <w:rFonts w:ascii="DIN" w:hAnsi="DIN" w:cs="DIN"/>
                                <w:sz w:val="17"/>
                                <w:szCs w:val="17"/>
                              </w:rPr>
                              <w:t xml:space="preserve">system being particularly useful in the open sea where </w:t>
                            </w:r>
                          </w:p>
                        </w:tc>
                        <w:tc>
                          <w:tcPr>
                            <w:tcW w:w="4492" w:type="dxa"/>
                            <w:gridSpan w:val="3"/>
                          </w:tcPr>
                          <w:p w14:paraId="701AAF34" w14:textId="77777777" w:rsidR="00000000" w:rsidRDefault="00A450E1">
                            <w:pPr>
                              <w:pStyle w:val="Default"/>
                              <w:jc w:val="right"/>
                              <w:rPr>
                                <w:rFonts w:ascii="DIN" w:hAnsi="DIN" w:cs="DIN"/>
                                <w:sz w:val="17"/>
                                <w:szCs w:val="17"/>
                              </w:rPr>
                            </w:pPr>
                            <w:r>
                              <w:rPr>
                                <w:rFonts w:ascii="DIN" w:hAnsi="DIN" w:cs="DIN"/>
                                <w:sz w:val="17"/>
                                <w:szCs w:val="17"/>
                              </w:rPr>
                              <w:t xml:space="preserve">adopted with or without variation to suit local </w:t>
                            </w:r>
                          </w:p>
                        </w:tc>
                      </w:tr>
                      <w:tr w:rsidR="00000000" w14:paraId="63C45F92" w14:textId="77777777">
                        <w:tblPrEx>
                          <w:tblCellMar>
                            <w:top w:w="0" w:type="dxa"/>
                            <w:bottom w:w="0" w:type="dxa"/>
                          </w:tblCellMar>
                        </w:tblPrEx>
                        <w:trPr>
                          <w:gridAfter w:val="2"/>
                          <w:wAfter w:w="48" w:type="dxa"/>
                          <w:trHeight w:val="121"/>
                        </w:trPr>
                        <w:tc>
                          <w:tcPr>
                            <w:tcW w:w="4497" w:type="dxa"/>
                            <w:gridSpan w:val="15"/>
                          </w:tcPr>
                          <w:p w14:paraId="4F542292" w14:textId="77777777" w:rsidR="00000000" w:rsidRDefault="00A450E1">
                            <w:pPr>
                              <w:pStyle w:val="Default"/>
                              <w:rPr>
                                <w:rFonts w:ascii="DIN" w:hAnsi="DIN" w:cs="DIN"/>
                                <w:sz w:val="17"/>
                                <w:szCs w:val="17"/>
                              </w:rPr>
                            </w:pPr>
                            <w:r>
                              <w:rPr>
                                <w:rFonts w:ascii="DIN" w:hAnsi="DIN" w:cs="DIN"/>
                                <w:sz w:val="17"/>
                                <w:szCs w:val="17"/>
                              </w:rPr>
                              <w:t xml:space="preserve">the Lateral buoyage direction may not be apparent. </w:t>
                            </w:r>
                          </w:p>
                        </w:tc>
                        <w:tc>
                          <w:tcPr>
                            <w:tcW w:w="4492" w:type="dxa"/>
                            <w:gridSpan w:val="3"/>
                          </w:tcPr>
                          <w:p w14:paraId="69BF1CE5" w14:textId="77777777" w:rsidR="00000000" w:rsidRDefault="00A450E1">
                            <w:pPr>
                              <w:pStyle w:val="Default"/>
                              <w:jc w:val="right"/>
                              <w:rPr>
                                <w:rFonts w:ascii="DIN" w:hAnsi="DIN" w:cs="DIN"/>
                                <w:sz w:val="17"/>
                                <w:szCs w:val="17"/>
                              </w:rPr>
                            </w:pPr>
                            <w:r>
                              <w:rPr>
                                <w:rFonts w:ascii="DIN" w:hAnsi="DIN" w:cs="DIN"/>
                                <w:sz w:val="17"/>
                                <w:szCs w:val="17"/>
                              </w:rPr>
                              <w:t xml:space="preserve">conditions and the equipment available. This led to </w:t>
                            </w:r>
                          </w:p>
                        </w:tc>
                      </w:tr>
                      <w:tr w:rsidR="00000000" w14:paraId="4094E5F2" w14:textId="77777777">
                        <w:tblPrEx>
                          <w:tblCellMar>
                            <w:top w:w="0" w:type="dxa"/>
                            <w:bottom w:w="0" w:type="dxa"/>
                          </w:tblCellMar>
                        </w:tblPrEx>
                        <w:trPr>
                          <w:gridAfter w:val="2"/>
                          <w:wAfter w:w="48" w:type="dxa"/>
                          <w:trHeight w:val="118"/>
                        </w:trPr>
                        <w:tc>
                          <w:tcPr>
                            <w:tcW w:w="4497" w:type="dxa"/>
                            <w:gridSpan w:val="15"/>
                          </w:tcPr>
                          <w:p w14:paraId="7F9350D5" w14:textId="77777777" w:rsidR="00000000" w:rsidRDefault="00A450E1">
                            <w:pPr>
                              <w:pStyle w:val="Default"/>
                              <w:rPr>
                                <w:rFonts w:cs="Times New Roman"/>
                                <w:color w:val="auto"/>
                              </w:rPr>
                            </w:pPr>
                          </w:p>
                        </w:tc>
                        <w:tc>
                          <w:tcPr>
                            <w:tcW w:w="4492" w:type="dxa"/>
                            <w:gridSpan w:val="3"/>
                          </w:tcPr>
                          <w:p w14:paraId="5190F1B1" w14:textId="77777777" w:rsidR="00000000" w:rsidRDefault="00A450E1">
                            <w:pPr>
                              <w:pStyle w:val="Default"/>
                              <w:jc w:val="right"/>
                              <w:rPr>
                                <w:rFonts w:ascii="DIN" w:hAnsi="DIN" w:cs="DIN"/>
                                <w:sz w:val="17"/>
                                <w:szCs w:val="17"/>
                              </w:rPr>
                            </w:pPr>
                            <w:r>
                              <w:rPr>
                                <w:rFonts w:ascii="DIN" w:hAnsi="DIN" w:cs="DIN"/>
                                <w:sz w:val="17"/>
                                <w:szCs w:val="17"/>
                              </w:rPr>
                              <w:t xml:space="preserve">wide and sometimes conflicting differences particularly </w:t>
                            </w:r>
                          </w:p>
                        </w:tc>
                      </w:tr>
                      <w:tr w:rsidR="00000000" w14:paraId="5A67E9D6" w14:textId="77777777">
                        <w:tblPrEx>
                          <w:tblCellMar>
                            <w:top w:w="0" w:type="dxa"/>
                            <w:bottom w:w="0" w:type="dxa"/>
                          </w:tblCellMar>
                        </w:tblPrEx>
                        <w:trPr>
                          <w:gridAfter w:val="2"/>
                          <w:wAfter w:w="48" w:type="dxa"/>
                          <w:trHeight w:val="126"/>
                        </w:trPr>
                        <w:tc>
                          <w:tcPr>
                            <w:tcW w:w="4497" w:type="dxa"/>
                            <w:gridSpan w:val="15"/>
                            <w:vAlign w:val="center"/>
                          </w:tcPr>
                          <w:p w14:paraId="2B465C2B" w14:textId="77777777" w:rsidR="00000000" w:rsidRDefault="00A450E1">
                            <w:pPr>
                              <w:pStyle w:val="Default"/>
                              <w:rPr>
                                <w:rFonts w:ascii="DIN" w:hAnsi="DIN" w:cs="DIN"/>
                                <w:sz w:val="17"/>
                                <w:szCs w:val="17"/>
                              </w:rPr>
                            </w:pPr>
                            <w:r>
                              <w:rPr>
                                <w:rFonts w:ascii="DIN" w:hAnsi="DIN" w:cs="DIN"/>
                                <w:sz w:val="17"/>
                                <w:szCs w:val="17"/>
                              </w:rPr>
                              <w:t xml:space="preserve">The nearest approach to international agreement on a </w:t>
                            </w:r>
                          </w:p>
                        </w:tc>
                        <w:tc>
                          <w:tcPr>
                            <w:tcW w:w="4492" w:type="dxa"/>
                            <w:gridSpan w:val="3"/>
                          </w:tcPr>
                          <w:p w14:paraId="454A9CA3" w14:textId="77777777" w:rsidR="00000000" w:rsidRDefault="00A450E1">
                            <w:pPr>
                              <w:pStyle w:val="Default"/>
                              <w:jc w:val="right"/>
                              <w:rPr>
                                <w:rFonts w:ascii="DIN" w:hAnsi="DIN" w:cs="DIN"/>
                                <w:sz w:val="17"/>
                                <w:szCs w:val="17"/>
                              </w:rPr>
                            </w:pPr>
                            <w:r>
                              <w:rPr>
                                <w:rFonts w:ascii="DIN" w:hAnsi="DIN" w:cs="DIN"/>
                                <w:sz w:val="17"/>
                                <w:szCs w:val="17"/>
                              </w:rPr>
                              <w:t xml:space="preserve">in the crowded waters of North Western Europe. </w:t>
                            </w:r>
                          </w:p>
                        </w:tc>
                      </w:tr>
                      <w:tr w:rsidR="00000000" w14:paraId="36F761EF" w14:textId="77777777">
                        <w:tblPrEx>
                          <w:tblCellMar>
                            <w:top w:w="0" w:type="dxa"/>
                            <w:bottom w:w="0" w:type="dxa"/>
                          </w:tblCellMar>
                        </w:tblPrEx>
                        <w:trPr>
                          <w:gridAfter w:val="2"/>
                          <w:wAfter w:w="48" w:type="dxa"/>
                          <w:trHeight w:val="118"/>
                        </w:trPr>
                        <w:tc>
                          <w:tcPr>
                            <w:tcW w:w="4497" w:type="dxa"/>
                            <w:gridSpan w:val="15"/>
                          </w:tcPr>
                          <w:p w14:paraId="5F82A1AA" w14:textId="77777777" w:rsidR="00000000" w:rsidRDefault="00A450E1">
                            <w:pPr>
                              <w:pStyle w:val="Default"/>
                              <w:rPr>
                                <w:rFonts w:ascii="DIN" w:hAnsi="DIN" w:cs="DIN"/>
                                <w:sz w:val="17"/>
                                <w:szCs w:val="17"/>
                              </w:rPr>
                            </w:pPr>
                            <w:r>
                              <w:rPr>
                                <w:rFonts w:ascii="DIN" w:hAnsi="DIN" w:cs="DIN"/>
                                <w:sz w:val="17"/>
                                <w:szCs w:val="17"/>
                              </w:rPr>
                              <w:t xml:space="preserve">unified system of buoyage was reached at Geneva in </w:t>
                            </w:r>
                          </w:p>
                        </w:tc>
                        <w:tc>
                          <w:tcPr>
                            <w:tcW w:w="4492" w:type="dxa"/>
                            <w:gridSpan w:val="3"/>
                          </w:tcPr>
                          <w:p w14:paraId="3180D851" w14:textId="77777777" w:rsidR="00000000" w:rsidRDefault="00A450E1">
                            <w:pPr>
                              <w:pStyle w:val="Default"/>
                              <w:jc w:val="right"/>
                              <w:rPr>
                                <w:rFonts w:cs="Times New Roman"/>
                                <w:color w:val="auto"/>
                              </w:rPr>
                            </w:pPr>
                          </w:p>
                        </w:tc>
                      </w:tr>
                      <w:tr w:rsidR="00000000" w14:paraId="40C2D19D" w14:textId="77777777">
                        <w:tblPrEx>
                          <w:tblCellMar>
                            <w:top w:w="0" w:type="dxa"/>
                            <w:bottom w:w="0" w:type="dxa"/>
                          </w:tblCellMar>
                        </w:tblPrEx>
                        <w:trPr>
                          <w:gridAfter w:val="2"/>
                          <w:wAfter w:w="48" w:type="dxa"/>
                          <w:trHeight w:val="121"/>
                        </w:trPr>
                        <w:tc>
                          <w:tcPr>
                            <w:tcW w:w="4497" w:type="dxa"/>
                            <w:gridSpan w:val="15"/>
                            <w:vAlign w:val="center"/>
                          </w:tcPr>
                          <w:p w14:paraId="4B74E4BE" w14:textId="77777777" w:rsidR="00000000" w:rsidRDefault="00A450E1">
                            <w:pPr>
                              <w:pStyle w:val="Default"/>
                              <w:rPr>
                                <w:rFonts w:ascii="DIN" w:hAnsi="DIN" w:cs="DIN"/>
                                <w:sz w:val="17"/>
                                <w:szCs w:val="17"/>
                              </w:rPr>
                            </w:pPr>
                            <w:r>
                              <w:rPr>
                                <w:rFonts w:ascii="DIN" w:hAnsi="DIN" w:cs="DIN"/>
                                <w:sz w:val="17"/>
                                <w:szCs w:val="17"/>
                              </w:rPr>
                              <w:t xml:space="preserve">1936. This Agreement, drawn up under the auspices of </w:t>
                            </w:r>
                          </w:p>
                        </w:tc>
                        <w:tc>
                          <w:tcPr>
                            <w:tcW w:w="4492" w:type="dxa"/>
                            <w:gridSpan w:val="3"/>
                          </w:tcPr>
                          <w:p w14:paraId="5E781B79" w14:textId="77777777" w:rsidR="00000000" w:rsidRDefault="00A450E1">
                            <w:pPr>
                              <w:pStyle w:val="Default"/>
                              <w:jc w:val="right"/>
                              <w:rPr>
                                <w:rFonts w:ascii="DIN" w:hAnsi="DIN" w:cs="DIN"/>
                                <w:sz w:val="17"/>
                                <w:szCs w:val="17"/>
                              </w:rPr>
                            </w:pPr>
                            <w:r>
                              <w:rPr>
                                <w:rFonts w:ascii="DIN" w:hAnsi="DIN" w:cs="DIN"/>
                                <w:sz w:val="17"/>
                                <w:szCs w:val="17"/>
                              </w:rPr>
                              <w:t xml:space="preserve">In 1957 the, then, International Association of </w:t>
                            </w:r>
                          </w:p>
                        </w:tc>
                      </w:tr>
                      <w:tr w:rsidR="00000000" w14:paraId="2AAF140A" w14:textId="77777777">
                        <w:tblPrEx>
                          <w:tblCellMar>
                            <w:top w:w="0" w:type="dxa"/>
                            <w:bottom w:w="0" w:type="dxa"/>
                          </w:tblCellMar>
                        </w:tblPrEx>
                        <w:trPr>
                          <w:gridAfter w:val="2"/>
                          <w:wAfter w:w="48" w:type="dxa"/>
                          <w:trHeight w:val="121"/>
                        </w:trPr>
                        <w:tc>
                          <w:tcPr>
                            <w:tcW w:w="4497" w:type="dxa"/>
                            <w:gridSpan w:val="15"/>
                            <w:vAlign w:val="center"/>
                          </w:tcPr>
                          <w:p w14:paraId="0CF05A04" w14:textId="77777777" w:rsidR="00000000" w:rsidRDefault="00A450E1">
                            <w:pPr>
                              <w:pStyle w:val="Default"/>
                              <w:rPr>
                                <w:rFonts w:ascii="DIN" w:hAnsi="DIN" w:cs="DIN"/>
                                <w:sz w:val="17"/>
                                <w:szCs w:val="17"/>
                              </w:rPr>
                            </w:pPr>
                            <w:r>
                              <w:rPr>
                                <w:rFonts w:ascii="DIN" w:hAnsi="DIN" w:cs="DIN"/>
                                <w:sz w:val="17"/>
                                <w:szCs w:val="17"/>
                              </w:rPr>
                              <w:t xml:space="preserve">the League of Nations, was never ratified due to the </w:t>
                            </w:r>
                          </w:p>
                        </w:tc>
                        <w:tc>
                          <w:tcPr>
                            <w:tcW w:w="4492" w:type="dxa"/>
                            <w:gridSpan w:val="3"/>
                          </w:tcPr>
                          <w:p w14:paraId="7BBA0718" w14:textId="77777777" w:rsidR="00000000" w:rsidRDefault="00A450E1">
                            <w:pPr>
                              <w:pStyle w:val="Default"/>
                              <w:jc w:val="right"/>
                              <w:rPr>
                                <w:rFonts w:ascii="DIN" w:hAnsi="DIN" w:cs="DIN"/>
                                <w:sz w:val="17"/>
                                <w:szCs w:val="17"/>
                              </w:rPr>
                            </w:pPr>
                            <w:r>
                              <w:rPr>
                                <w:rFonts w:ascii="DIN" w:hAnsi="DIN" w:cs="DIN"/>
                                <w:sz w:val="17"/>
                                <w:szCs w:val="17"/>
                              </w:rPr>
                              <w:t xml:space="preserve">Lighthouse Authorities (IALA) was formed in order </w:t>
                            </w:r>
                          </w:p>
                        </w:tc>
                      </w:tr>
                      <w:tr w:rsidR="00000000" w14:paraId="5E414E1D" w14:textId="77777777">
                        <w:tblPrEx>
                          <w:tblCellMar>
                            <w:top w:w="0" w:type="dxa"/>
                            <w:bottom w:w="0" w:type="dxa"/>
                          </w:tblCellMar>
                        </w:tblPrEx>
                        <w:trPr>
                          <w:gridAfter w:val="2"/>
                          <w:wAfter w:w="48" w:type="dxa"/>
                          <w:trHeight w:val="121"/>
                        </w:trPr>
                        <w:tc>
                          <w:tcPr>
                            <w:tcW w:w="4497" w:type="dxa"/>
                            <w:gridSpan w:val="15"/>
                            <w:vAlign w:val="center"/>
                          </w:tcPr>
                          <w:p w14:paraId="19A081E7" w14:textId="77777777" w:rsidR="00000000" w:rsidRDefault="00A450E1">
                            <w:pPr>
                              <w:pStyle w:val="Default"/>
                              <w:rPr>
                                <w:rFonts w:ascii="DIN" w:hAnsi="DIN" w:cs="DIN"/>
                                <w:sz w:val="17"/>
                                <w:szCs w:val="17"/>
                              </w:rPr>
                            </w:pPr>
                            <w:r>
                              <w:rPr>
                                <w:rFonts w:ascii="DIN" w:hAnsi="DIN" w:cs="DIN"/>
                                <w:sz w:val="17"/>
                                <w:szCs w:val="17"/>
                              </w:rPr>
                              <w:t xml:space="preserve">outbreak of World War II. The Agreement proposed </w:t>
                            </w:r>
                          </w:p>
                        </w:tc>
                        <w:tc>
                          <w:tcPr>
                            <w:tcW w:w="4492" w:type="dxa"/>
                            <w:gridSpan w:val="3"/>
                          </w:tcPr>
                          <w:p w14:paraId="3DA42C39" w14:textId="77777777" w:rsidR="00000000" w:rsidRDefault="00A450E1">
                            <w:pPr>
                              <w:pStyle w:val="Default"/>
                              <w:jc w:val="right"/>
                              <w:rPr>
                                <w:rFonts w:ascii="DIN" w:hAnsi="DIN" w:cs="DIN"/>
                                <w:sz w:val="17"/>
                                <w:szCs w:val="17"/>
                              </w:rPr>
                            </w:pPr>
                            <w:r>
                              <w:rPr>
                                <w:rFonts w:ascii="DIN" w:hAnsi="DIN" w:cs="DIN"/>
                                <w:sz w:val="17"/>
                                <w:szCs w:val="17"/>
                              </w:rPr>
                              <w:t xml:space="preserve">to support the goals of the technical lighthouse </w:t>
                            </w:r>
                          </w:p>
                        </w:tc>
                      </w:tr>
                      <w:tr w:rsidR="00000000" w14:paraId="38F06C74" w14:textId="77777777">
                        <w:tblPrEx>
                          <w:tblCellMar>
                            <w:top w:w="0" w:type="dxa"/>
                            <w:bottom w:w="0" w:type="dxa"/>
                          </w:tblCellMar>
                        </w:tblPrEx>
                        <w:trPr>
                          <w:gridAfter w:val="2"/>
                          <w:wAfter w:w="48" w:type="dxa"/>
                          <w:trHeight w:val="121"/>
                        </w:trPr>
                        <w:tc>
                          <w:tcPr>
                            <w:tcW w:w="4497" w:type="dxa"/>
                            <w:gridSpan w:val="15"/>
                            <w:vAlign w:val="center"/>
                          </w:tcPr>
                          <w:p w14:paraId="0A5E8C59" w14:textId="77777777" w:rsidR="00000000" w:rsidRDefault="00A450E1">
                            <w:pPr>
                              <w:pStyle w:val="Default"/>
                              <w:rPr>
                                <w:rFonts w:ascii="DIN" w:hAnsi="DIN" w:cs="DIN"/>
                                <w:sz w:val="17"/>
                                <w:szCs w:val="17"/>
                              </w:rPr>
                            </w:pPr>
                            <w:r>
                              <w:rPr>
                                <w:rFonts w:ascii="DIN" w:hAnsi="DIN" w:cs="DIN"/>
                                <w:sz w:val="17"/>
                                <w:szCs w:val="17"/>
                              </w:rPr>
                              <w:t xml:space="preserve">the use of either Cardinal marks or Lateral marks but </w:t>
                            </w:r>
                          </w:p>
                        </w:tc>
                        <w:tc>
                          <w:tcPr>
                            <w:tcW w:w="4492" w:type="dxa"/>
                            <w:gridSpan w:val="3"/>
                          </w:tcPr>
                          <w:p w14:paraId="683AF5B1" w14:textId="77777777" w:rsidR="00000000" w:rsidRDefault="00A450E1">
                            <w:pPr>
                              <w:pStyle w:val="Default"/>
                              <w:jc w:val="right"/>
                              <w:rPr>
                                <w:rFonts w:ascii="DIN" w:hAnsi="DIN" w:cs="DIN"/>
                                <w:sz w:val="17"/>
                                <w:szCs w:val="17"/>
                              </w:rPr>
                            </w:pPr>
                            <w:r>
                              <w:rPr>
                                <w:rFonts w:ascii="DIN" w:hAnsi="DIN" w:cs="DIN"/>
                                <w:sz w:val="17"/>
                                <w:szCs w:val="17"/>
                              </w:rPr>
                              <w:t>conferences which had been convening since 1929.</w:t>
                            </w:r>
                            <w:r>
                              <w:rPr>
                                <w:rFonts w:ascii="DIN" w:hAnsi="DIN" w:cs="DIN"/>
                                <w:sz w:val="17"/>
                                <w:szCs w:val="17"/>
                              </w:rPr>
                              <w:t xml:space="preserve"> </w:t>
                            </w:r>
                          </w:p>
                        </w:tc>
                      </w:tr>
                      <w:tr w:rsidR="00000000" w14:paraId="71728FEB" w14:textId="77777777">
                        <w:tblPrEx>
                          <w:tblCellMar>
                            <w:top w:w="0" w:type="dxa"/>
                            <w:bottom w:w="0" w:type="dxa"/>
                          </w:tblCellMar>
                        </w:tblPrEx>
                        <w:trPr>
                          <w:gridAfter w:val="2"/>
                          <w:wAfter w:w="48" w:type="dxa"/>
                          <w:trHeight w:val="122"/>
                        </w:trPr>
                        <w:tc>
                          <w:tcPr>
                            <w:tcW w:w="4497" w:type="dxa"/>
                            <w:gridSpan w:val="15"/>
                            <w:vAlign w:val="center"/>
                          </w:tcPr>
                          <w:p w14:paraId="7A7D8038" w14:textId="77777777" w:rsidR="00000000" w:rsidRDefault="00A450E1">
                            <w:pPr>
                              <w:pStyle w:val="Default"/>
                              <w:rPr>
                                <w:rFonts w:ascii="DIN" w:hAnsi="DIN" w:cs="DIN"/>
                                <w:sz w:val="17"/>
                                <w:szCs w:val="17"/>
                              </w:rPr>
                            </w:pPr>
                            <w:r>
                              <w:rPr>
                                <w:rFonts w:ascii="DIN" w:hAnsi="DIN" w:cs="DIN"/>
                                <w:sz w:val="17"/>
                                <w:szCs w:val="17"/>
                              </w:rPr>
                              <w:t xml:space="preserve">separated them into two different systems. It provided </w:t>
                            </w:r>
                          </w:p>
                        </w:tc>
                        <w:tc>
                          <w:tcPr>
                            <w:tcW w:w="4492" w:type="dxa"/>
                            <w:gridSpan w:val="3"/>
                          </w:tcPr>
                          <w:p w14:paraId="3BACDBA1" w14:textId="77777777" w:rsidR="00000000" w:rsidRDefault="00A450E1">
                            <w:pPr>
                              <w:pStyle w:val="Default"/>
                              <w:jc w:val="right"/>
                              <w:rPr>
                                <w:rFonts w:cs="Times New Roman"/>
                                <w:color w:val="auto"/>
                              </w:rPr>
                            </w:pPr>
                          </w:p>
                        </w:tc>
                      </w:tr>
                      <w:tr w:rsidR="00000000" w14:paraId="4B30DBD3" w14:textId="77777777">
                        <w:tblPrEx>
                          <w:tblCellMar>
                            <w:top w:w="0" w:type="dxa"/>
                            <w:bottom w:w="0" w:type="dxa"/>
                          </w:tblCellMar>
                        </w:tblPrEx>
                        <w:trPr>
                          <w:gridAfter w:val="2"/>
                          <w:wAfter w:w="48" w:type="dxa"/>
                          <w:trHeight w:val="121"/>
                        </w:trPr>
                        <w:tc>
                          <w:tcPr>
                            <w:tcW w:w="4497" w:type="dxa"/>
                            <w:gridSpan w:val="15"/>
                          </w:tcPr>
                          <w:p w14:paraId="530821CE" w14:textId="77777777" w:rsidR="00000000" w:rsidRDefault="00A450E1">
                            <w:pPr>
                              <w:pStyle w:val="Default"/>
                              <w:rPr>
                                <w:rFonts w:ascii="DIN" w:hAnsi="DIN" w:cs="DIN"/>
                                <w:sz w:val="17"/>
                                <w:szCs w:val="17"/>
                              </w:rPr>
                            </w:pPr>
                            <w:r>
                              <w:rPr>
                                <w:rFonts w:ascii="DIN" w:hAnsi="DIN" w:cs="DIN"/>
                                <w:sz w:val="17"/>
                                <w:szCs w:val="17"/>
                              </w:rPr>
                              <w:t xml:space="preserve">for the use of the colour red on port hand marks and </w:t>
                            </w:r>
                          </w:p>
                        </w:tc>
                        <w:tc>
                          <w:tcPr>
                            <w:tcW w:w="4492" w:type="dxa"/>
                            <w:gridSpan w:val="3"/>
                          </w:tcPr>
                          <w:p w14:paraId="7A05CA5A" w14:textId="77777777" w:rsidR="00000000" w:rsidRDefault="00A450E1">
                            <w:pPr>
                              <w:pStyle w:val="Default"/>
                              <w:jc w:val="right"/>
                              <w:rPr>
                                <w:rFonts w:ascii="DIN" w:hAnsi="DIN" w:cs="DIN"/>
                                <w:sz w:val="17"/>
                                <w:szCs w:val="17"/>
                              </w:rPr>
                            </w:pPr>
                            <w:r>
                              <w:rPr>
                                <w:rFonts w:ascii="DIN" w:hAnsi="DIN" w:cs="DIN"/>
                                <w:sz w:val="17"/>
                                <w:szCs w:val="17"/>
                              </w:rPr>
                              <w:t xml:space="preserve">Attempts to bring complete unity had little success. </w:t>
                            </w:r>
                          </w:p>
                        </w:tc>
                      </w:tr>
                      <w:tr w:rsidR="00000000" w14:paraId="512B418F" w14:textId="77777777">
                        <w:tblPrEx>
                          <w:tblCellMar>
                            <w:top w:w="0" w:type="dxa"/>
                            <w:bottom w:w="0" w:type="dxa"/>
                          </w:tblCellMar>
                        </w:tblPrEx>
                        <w:trPr>
                          <w:gridAfter w:val="2"/>
                          <w:wAfter w:w="48" w:type="dxa"/>
                          <w:trHeight w:val="105"/>
                        </w:trPr>
                        <w:tc>
                          <w:tcPr>
                            <w:tcW w:w="4497" w:type="dxa"/>
                            <w:gridSpan w:val="15"/>
                            <w:vAlign w:val="center"/>
                          </w:tcPr>
                          <w:p w14:paraId="2C6E14AE" w14:textId="77777777" w:rsidR="00000000" w:rsidRDefault="00A450E1">
                            <w:pPr>
                              <w:pStyle w:val="Default"/>
                              <w:rPr>
                                <w:rFonts w:ascii="DIN" w:hAnsi="DIN" w:cs="DIN"/>
                                <w:sz w:val="17"/>
                                <w:szCs w:val="17"/>
                              </w:rPr>
                            </w:pPr>
                            <w:r>
                              <w:rPr>
                                <w:rFonts w:ascii="DIN" w:hAnsi="DIN" w:cs="DIN"/>
                                <w:sz w:val="17"/>
                                <w:szCs w:val="17"/>
                              </w:rPr>
                              <w:t xml:space="preserve">largely reserved the colour green for wreck marking. </w:t>
                            </w:r>
                          </w:p>
                        </w:tc>
                        <w:tc>
                          <w:tcPr>
                            <w:tcW w:w="4492" w:type="dxa"/>
                            <w:gridSpan w:val="3"/>
                            <w:vAlign w:val="center"/>
                          </w:tcPr>
                          <w:p w14:paraId="161C27B0" w14:textId="77777777" w:rsidR="00000000" w:rsidRDefault="00A450E1">
                            <w:pPr>
                              <w:pStyle w:val="Default"/>
                              <w:jc w:val="right"/>
                              <w:rPr>
                                <w:rFonts w:ascii="DIN" w:hAnsi="DIN" w:cs="DIN"/>
                                <w:sz w:val="17"/>
                                <w:szCs w:val="17"/>
                              </w:rPr>
                            </w:pPr>
                            <w:r>
                              <w:rPr>
                                <w:rFonts w:ascii="DIN" w:hAnsi="DIN" w:cs="DIN"/>
                                <w:sz w:val="17"/>
                                <w:szCs w:val="17"/>
                              </w:rPr>
                              <w:t xml:space="preserve">Fresh impetus was given to the task of the IALA </w:t>
                            </w:r>
                          </w:p>
                        </w:tc>
                      </w:tr>
                    </w:tbl>
                  </w:txbxContent>
                </v:textbox>
                <w10:wrap type="through" anchorx="page" anchory="page"/>
              </v:shape>
            </w:pict>
          </mc:Fallback>
        </mc:AlternateContent>
      </w:r>
    </w:p>
    <w:p w14:paraId="2ABC44CD" w14:textId="77777777" w:rsidR="00541A14" w:rsidRDefault="00DD420F">
      <w:pPr>
        <w:pStyle w:val="Default"/>
        <w:framePr w:w="1312" w:wrap="auto" w:vAnchor="page" w:hAnchor="page" w:x="5375" w:y="15139"/>
        <w:spacing w:after="340"/>
        <w:rPr>
          <w:rFonts w:cs="Times New Roman"/>
          <w:color w:val="auto"/>
        </w:rPr>
      </w:pPr>
      <w:r>
        <w:rPr>
          <w:rFonts w:cs="Times New Roman"/>
          <w:noProof/>
          <w:color w:val="auto"/>
        </w:rPr>
        <w:drawing>
          <wp:inline distT="0" distB="0" distL="0" distR="0" wp14:anchorId="4CADD230" wp14:editId="43656576">
            <wp:extent cx="11430" cy="1143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13A84484" w14:textId="77777777" w:rsidR="00541A14" w:rsidRDefault="00DD420F">
      <w:pPr>
        <w:pStyle w:val="CM195"/>
        <w:spacing w:after="353"/>
        <w:rPr>
          <w:rFonts w:ascii="DIN" w:hAnsi="DIN" w:cs="DIN"/>
          <w:sz w:val="15"/>
          <w:szCs w:val="15"/>
        </w:rPr>
      </w:pPr>
      <w:r>
        <w:rPr>
          <w:noProof/>
        </w:rPr>
        <w:drawing>
          <wp:inline distT="0" distB="0" distL="0" distR="0" wp14:anchorId="23F23A88" wp14:editId="1EBC4501">
            <wp:extent cx="306705" cy="227330"/>
            <wp:effectExtent l="0" t="0" r="0" b="127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306705" cy="227330"/>
                    </a:xfrm>
                    <a:prstGeom prst="rect">
                      <a:avLst/>
                    </a:prstGeom>
                    <a:noFill/>
                    <a:ln>
                      <a:noFill/>
                    </a:ln>
                  </pic:spPr>
                </pic:pic>
              </a:graphicData>
            </a:graphic>
          </wp:inline>
        </w:drawing>
      </w:r>
      <w:r w:rsidR="00A450E1">
        <w:rPr>
          <w:rFonts w:ascii="DIN" w:hAnsi="DIN" w:cs="DIN"/>
          <w:sz w:val="15"/>
          <w:szCs w:val="15"/>
        </w:rPr>
        <w:t xml:space="preserve">International Association </w:t>
      </w:r>
    </w:p>
    <w:p w14:paraId="39593FD7" w14:textId="77777777" w:rsidR="00541A14" w:rsidRDefault="00A450E1">
      <w:pPr>
        <w:pStyle w:val="CM162"/>
        <w:spacing w:after="552"/>
        <w:ind w:left="1567"/>
        <w:rPr>
          <w:rFonts w:ascii="DIN" w:hAnsi="DIN" w:cs="DIN"/>
          <w:sz w:val="15"/>
          <w:szCs w:val="15"/>
        </w:rPr>
      </w:pPr>
      <w:r>
        <w:rPr>
          <w:rFonts w:ascii="DIN" w:hAnsi="DIN" w:cs="DIN"/>
          <w:sz w:val="15"/>
          <w:szCs w:val="15"/>
        </w:rPr>
        <w:t xml:space="preserve">of Marine Aids to Navigation and Lighthouse Authorities </w:t>
      </w:r>
    </w:p>
    <w:p w14:paraId="2FF2E450" w14:textId="77777777" w:rsidR="00541A14" w:rsidRDefault="00DD420F">
      <w:pPr>
        <w:pStyle w:val="Default"/>
        <w:framePr w:w="10739" w:wrap="auto" w:vAnchor="page" w:hAnchor="page" w:x="1434" w:y="16318"/>
        <w:rPr>
          <w:rFonts w:ascii="DIN" w:hAnsi="DIN" w:cs="DIN"/>
          <w:color w:val="auto"/>
          <w:sz w:val="15"/>
          <w:szCs w:val="15"/>
        </w:rPr>
      </w:pPr>
      <w:r>
        <w:rPr>
          <w:rFonts w:ascii="DIN" w:hAnsi="DIN" w:cs="DIN"/>
          <w:noProof/>
          <w:color w:val="auto"/>
          <w:sz w:val="15"/>
          <w:szCs w:val="15"/>
        </w:rPr>
        <w:drawing>
          <wp:inline distT="0" distB="0" distL="0" distR="0" wp14:anchorId="37B009C9" wp14:editId="7774365D">
            <wp:extent cx="7542530" cy="391795"/>
            <wp:effectExtent l="0" t="0" r="127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142D964D" w14:textId="77777777" w:rsidR="00541A14" w:rsidRDefault="00A450E1">
      <w:pPr>
        <w:pStyle w:val="CM172"/>
        <w:pageBreakBefore/>
        <w:spacing w:after="202" w:line="251" w:lineRule="atLeast"/>
        <w:rPr>
          <w:rFonts w:ascii="DIN" w:hAnsi="DIN" w:cs="DIN"/>
          <w:sz w:val="18"/>
          <w:szCs w:val="18"/>
        </w:rPr>
      </w:pPr>
      <w:r>
        <w:rPr>
          <w:rFonts w:ascii="DIN" w:hAnsi="DIN" w:cs="DIN"/>
          <w:sz w:val="18"/>
          <w:szCs w:val="18"/>
        </w:rPr>
        <w:t xml:space="preserve">Technical Committee, by a series of disastrous wrecks in the Dover Strait area in 1971. These wrecks, situated in one lane of a traffic separation scheme, defied all attempts to mark them in a way that could be readily understood by mariners. </w:t>
      </w:r>
    </w:p>
    <w:p w14:paraId="33EBB528" w14:textId="77777777" w:rsidR="00541A14" w:rsidRDefault="00A450E1">
      <w:pPr>
        <w:pStyle w:val="CM36"/>
        <w:rPr>
          <w:rFonts w:ascii="DIN" w:hAnsi="DIN" w:cs="DIN"/>
          <w:sz w:val="18"/>
          <w:szCs w:val="18"/>
        </w:rPr>
      </w:pPr>
      <w:r>
        <w:rPr>
          <w:rFonts w:ascii="DIN" w:hAnsi="DIN" w:cs="DIN"/>
          <w:sz w:val="18"/>
          <w:szCs w:val="18"/>
        </w:rPr>
        <w:t xml:space="preserve">There were three basic issues to address: i) the need to retain existing equipment as far as </w:t>
      </w:r>
    </w:p>
    <w:p w14:paraId="7491874F" w14:textId="77777777" w:rsidR="00541A14" w:rsidRDefault="00A450E1">
      <w:pPr>
        <w:pStyle w:val="CM143"/>
        <w:ind w:firstLine="267"/>
        <w:rPr>
          <w:rFonts w:ascii="DIN" w:hAnsi="DIN" w:cs="DIN"/>
          <w:sz w:val="18"/>
          <w:szCs w:val="18"/>
        </w:rPr>
      </w:pPr>
      <w:r>
        <w:rPr>
          <w:rFonts w:ascii="DIN" w:hAnsi="DIN" w:cs="DIN"/>
          <w:sz w:val="18"/>
          <w:szCs w:val="18"/>
        </w:rPr>
        <w:t xml:space="preserve">possible to avoid undue expense ii) the need to define how the colours green and red </w:t>
      </w:r>
    </w:p>
    <w:p w14:paraId="0E00E25B" w14:textId="77777777" w:rsidR="00541A14" w:rsidRDefault="00A450E1">
      <w:pPr>
        <w:pStyle w:val="CM172"/>
        <w:spacing w:after="202" w:line="246" w:lineRule="atLeast"/>
        <w:ind w:firstLine="267"/>
        <w:rPr>
          <w:rFonts w:ascii="DIN" w:hAnsi="DIN" w:cs="DIN"/>
          <w:sz w:val="18"/>
          <w:szCs w:val="18"/>
        </w:rPr>
      </w:pPr>
      <w:r>
        <w:rPr>
          <w:rFonts w:ascii="DIN" w:hAnsi="DIN" w:cs="DIN"/>
          <w:sz w:val="18"/>
          <w:szCs w:val="18"/>
        </w:rPr>
        <w:t xml:space="preserve">were to be used when marking channels iii) the need to combine Lateral and Cardinal rules. </w:t>
      </w:r>
    </w:p>
    <w:p w14:paraId="52F86BE3" w14:textId="77777777" w:rsidR="00541A14" w:rsidRDefault="00A450E1">
      <w:pPr>
        <w:pStyle w:val="CM172"/>
        <w:spacing w:after="202" w:line="251" w:lineRule="atLeast"/>
        <w:rPr>
          <w:rFonts w:ascii="DIN" w:hAnsi="DIN" w:cs="DIN"/>
          <w:sz w:val="18"/>
          <w:szCs w:val="18"/>
        </w:rPr>
      </w:pPr>
      <w:r>
        <w:rPr>
          <w:rFonts w:ascii="DIN" w:hAnsi="DIN" w:cs="DIN"/>
          <w:sz w:val="18"/>
          <w:szCs w:val="18"/>
        </w:rPr>
        <w:t xml:space="preserve">To meet the conflicting requirements, it was thought necessary as a first step to formulate two systems, one using the colour red to mark the port hand side of the channels and the other using the colour red to mark the starboard hand side of channels. These were called System A and System B, respectively. </w:t>
      </w:r>
    </w:p>
    <w:p w14:paraId="1F4FD176" w14:textId="77777777" w:rsidR="00541A14" w:rsidRDefault="00A450E1">
      <w:pPr>
        <w:pStyle w:val="CM174"/>
        <w:spacing w:after="437" w:line="251" w:lineRule="atLeast"/>
        <w:rPr>
          <w:rFonts w:ascii="DIN" w:hAnsi="DIN" w:cs="DIN"/>
          <w:sz w:val="18"/>
          <w:szCs w:val="18"/>
        </w:rPr>
      </w:pPr>
      <w:r>
        <w:rPr>
          <w:rFonts w:ascii="DIN" w:hAnsi="DIN" w:cs="DIN"/>
          <w:sz w:val="18"/>
          <w:szCs w:val="18"/>
        </w:rPr>
        <w:t xml:space="preserve">The rules for System A, which included both cardinal and lateral marks, were completed in 1976 and agreed by the International Maritime Organization (IMO). The System was introduced in 1977 and its use has gradually spread throughout Europe, Australia, New Zealand, Africa, the Gulf and some Asian Countries. </w:t>
      </w:r>
    </w:p>
    <w:p w14:paraId="54236838" w14:textId="77777777" w:rsidR="00541A14" w:rsidRDefault="00A450E1">
      <w:pPr>
        <w:pStyle w:val="CM172"/>
        <w:spacing w:after="202"/>
        <w:rPr>
          <w:rFonts w:ascii="DIN" w:hAnsi="DIN" w:cs="DIN"/>
          <w:color w:val="EC1B22"/>
          <w:sz w:val="22"/>
          <w:szCs w:val="22"/>
        </w:rPr>
      </w:pPr>
      <w:r>
        <w:rPr>
          <w:rFonts w:ascii="DIN" w:hAnsi="DIN" w:cs="DIN"/>
          <w:b/>
          <w:bCs/>
          <w:color w:val="EC1B22"/>
          <w:sz w:val="22"/>
          <w:szCs w:val="22"/>
        </w:rPr>
        <w:t xml:space="preserve">FROM 1980 </w:t>
      </w:r>
    </w:p>
    <w:p w14:paraId="6D6209B4" w14:textId="77777777" w:rsidR="00541A14" w:rsidRDefault="00A450E1">
      <w:pPr>
        <w:pStyle w:val="CM172"/>
        <w:spacing w:after="202" w:line="251" w:lineRule="atLeast"/>
        <w:jc w:val="both"/>
        <w:rPr>
          <w:rFonts w:ascii="DIN" w:hAnsi="DIN" w:cs="DIN"/>
          <w:color w:val="000000"/>
          <w:sz w:val="18"/>
          <w:szCs w:val="18"/>
        </w:rPr>
      </w:pPr>
      <w:r>
        <w:rPr>
          <w:rFonts w:ascii="DIN" w:hAnsi="DIN" w:cs="DIN"/>
          <w:color w:val="000000"/>
          <w:sz w:val="18"/>
          <w:szCs w:val="18"/>
        </w:rPr>
        <w:t xml:space="preserve">The rules for System B were completed in early 1980. These were considered to be suitable for application in North, Central and South America, Japan, Republic of Korea and Philippines. </w:t>
      </w:r>
    </w:p>
    <w:p w14:paraId="651B24AA" w14:textId="77777777" w:rsidR="00541A14" w:rsidRDefault="00A450E1">
      <w:pPr>
        <w:pStyle w:val="CM172"/>
        <w:spacing w:after="202" w:line="251" w:lineRule="atLeast"/>
        <w:jc w:val="both"/>
        <w:rPr>
          <w:rFonts w:ascii="DIN" w:hAnsi="DIN" w:cs="DIN"/>
          <w:color w:val="000000"/>
          <w:sz w:val="18"/>
          <w:szCs w:val="18"/>
        </w:rPr>
      </w:pPr>
      <w:r>
        <w:rPr>
          <w:rFonts w:ascii="DIN" w:hAnsi="DIN" w:cs="DIN"/>
          <w:color w:val="000000"/>
          <w:sz w:val="18"/>
          <w:szCs w:val="18"/>
        </w:rPr>
        <w:t xml:space="preserve">The rules for the two Systems were so similar that the IALA Executive Committee was able to combine the two sets of rules into one, known as “The IALA Maritime Buoyage System”. This single set of rules allows Lighthouse Authorities the choice of using red to port or red to starboard, on a regional basis; the two regions being known as Region A and Region B. </w:t>
      </w:r>
    </w:p>
    <w:p w14:paraId="5D5A8BB6" w14:textId="77777777" w:rsidR="00541A14" w:rsidRDefault="00A450E1">
      <w:pPr>
        <w:pStyle w:val="CM174"/>
        <w:spacing w:after="437" w:line="251" w:lineRule="atLeast"/>
        <w:jc w:val="both"/>
        <w:rPr>
          <w:rFonts w:ascii="DIN" w:hAnsi="DIN" w:cs="DIN"/>
          <w:color w:val="000000"/>
          <w:sz w:val="18"/>
          <w:szCs w:val="18"/>
        </w:rPr>
      </w:pPr>
      <w:r>
        <w:rPr>
          <w:rFonts w:ascii="DIN" w:hAnsi="DIN" w:cs="DIN"/>
          <w:color w:val="000000"/>
          <w:sz w:val="18"/>
          <w:szCs w:val="18"/>
        </w:rPr>
        <w:t>At a Conference convened by IALA in November 1980 with the assistance of IMO and the International Hydrographic Organization (IHO), Lighthouse Authorities from 50 countries and the representatives of nine International Organisations concerned with aids to navigation met and agreed to adopt the rules of the new combined System. The boundaries of the buoyage regions were also decided and illustrated on a map annexed to the rules. The Conference underlined the need for co-operation between neighbouring coun</w:t>
      </w:r>
      <w:r>
        <w:rPr>
          <w:rFonts w:ascii="DIN" w:hAnsi="DIN" w:cs="DIN"/>
          <w:color w:val="000000"/>
          <w:sz w:val="18"/>
          <w:szCs w:val="18"/>
        </w:rPr>
        <w:softHyphen/>
        <w:t xml:space="preserve">tries and with Hydrographic Services in the introduction of the new System. </w:t>
      </w:r>
    </w:p>
    <w:p w14:paraId="75AEABEA" w14:textId="77777777" w:rsidR="00541A14" w:rsidRDefault="00A450E1">
      <w:pPr>
        <w:pStyle w:val="CM172"/>
        <w:spacing w:after="202"/>
        <w:jc w:val="both"/>
        <w:rPr>
          <w:rFonts w:ascii="DIN" w:hAnsi="DIN" w:cs="DIN"/>
          <w:color w:val="EC1B22"/>
          <w:sz w:val="22"/>
          <w:szCs w:val="22"/>
        </w:rPr>
      </w:pPr>
      <w:r>
        <w:rPr>
          <w:rFonts w:ascii="DIN" w:hAnsi="DIN" w:cs="DIN"/>
          <w:b/>
          <w:bCs/>
          <w:color w:val="EC1B22"/>
          <w:sz w:val="22"/>
          <w:szCs w:val="22"/>
        </w:rPr>
        <w:t xml:space="preserve">FROM 2010 </w:t>
      </w:r>
    </w:p>
    <w:p w14:paraId="4906384D" w14:textId="77777777" w:rsidR="00541A14" w:rsidRDefault="00A450E1">
      <w:pPr>
        <w:pStyle w:val="CM172"/>
        <w:spacing w:after="202" w:line="251" w:lineRule="atLeast"/>
        <w:jc w:val="both"/>
        <w:rPr>
          <w:rFonts w:ascii="DIN" w:hAnsi="DIN" w:cs="DIN"/>
          <w:color w:val="000000"/>
          <w:sz w:val="18"/>
          <w:szCs w:val="18"/>
        </w:rPr>
      </w:pPr>
      <w:r>
        <w:rPr>
          <w:rFonts w:ascii="DIN" w:hAnsi="DIN" w:cs="DIN"/>
          <w:color w:val="000000"/>
          <w:sz w:val="18"/>
          <w:szCs w:val="18"/>
        </w:rPr>
        <w:t xml:space="preserve">Although the Maritime Buoyage System (MBS) has served the maritime community well since its inception in the 1970s, after the 2006 IALA Conference in Shanghai, China, it was decided to review the system in light of changes in the navigation environment and the further development of electronic aids to navigation. </w:t>
      </w:r>
    </w:p>
    <w:p w14:paraId="0EAACB66" w14:textId="77777777" w:rsidR="00541A14" w:rsidRDefault="00A450E1">
      <w:pPr>
        <w:pStyle w:val="CM172"/>
        <w:spacing w:after="202" w:line="251" w:lineRule="atLeast"/>
        <w:jc w:val="both"/>
        <w:rPr>
          <w:rFonts w:ascii="DIN" w:hAnsi="DIN" w:cs="DIN"/>
          <w:color w:val="000000"/>
          <w:sz w:val="18"/>
          <w:szCs w:val="18"/>
        </w:rPr>
      </w:pPr>
      <w:r>
        <w:rPr>
          <w:rFonts w:ascii="DIN" w:hAnsi="DIN" w:cs="DIN"/>
          <w:color w:val="000000"/>
          <w:sz w:val="18"/>
          <w:szCs w:val="18"/>
        </w:rPr>
        <w:t xml:space="preserve">Worldwide consultation revealed that the fundamental principles of the MBS should be retained. However, due to changes in navigation practices and patterns, as well as innovations and technological developments, some enhancements to the MBS were needed. </w:t>
      </w:r>
    </w:p>
    <w:p w14:paraId="4949D156" w14:textId="77777777" w:rsidR="00541A14" w:rsidRDefault="00A450E1">
      <w:pPr>
        <w:pStyle w:val="CM172"/>
        <w:spacing w:after="202" w:line="251" w:lineRule="atLeast"/>
        <w:jc w:val="both"/>
        <w:rPr>
          <w:rFonts w:ascii="DIN" w:hAnsi="DIN" w:cs="DIN"/>
          <w:color w:val="000000"/>
          <w:sz w:val="18"/>
          <w:szCs w:val="18"/>
        </w:rPr>
      </w:pPr>
      <w:r>
        <w:rPr>
          <w:rFonts w:ascii="DIN" w:hAnsi="DIN" w:cs="DIN"/>
          <w:color w:val="000000"/>
          <w:sz w:val="18"/>
          <w:szCs w:val="18"/>
        </w:rPr>
        <w:t xml:space="preserve">Ideally, a unified marking arrangement would, in principle, be desirable for Regions A and B. All IALA Members view this change as impractical, detrimental to safety, and probably unachievable. However, with the aim of improving navigational safety, advances towards a global unified system can be achieved through adoption of common characteristics, such as consistent lighting rhythms, on port and starboard hand marks regardless of region. </w:t>
      </w:r>
    </w:p>
    <w:p w14:paraId="2FF09C72" w14:textId="77777777" w:rsidR="00541A14" w:rsidRDefault="00A450E1">
      <w:pPr>
        <w:pStyle w:val="CM172"/>
        <w:spacing w:after="202" w:line="251" w:lineRule="atLeast"/>
        <w:jc w:val="both"/>
        <w:rPr>
          <w:rFonts w:ascii="DIN" w:hAnsi="DIN" w:cs="DIN"/>
          <w:color w:val="000000"/>
          <w:sz w:val="18"/>
          <w:szCs w:val="18"/>
        </w:rPr>
      </w:pPr>
      <w:r>
        <w:rPr>
          <w:rFonts w:ascii="DIN" w:hAnsi="DIN" w:cs="DIN"/>
          <w:color w:val="000000"/>
          <w:sz w:val="18"/>
          <w:szCs w:val="18"/>
        </w:rPr>
        <w:t>The most significant changes in the 2010 revision are the inclusion of aids to navigation used for marking recommended by IALA that are additional to the buoyage system previously included. This is aimed at providing a more complete description of aids to navi</w:t>
      </w:r>
      <w:r>
        <w:rPr>
          <w:rFonts w:ascii="DIN" w:hAnsi="DIN" w:cs="DIN"/>
          <w:color w:val="000000"/>
          <w:sz w:val="18"/>
          <w:szCs w:val="18"/>
        </w:rPr>
        <w:softHyphen/>
        <w:t xml:space="preserve">gation that may be used. It includes the Emergency Wreck Marking Buoy, descriptions of other aids to navigation, specifically excluded from the original MBS, and the integration of electronic marks via radio transmission. With regards to aids to navigation, the changes provided by this revision will allow for the emerging e-Navigation concept to be based upon the marks provided by this booklet. </w:t>
      </w:r>
    </w:p>
    <w:p w14:paraId="3CAE90D7" w14:textId="77777777" w:rsidR="00541A14" w:rsidRDefault="00A450E1">
      <w:pPr>
        <w:pStyle w:val="CM172"/>
        <w:spacing w:after="202" w:line="251" w:lineRule="atLeast"/>
        <w:jc w:val="both"/>
        <w:rPr>
          <w:rFonts w:ascii="DIN" w:hAnsi="DIN" w:cs="DIN"/>
          <w:color w:val="000000"/>
          <w:sz w:val="18"/>
          <w:szCs w:val="18"/>
        </w:rPr>
      </w:pPr>
      <w:r>
        <w:rPr>
          <w:rFonts w:ascii="DIN" w:hAnsi="DIN" w:cs="DIN"/>
          <w:color w:val="000000"/>
          <w:sz w:val="18"/>
          <w:szCs w:val="18"/>
        </w:rPr>
        <w:t xml:space="preserve">Thus, the IALA Maritime Buoyage System will continue to help all Mariners, navigating anywhere in the world, to fix their position and avoid dangers without fear of ambiguity, now and for the years to come. </w:t>
      </w:r>
    </w:p>
    <w:p w14:paraId="0FF75044" w14:textId="77777777" w:rsidR="00541A14" w:rsidRDefault="00A450E1">
      <w:pPr>
        <w:pStyle w:val="CM162"/>
        <w:spacing w:after="552" w:line="251" w:lineRule="atLeast"/>
        <w:jc w:val="both"/>
        <w:rPr>
          <w:rFonts w:ascii="DIN" w:hAnsi="DIN" w:cs="DIN"/>
          <w:color w:val="000000"/>
          <w:sz w:val="18"/>
          <w:szCs w:val="18"/>
        </w:rPr>
      </w:pPr>
      <w:r>
        <w:rPr>
          <w:rFonts w:ascii="DIN" w:hAnsi="DIN" w:cs="DIN"/>
          <w:color w:val="000000"/>
          <w:sz w:val="18"/>
          <w:szCs w:val="18"/>
        </w:rPr>
        <w:t xml:space="preserve">Continuity and harmonization of Aids to Navigation Marking is to be encouraged by all competent maritime authorities. </w:t>
      </w:r>
    </w:p>
    <w:p w14:paraId="1DCEF11C" w14:textId="77777777" w:rsidR="00541A14" w:rsidRDefault="00DD420F">
      <w:pPr>
        <w:pStyle w:val="Default"/>
        <w:framePr w:w="1318" w:wrap="auto" w:vAnchor="page" w:hAnchor="page" w:x="5702" w:y="15200"/>
        <w:spacing w:after="580"/>
        <w:rPr>
          <w:rFonts w:ascii="DIN" w:hAnsi="DIN" w:cs="DIN"/>
          <w:sz w:val="18"/>
          <w:szCs w:val="18"/>
        </w:rPr>
      </w:pPr>
      <w:r>
        <w:rPr>
          <w:rFonts w:ascii="DIN" w:hAnsi="DIN" w:cs="DIN"/>
          <w:noProof/>
          <w:sz w:val="18"/>
          <w:szCs w:val="18"/>
        </w:rPr>
        <w:drawing>
          <wp:inline distT="0" distB="0" distL="0" distR="0" wp14:anchorId="40567F87" wp14:editId="51672DB1">
            <wp:extent cx="11430" cy="1143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27047FB0" w14:textId="77777777" w:rsidR="00541A14" w:rsidRDefault="00A450E1">
      <w:pPr>
        <w:pStyle w:val="CM12"/>
        <w:jc w:val="both"/>
        <w:rPr>
          <w:rFonts w:ascii="DIN" w:hAnsi="DIN" w:cs="DIN"/>
          <w:color w:val="000000"/>
          <w:sz w:val="15"/>
          <w:szCs w:val="15"/>
        </w:rPr>
      </w:pPr>
      <w:r>
        <w:rPr>
          <w:rFonts w:ascii="DIN" w:hAnsi="DIN" w:cs="DIN"/>
          <w:color w:val="000000"/>
          <w:sz w:val="15"/>
          <w:szCs w:val="15"/>
        </w:rPr>
        <w:t xml:space="preserve">Maritime Buoyage System </w:t>
      </w:r>
    </w:p>
    <w:p w14:paraId="72A34579" w14:textId="77777777" w:rsidR="00541A14" w:rsidRDefault="00A450E1">
      <w:pPr>
        <w:pStyle w:val="CM175"/>
        <w:spacing w:after="267"/>
        <w:jc w:val="both"/>
        <w:rPr>
          <w:rFonts w:ascii="DIN" w:hAnsi="DIN" w:cs="DIN"/>
          <w:color w:val="EC1B22"/>
          <w:sz w:val="15"/>
          <w:szCs w:val="15"/>
        </w:rPr>
      </w:pPr>
      <w:r>
        <w:rPr>
          <w:rFonts w:ascii="DIN" w:hAnsi="DIN" w:cs="DIN"/>
          <w:color w:val="EC1B22"/>
          <w:sz w:val="15"/>
          <w:szCs w:val="15"/>
        </w:rPr>
        <w:t xml:space="preserve">Historical Background </w:t>
      </w:r>
    </w:p>
    <w:p w14:paraId="7CAD182F" w14:textId="77777777" w:rsidR="00541A14" w:rsidRDefault="00A450E1">
      <w:pPr>
        <w:pStyle w:val="CM162"/>
        <w:spacing w:after="552"/>
        <w:ind w:left="4827"/>
        <w:rPr>
          <w:rFonts w:ascii="DIN" w:hAnsi="DIN" w:cs="DIN"/>
          <w:color w:val="6B6D6F"/>
          <w:sz w:val="47"/>
          <w:szCs w:val="47"/>
        </w:rPr>
      </w:pPr>
      <w:r>
        <w:rPr>
          <w:rFonts w:ascii="DIN" w:hAnsi="DIN" w:cs="DIN"/>
          <w:color w:val="6B6D6F"/>
          <w:sz w:val="47"/>
          <w:szCs w:val="47"/>
        </w:rPr>
        <w:t xml:space="preserve">04 </w:t>
      </w:r>
    </w:p>
    <w:p w14:paraId="1785AC34" w14:textId="77777777" w:rsidR="00541A14" w:rsidRDefault="00DD420F">
      <w:pPr>
        <w:pStyle w:val="Default"/>
        <w:framePr w:w="10730" w:wrap="auto" w:vAnchor="page" w:hAnchor="page" w:x="608" w:y="16318"/>
        <w:rPr>
          <w:rFonts w:ascii="DIN" w:hAnsi="DIN" w:cs="DIN"/>
          <w:color w:val="6B6D6F"/>
          <w:sz w:val="47"/>
          <w:szCs w:val="47"/>
        </w:rPr>
      </w:pPr>
      <w:r>
        <w:rPr>
          <w:rFonts w:ascii="DIN" w:hAnsi="DIN" w:cs="DIN"/>
          <w:noProof/>
          <w:color w:val="6B6D6F"/>
          <w:sz w:val="47"/>
          <w:szCs w:val="47"/>
        </w:rPr>
        <w:drawing>
          <wp:inline distT="0" distB="0" distL="0" distR="0" wp14:anchorId="7E50BC5C" wp14:editId="7A570630">
            <wp:extent cx="7553960" cy="39179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7E2BF45E" w14:textId="77777777" w:rsidR="00541A14" w:rsidRDefault="00A450E1">
      <w:pPr>
        <w:pStyle w:val="CM174"/>
        <w:pageBreakBefore/>
        <w:spacing w:after="437"/>
        <w:jc w:val="center"/>
        <w:rPr>
          <w:rFonts w:ascii="DIN" w:hAnsi="DIN" w:cs="DIN"/>
          <w:color w:val="6B6D6F"/>
          <w:sz w:val="61"/>
          <w:szCs w:val="61"/>
        </w:rPr>
      </w:pPr>
      <w:r>
        <w:rPr>
          <w:rFonts w:ascii="DIN" w:hAnsi="DIN" w:cs="DIN"/>
          <w:color w:val="6B6D6F"/>
          <w:sz w:val="61"/>
          <w:szCs w:val="61"/>
        </w:rPr>
        <w:t xml:space="preserve">General principles of the System </w:t>
      </w:r>
    </w:p>
    <w:p w14:paraId="774AC42A" w14:textId="77777777" w:rsidR="00541A14" w:rsidRDefault="00A450E1">
      <w:pPr>
        <w:pStyle w:val="CM172"/>
        <w:spacing w:after="202" w:line="243" w:lineRule="atLeast"/>
        <w:ind w:left="1327"/>
        <w:rPr>
          <w:rFonts w:ascii="DIN" w:hAnsi="DIN" w:cs="DIN"/>
          <w:color w:val="6B6D6F"/>
          <w:sz w:val="17"/>
          <w:szCs w:val="17"/>
        </w:rPr>
      </w:pPr>
      <w:r>
        <w:rPr>
          <w:rFonts w:ascii="DIN" w:hAnsi="DIN" w:cs="DIN"/>
          <w:i/>
          <w:iCs/>
          <w:color w:val="6B6D6F"/>
          <w:sz w:val="17"/>
          <w:szCs w:val="17"/>
        </w:rPr>
        <w:t xml:space="preserve">The responsibility for safe navigation resides with the mariner, through the appropriate use of aids to navigation in conjunction with official nautical documents and prudent seamanship, including voyage planning as defined in IMO Resolutions. This booklet provides guidance on the Maritime Buoyage System and other aids to navigation for all users. </w:t>
      </w:r>
    </w:p>
    <w:p w14:paraId="0A546F94" w14:textId="77777777" w:rsidR="00541A14" w:rsidRDefault="00A450E1">
      <w:pPr>
        <w:pStyle w:val="CM172"/>
        <w:spacing w:after="202" w:line="243" w:lineRule="atLeast"/>
        <w:ind w:left="1327"/>
        <w:rPr>
          <w:rFonts w:ascii="DIN" w:hAnsi="DIN" w:cs="DIN"/>
          <w:color w:val="6B6D6F"/>
          <w:sz w:val="17"/>
          <w:szCs w:val="17"/>
        </w:rPr>
      </w:pPr>
      <w:r>
        <w:rPr>
          <w:rFonts w:ascii="DIN" w:hAnsi="DIN" w:cs="DIN"/>
          <w:i/>
          <w:iCs/>
          <w:color w:val="6B6D6F"/>
          <w:sz w:val="17"/>
          <w:szCs w:val="17"/>
        </w:rPr>
        <w:t xml:space="preserve">The IALA Aids to Navigation system has two components: The Maritime Buoyage System and other aids to navigation comprised of fixed and floating devices. This is primarily a physical system, however all of the marks may be complemented by electronic means. </w:t>
      </w:r>
    </w:p>
    <w:p w14:paraId="64493F07" w14:textId="77777777" w:rsidR="00541A14" w:rsidRDefault="00A450E1">
      <w:pPr>
        <w:pStyle w:val="CM172"/>
        <w:spacing w:after="202" w:line="243" w:lineRule="atLeast"/>
        <w:ind w:left="1327"/>
        <w:rPr>
          <w:rFonts w:ascii="DIN" w:hAnsi="DIN" w:cs="DIN"/>
          <w:color w:val="6B6D6F"/>
          <w:sz w:val="17"/>
          <w:szCs w:val="17"/>
        </w:rPr>
      </w:pPr>
      <w:r>
        <w:rPr>
          <w:rFonts w:ascii="DIN" w:hAnsi="DIN" w:cs="DIN"/>
          <w:i/>
          <w:iCs/>
          <w:color w:val="6B6D6F"/>
          <w:sz w:val="17"/>
          <w:szCs w:val="17"/>
        </w:rPr>
        <w:t xml:space="preserve">Within the Maritime Buoyage System there are six types of marks, which may be used alone or in combination. The mariner can distinguish between these marks by identifiable characteristics. Lateral marks differ between Buoyage Regions A and B, as described below, whereas the other five types of marks are common to both regions. </w:t>
      </w:r>
    </w:p>
    <w:p w14:paraId="6903ED92" w14:textId="77777777" w:rsidR="00541A14" w:rsidRDefault="00A450E1">
      <w:pPr>
        <w:pStyle w:val="CM162"/>
        <w:spacing w:after="552" w:line="243" w:lineRule="atLeast"/>
        <w:ind w:left="1327"/>
        <w:rPr>
          <w:rFonts w:ascii="DIN" w:hAnsi="DIN" w:cs="DIN"/>
          <w:color w:val="6B6D6F"/>
          <w:sz w:val="17"/>
          <w:szCs w:val="17"/>
        </w:rPr>
      </w:pPr>
      <w:r>
        <w:rPr>
          <w:rFonts w:ascii="DIN" w:hAnsi="DIN" w:cs="DIN"/>
          <w:i/>
          <w:iCs/>
          <w:color w:val="6B6D6F"/>
          <w:sz w:val="17"/>
          <w:szCs w:val="17"/>
        </w:rPr>
        <w:t xml:space="preserve">These marks are described below: </w:t>
      </w:r>
    </w:p>
    <w:p w14:paraId="56BDE7CF" w14:textId="77777777" w:rsidR="00541A14" w:rsidRDefault="00A450E1">
      <w:pPr>
        <w:pStyle w:val="CM172"/>
        <w:spacing w:after="202"/>
        <w:rPr>
          <w:rFonts w:ascii="DIN" w:hAnsi="DIN" w:cs="DIN"/>
          <w:color w:val="EC1B22"/>
          <w:sz w:val="17"/>
          <w:szCs w:val="17"/>
        </w:rPr>
      </w:pPr>
      <w:r>
        <w:rPr>
          <w:rFonts w:ascii="DIN" w:hAnsi="DIN" w:cs="DIN"/>
          <w:b/>
          <w:bCs/>
          <w:color w:val="EC1B22"/>
          <w:sz w:val="22"/>
          <w:szCs w:val="22"/>
        </w:rPr>
        <w:t xml:space="preserve">LATERAL MARKS </w:t>
      </w:r>
      <w:r>
        <w:rPr>
          <w:rFonts w:ascii="DIN" w:hAnsi="DIN" w:cs="DIN"/>
          <w:color w:val="EC1B22"/>
          <w:sz w:val="17"/>
          <w:szCs w:val="17"/>
        </w:rPr>
        <w:t xml:space="preserve">Cardinal Marks (continued) </w:t>
      </w:r>
    </w:p>
    <w:p w14:paraId="4E72CE02" w14:textId="77777777" w:rsidR="00541A14" w:rsidRDefault="00A450E1">
      <w:pPr>
        <w:pStyle w:val="CM36"/>
        <w:rPr>
          <w:rFonts w:ascii="DIN" w:hAnsi="DIN" w:cs="DIN"/>
          <w:color w:val="000000"/>
          <w:sz w:val="17"/>
          <w:szCs w:val="17"/>
        </w:rPr>
      </w:pPr>
      <w:r>
        <w:rPr>
          <w:rFonts w:ascii="DIN" w:hAnsi="DIN" w:cs="DIN"/>
          <w:color w:val="000000"/>
          <w:sz w:val="17"/>
          <w:szCs w:val="17"/>
        </w:rPr>
        <w:t xml:space="preserve">Following the sense of a ‘conventional direction of An aide-memoire to their colouring is provided by </w:t>
      </w:r>
    </w:p>
    <w:p w14:paraId="25560C74" w14:textId="77777777" w:rsidR="00541A14" w:rsidRDefault="00A450E1">
      <w:pPr>
        <w:pStyle w:val="CM193"/>
        <w:spacing w:after="268" w:line="251" w:lineRule="atLeast"/>
        <w:rPr>
          <w:rFonts w:ascii="DIN" w:hAnsi="DIN" w:cs="DIN"/>
          <w:color w:val="000000"/>
          <w:sz w:val="17"/>
          <w:szCs w:val="17"/>
        </w:rPr>
      </w:pPr>
      <w:r>
        <w:rPr>
          <w:rFonts w:ascii="DIN" w:hAnsi="DIN" w:cs="DIN"/>
          <w:color w:val="000000"/>
          <w:sz w:val="17"/>
          <w:szCs w:val="17"/>
        </w:rPr>
        <w:t xml:space="preserve">buoyage’, lateral marks in Region A utilize red and regarding the top-marks as pointers to the positions of green colours (refer to section 2.4) by day and night to the black band(s): denote the port and starboard sides of channels respectively. However, in Region B (refer to section 2.5) </w:t>
      </w:r>
    </w:p>
    <w:p w14:paraId="71287CEE" w14:textId="77777777" w:rsidR="00541A14" w:rsidRDefault="00DD420F">
      <w:pPr>
        <w:pStyle w:val="CM145"/>
        <w:ind w:left="4785"/>
        <w:rPr>
          <w:rFonts w:ascii="DIN" w:hAnsi="DIN" w:cs="DIN"/>
          <w:color w:val="EC1B22"/>
          <w:sz w:val="17"/>
          <w:szCs w:val="17"/>
        </w:rPr>
      </w:pPr>
      <w:r>
        <w:rPr>
          <w:rFonts w:ascii="DIN" w:hAnsi="DIN" w:cs="DIN"/>
          <w:noProof/>
          <w:color w:val="000000"/>
          <w:sz w:val="17"/>
          <w:szCs w:val="17"/>
        </w:rPr>
        <w:drawing>
          <wp:inline distT="0" distB="0" distL="0" distR="0" wp14:anchorId="77954783" wp14:editId="34E551F8">
            <wp:extent cx="73660" cy="62230"/>
            <wp:effectExtent l="0" t="0" r="254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73660" cy="62230"/>
                    </a:xfrm>
                    <a:prstGeom prst="rect">
                      <a:avLst/>
                    </a:prstGeom>
                    <a:noFill/>
                    <a:ln>
                      <a:noFill/>
                    </a:ln>
                  </pic:spPr>
                </pic:pic>
              </a:graphicData>
            </a:graphic>
          </wp:inline>
        </w:drawing>
      </w:r>
      <w:r w:rsidR="00A450E1">
        <w:rPr>
          <w:rFonts w:ascii="DIN" w:hAnsi="DIN" w:cs="DIN"/>
          <w:b/>
          <w:bCs/>
          <w:color w:val="EC1B22"/>
          <w:sz w:val="17"/>
          <w:szCs w:val="17"/>
        </w:rPr>
        <w:t xml:space="preserve">North: </w:t>
      </w:r>
    </w:p>
    <w:p w14:paraId="394D988B" w14:textId="77777777" w:rsidR="00541A14" w:rsidRDefault="00A450E1">
      <w:pPr>
        <w:pStyle w:val="CM175"/>
        <w:spacing w:after="267" w:line="220" w:lineRule="atLeast"/>
        <w:ind w:right="1495"/>
        <w:rPr>
          <w:rFonts w:ascii="DIN" w:hAnsi="DIN" w:cs="DIN"/>
          <w:color w:val="000000"/>
          <w:sz w:val="17"/>
          <w:szCs w:val="17"/>
        </w:rPr>
      </w:pPr>
      <w:r>
        <w:rPr>
          <w:rFonts w:ascii="DIN" w:hAnsi="DIN" w:cs="DIN"/>
          <w:color w:val="000000"/>
          <w:sz w:val="17"/>
          <w:szCs w:val="17"/>
        </w:rPr>
        <w:t xml:space="preserve">these colours are reversed with red to starboard and Top-marks pointing upward: green to port. black band above yellow band; </w:t>
      </w:r>
    </w:p>
    <w:p w14:paraId="70E1DD7E" w14:textId="77777777" w:rsidR="00541A14" w:rsidRDefault="00DD420F">
      <w:pPr>
        <w:pStyle w:val="Default"/>
        <w:spacing w:line="220" w:lineRule="atLeast"/>
        <w:ind w:left="5142"/>
        <w:rPr>
          <w:rFonts w:ascii="DIN" w:hAnsi="DIN" w:cs="DIN"/>
          <w:color w:val="EC1B22"/>
          <w:sz w:val="17"/>
          <w:szCs w:val="17"/>
        </w:rPr>
      </w:pPr>
      <w:r>
        <w:rPr>
          <w:rFonts w:ascii="DIN" w:hAnsi="DIN" w:cs="DIN"/>
          <w:noProof/>
          <w:sz w:val="17"/>
          <w:szCs w:val="17"/>
        </w:rPr>
        <w:drawing>
          <wp:inline distT="0" distB="0" distL="0" distR="0" wp14:anchorId="5C8667CA" wp14:editId="2B48A247">
            <wp:extent cx="73660" cy="73660"/>
            <wp:effectExtent l="0" t="0" r="2540" b="254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73660" cy="73660"/>
                    </a:xfrm>
                    <a:prstGeom prst="rect">
                      <a:avLst/>
                    </a:prstGeom>
                    <a:noFill/>
                    <a:ln>
                      <a:noFill/>
                    </a:ln>
                  </pic:spPr>
                </pic:pic>
              </a:graphicData>
            </a:graphic>
          </wp:inline>
        </w:drawing>
      </w:r>
      <w:r w:rsidR="00A450E1">
        <w:rPr>
          <w:rFonts w:ascii="DIN" w:hAnsi="DIN" w:cs="DIN"/>
          <w:b/>
          <w:bCs/>
          <w:color w:val="EC1B22"/>
          <w:sz w:val="17"/>
          <w:szCs w:val="17"/>
        </w:rPr>
        <w:t>South:</w:t>
      </w:r>
    </w:p>
    <w:p w14:paraId="23FB122D" w14:textId="77777777" w:rsidR="00541A14" w:rsidRDefault="00A450E1">
      <w:pPr>
        <w:pStyle w:val="CM43"/>
        <w:rPr>
          <w:rFonts w:ascii="DIN" w:hAnsi="DIN" w:cs="DIN"/>
          <w:color w:val="000000"/>
          <w:sz w:val="17"/>
          <w:szCs w:val="17"/>
        </w:rPr>
      </w:pPr>
      <w:r>
        <w:rPr>
          <w:rFonts w:ascii="DIN" w:hAnsi="DIN" w:cs="DIN"/>
          <w:color w:val="000000"/>
          <w:sz w:val="17"/>
          <w:szCs w:val="17"/>
        </w:rPr>
        <w:t xml:space="preserve">A modified lateral mark may be used at the </w:t>
      </w:r>
    </w:p>
    <w:p w14:paraId="71F5154C" w14:textId="77777777" w:rsidR="00541A14" w:rsidRDefault="00A450E1">
      <w:pPr>
        <w:pStyle w:val="CM193"/>
        <w:spacing w:after="268" w:line="251" w:lineRule="atLeast"/>
        <w:rPr>
          <w:rFonts w:ascii="DIN" w:hAnsi="DIN" w:cs="DIN"/>
          <w:color w:val="000000"/>
          <w:sz w:val="17"/>
          <w:szCs w:val="17"/>
        </w:rPr>
      </w:pPr>
      <w:r>
        <w:rPr>
          <w:rFonts w:ascii="DIN" w:hAnsi="DIN" w:cs="DIN"/>
          <w:color w:val="000000"/>
          <w:sz w:val="17"/>
          <w:szCs w:val="17"/>
        </w:rPr>
        <w:t xml:space="preserve">point where a channel divides to distinguish the pre-Top-marks pointing downward: ferred channel, that is to say the primary route or black band below yellow band; channel that is so designated by the competent authority. </w:t>
      </w:r>
    </w:p>
    <w:p w14:paraId="623EF35A" w14:textId="77777777" w:rsidR="00541A14" w:rsidRDefault="00DD420F">
      <w:pPr>
        <w:pStyle w:val="CM145"/>
        <w:ind w:left="4785"/>
        <w:rPr>
          <w:rFonts w:ascii="DIN" w:hAnsi="DIN" w:cs="DIN"/>
          <w:color w:val="EC1B22"/>
          <w:sz w:val="17"/>
          <w:szCs w:val="17"/>
        </w:rPr>
      </w:pPr>
      <w:r>
        <w:rPr>
          <w:rFonts w:ascii="DIN" w:hAnsi="DIN" w:cs="DIN"/>
          <w:noProof/>
          <w:color w:val="000000"/>
          <w:sz w:val="17"/>
          <w:szCs w:val="17"/>
        </w:rPr>
        <w:drawing>
          <wp:inline distT="0" distB="0" distL="0" distR="0" wp14:anchorId="1C8634DE" wp14:editId="63A6EF87">
            <wp:extent cx="73660" cy="62230"/>
            <wp:effectExtent l="0" t="0" r="254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73660" cy="62230"/>
                    </a:xfrm>
                    <a:prstGeom prst="rect">
                      <a:avLst/>
                    </a:prstGeom>
                    <a:noFill/>
                    <a:ln>
                      <a:noFill/>
                    </a:ln>
                  </pic:spPr>
                </pic:pic>
              </a:graphicData>
            </a:graphic>
          </wp:inline>
        </w:drawing>
      </w:r>
      <w:r w:rsidR="00A450E1">
        <w:rPr>
          <w:rFonts w:ascii="DIN" w:hAnsi="DIN" w:cs="DIN"/>
          <w:b/>
          <w:bCs/>
          <w:color w:val="EC1B22"/>
          <w:sz w:val="17"/>
          <w:szCs w:val="17"/>
        </w:rPr>
        <w:t xml:space="preserve">East: </w:t>
      </w:r>
    </w:p>
    <w:p w14:paraId="240AAF85" w14:textId="77777777" w:rsidR="00541A14" w:rsidRDefault="00A450E1">
      <w:pPr>
        <w:pStyle w:val="CM172"/>
        <w:spacing w:after="202" w:line="243" w:lineRule="atLeast"/>
        <w:ind w:right="417" w:firstLine="5142"/>
        <w:rPr>
          <w:rFonts w:ascii="DIN" w:hAnsi="DIN" w:cs="DIN"/>
          <w:color w:val="000000"/>
          <w:sz w:val="17"/>
          <w:szCs w:val="17"/>
        </w:rPr>
      </w:pPr>
      <w:r>
        <w:rPr>
          <w:rFonts w:ascii="DIN" w:hAnsi="DIN" w:cs="DIN"/>
          <w:color w:val="000000"/>
          <w:sz w:val="17"/>
          <w:szCs w:val="17"/>
        </w:rPr>
        <w:t xml:space="preserve">Top-marks pointing away from each other: </w:t>
      </w:r>
      <w:r>
        <w:rPr>
          <w:rFonts w:ascii="DIN" w:hAnsi="DIN" w:cs="DIN"/>
          <w:b/>
          <w:bCs/>
          <w:color w:val="EC1B22"/>
          <w:sz w:val="22"/>
          <w:szCs w:val="22"/>
        </w:rPr>
        <w:t xml:space="preserve">CARDINAL MARKS </w:t>
      </w:r>
      <w:r>
        <w:rPr>
          <w:rFonts w:ascii="DIN" w:hAnsi="DIN" w:cs="DIN"/>
          <w:color w:val="000000"/>
          <w:sz w:val="17"/>
          <w:szCs w:val="17"/>
        </w:rPr>
        <w:t xml:space="preserve">black bands above and below a yellow band; </w:t>
      </w:r>
    </w:p>
    <w:p w14:paraId="48FC4367" w14:textId="77777777" w:rsidR="00541A14" w:rsidRDefault="00A450E1">
      <w:pPr>
        <w:pStyle w:val="CM36"/>
        <w:rPr>
          <w:rFonts w:ascii="DIN" w:hAnsi="DIN" w:cs="DIN"/>
          <w:color w:val="000000"/>
          <w:sz w:val="17"/>
          <w:szCs w:val="17"/>
        </w:rPr>
      </w:pPr>
      <w:r>
        <w:rPr>
          <w:rFonts w:ascii="DIN" w:hAnsi="DIN" w:cs="DIN"/>
          <w:color w:val="000000"/>
          <w:sz w:val="17"/>
          <w:szCs w:val="17"/>
        </w:rPr>
        <w:t xml:space="preserve">Cardinal marks indicate that the deepest water in the </w:t>
      </w:r>
    </w:p>
    <w:p w14:paraId="10B2A834" w14:textId="77777777" w:rsidR="00541A14" w:rsidRDefault="00DD420F">
      <w:pPr>
        <w:pStyle w:val="CM145"/>
        <w:ind w:left="4785"/>
        <w:rPr>
          <w:rFonts w:ascii="DIN" w:hAnsi="DIN" w:cs="DIN"/>
          <w:color w:val="EC1B22"/>
          <w:sz w:val="17"/>
          <w:szCs w:val="17"/>
        </w:rPr>
      </w:pPr>
      <w:r>
        <w:rPr>
          <w:rFonts w:ascii="DIN" w:hAnsi="DIN" w:cs="DIN"/>
          <w:noProof/>
          <w:color w:val="000000"/>
          <w:sz w:val="17"/>
          <w:szCs w:val="17"/>
        </w:rPr>
        <w:drawing>
          <wp:inline distT="0" distB="0" distL="0" distR="0" wp14:anchorId="164007CE" wp14:editId="317823AF">
            <wp:extent cx="73660" cy="62230"/>
            <wp:effectExtent l="0" t="0" r="254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73660" cy="62230"/>
                    </a:xfrm>
                    <a:prstGeom prst="rect">
                      <a:avLst/>
                    </a:prstGeom>
                    <a:noFill/>
                    <a:ln>
                      <a:noFill/>
                    </a:ln>
                  </pic:spPr>
                </pic:pic>
              </a:graphicData>
            </a:graphic>
          </wp:inline>
        </w:drawing>
      </w:r>
      <w:r w:rsidR="00A450E1">
        <w:rPr>
          <w:rFonts w:ascii="DIN" w:hAnsi="DIN" w:cs="DIN"/>
          <w:b/>
          <w:bCs/>
          <w:color w:val="EC1B22"/>
          <w:sz w:val="17"/>
          <w:szCs w:val="17"/>
        </w:rPr>
        <w:t xml:space="preserve">West: </w:t>
      </w:r>
    </w:p>
    <w:p w14:paraId="30EB87F1" w14:textId="77777777" w:rsidR="00541A14" w:rsidRDefault="00A450E1">
      <w:pPr>
        <w:pStyle w:val="CM36"/>
        <w:rPr>
          <w:rFonts w:ascii="DIN" w:hAnsi="DIN" w:cs="DIN"/>
          <w:color w:val="000000"/>
          <w:sz w:val="17"/>
          <w:szCs w:val="17"/>
        </w:rPr>
      </w:pPr>
      <w:r>
        <w:rPr>
          <w:rFonts w:ascii="DIN" w:hAnsi="DIN" w:cs="DIN"/>
          <w:color w:val="000000"/>
          <w:sz w:val="17"/>
          <w:szCs w:val="17"/>
        </w:rPr>
        <w:t xml:space="preserve">area lies to the named side of the mark. This convention Top-marks pointing towards each other: is necessary even though for example, a North mark black band with yellow bands above and below. may have navigable water not only to the North but also East and West of it. The mariner will know it is Cardinal marks also have a special system of flashing safe to the North, but shall consult the chart for white lights. The rhythms are basically all “very further guidance. quick” (VQ) or “quick” (Q) flashing but broken into </w:t>
      </w:r>
    </w:p>
    <w:p w14:paraId="56CAF31A" w14:textId="77777777" w:rsidR="00541A14" w:rsidRDefault="00A450E1">
      <w:pPr>
        <w:pStyle w:val="CM145"/>
        <w:ind w:left="4785"/>
        <w:rPr>
          <w:rFonts w:ascii="DIN" w:hAnsi="DIN" w:cs="DIN"/>
          <w:color w:val="000000"/>
          <w:sz w:val="17"/>
          <w:szCs w:val="17"/>
        </w:rPr>
      </w:pPr>
      <w:r>
        <w:rPr>
          <w:rFonts w:ascii="DIN" w:hAnsi="DIN" w:cs="DIN"/>
          <w:color w:val="000000"/>
          <w:sz w:val="17"/>
          <w:szCs w:val="17"/>
        </w:rPr>
        <w:t xml:space="preserve">varying lengths of the flashing phase. “Very quick </w:t>
      </w:r>
    </w:p>
    <w:p w14:paraId="42DD2262" w14:textId="77777777" w:rsidR="00541A14" w:rsidRDefault="00A450E1">
      <w:pPr>
        <w:pStyle w:val="CM162"/>
        <w:spacing w:after="552" w:line="251" w:lineRule="atLeast"/>
        <w:rPr>
          <w:rFonts w:ascii="DIN" w:hAnsi="DIN" w:cs="DIN"/>
          <w:color w:val="000000"/>
          <w:sz w:val="17"/>
          <w:szCs w:val="17"/>
        </w:rPr>
      </w:pPr>
      <w:r>
        <w:rPr>
          <w:rFonts w:ascii="DIN" w:hAnsi="DIN" w:cs="DIN"/>
          <w:color w:val="000000"/>
          <w:sz w:val="17"/>
          <w:szCs w:val="17"/>
        </w:rPr>
        <w:t xml:space="preserve">Cardinal marks do not have a distinctive shape but are flashing” is defined as a light flashing at a rate of normally pillar or spar. They are always painted in either 120 or 100 flashes per minute, “quick flashing” yellow and black horizontal bands and their distinctive is a light flashing at either 60 or 50 flashes per double cone top-marks are always black. minute. </w:t>
      </w:r>
    </w:p>
    <w:p w14:paraId="387CDFB2" w14:textId="77777777" w:rsidR="00541A14" w:rsidRDefault="00DD420F">
      <w:pPr>
        <w:pStyle w:val="Default"/>
        <w:framePr w:w="1314" w:wrap="auto" w:vAnchor="page" w:hAnchor="page" w:x="5688" w:y="15179"/>
        <w:spacing w:after="340"/>
        <w:rPr>
          <w:rFonts w:ascii="DIN" w:hAnsi="DIN" w:cs="DIN"/>
          <w:sz w:val="17"/>
          <w:szCs w:val="17"/>
        </w:rPr>
      </w:pPr>
      <w:r>
        <w:rPr>
          <w:rFonts w:ascii="DIN" w:hAnsi="DIN" w:cs="DIN"/>
          <w:noProof/>
          <w:sz w:val="17"/>
          <w:szCs w:val="17"/>
        </w:rPr>
        <w:drawing>
          <wp:inline distT="0" distB="0" distL="0" distR="0" wp14:anchorId="68FDACBD" wp14:editId="66D8C964">
            <wp:extent cx="11430" cy="1143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299E7E31" w14:textId="77777777" w:rsidR="00541A14" w:rsidRDefault="00DD420F">
      <w:pPr>
        <w:pStyle w:val="CM195"/>
        <w:spacing w:after="353"/>
        <w:rPr>
          <w:rFonts w:ascii="DIN" w:hAnsi="DIN" w:cs="DIN"/>
          <w:color w:val="000000"/>
          <w:sz w:val="15"/>
          <w:szCs w:val="15"/>
        </w:rPr>
      </w:pPr>
      <w:r>
        <w:rPr>
          <w:rFonts w:ascii="DIN" w:hAnsi="DIN" w:cs="DIN"/>
          <w:noProof/>
          <w:color w:val="000000"/>
          <w:sz w:val="17"/>
          <w:szCs w:val="17"/>
        </w:rPr>
        <w:drawing>
          <wp:inline distT="0" distB="0" distL="0" distR="0" wp14:anchorId="25B2EF66" wp14:editId="5C96EF60">
            <wp:extent cx="318135" cy="227330"/>
            <wp:effectExtent l="0" t="0" r="12065" b="127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318135" cy="227330"/>
                    </a:xfrm>
                    <a:prstGeom prst="rect">
                      <a:avLst/>
                    </a:prstGeom>
                    <a:noFill/>
                    <a:ln>
                      <a:noFill/>
                    </a:ln>
                  </pic:spPr>
                </pic:pic>
              </a:graphicData>
            </a:graphic>
          </wp:inline>
        </w:drawing>
      </w:r>
      <w:r w:rsidR="00A450E1">
        <w:rPr>
          <w:rFonts w:ascii="DIN" w:hAnsi="DIN" w:cs="DIN"/>
          <w:color w:val="000000"/>
          <w:sz w:val="15"/>
          <w:szCs w:val="15"/>
        </w:rPr>
        <w:t xml:space="preserve">International Association </w:t>
      </w:r>
    </w:p>
    <w:p w14:paraId="405BDF10" w14:textId="77777777" w:rsidR="00541A14" w:rsidRDefault="00A450E1">
      <w:pPr>
        <w:pStyle w:val="CM162"/>
        <w:spacing w:after="552"/>
        <w:ind w:left="1567"/>
        <w:rPr>
          <w:rFonts w:ascii="DIN" w:hAnsi="DIN" w:cs="DIN"/>
          <w:color w:val="000000"/>
          <w:sz w:val="15"/>
          <w:szCs w:val="15"/>
        </w:rPr>
      </w:pPr>
      <w:r>
        <w:rPr>
          <w:rFonts w:ascii="DIN" w:hAnsi="DIN" w:cs="DIN"/>
          <w:color w:val="000000"/>
          <w:sz w:val="15"/>
          <w:szCs w:val="15"/>
        </w:rPr>
        <w:t xml:space="preserve">of Marine Aids to Navigation and Lighthouse Authorities </w:t>
      </w:r>
    </w:p>
    <w:p w14:paraId="1F894AAC" w14:textId="77777777" w:rsidR="00541A14" w:rsidRDefault="00DD420F">
      <w:pPr>
        <w:pStyle w:val="Default"/>
        <w:framePr w:w="10739" w:wrap="auto" w:vAnchor="page" w:hAnchor="page" w:x="1434" w:y="16318"/>
        <w:rPr>
          <w:rFonts w:ascii="DIN" w:hAnsi="DIN" w:cs="DIN"/>
          <w:sz w:val="15"/>
          <w:szCs w:val="15"/>
        </w:rPr>
      </w:pPr>
      <w:r>
        <w:rPr>
          <w:rFonts w:ascii="DIN" w:hAnsi="DIN" w:cs="DIN"/>
          <w:noProof/>
          <w:sz w:val="15"/>
          <w:szCs w:val="15"/>
        </w:rPr>
        <w:drawing>
          <wp:inline distT="0" distB="0" distL="0" distR="0" wp14:anchorId="256A0F1E" wp14:editId="70D2B22F">
            <wp:extent cx="7542530" cy="391795"/>
            <wp:effectExtent l="0" t="0" r="127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71026480" w14:textId="77777777" w:rsidR="00541A14" w:rsidRDefault="00A450E1">
      <w:pPr>
        <w:pStyle w:val="CM172"/>
        <w:pageBreakBefore/>
        <w:spacing w:after="202" w:line="251" w:lineRule="atLeast"/>
        <w:jc w:val="both"/>
        <w:rPr>
          <w:rFonts w:ascii="DIN" w:hAnsi="DIN" w:cs="DIN"/>
          <w:color w:val="000000"/>
          <w:sz w:val="18"/>
          <w:szCs w:val="18"/>
        </w:rPr>
      </w:pPr>
      <w:r>
        <w:rPr>
          <w:rFonts w:ascii="DIN" w:hAnsi="DIN" w:cs="DIN"/>
          <w:color w:val="000000"/>
          <w:sz w:val="18"/>
          <w:szCs w:val="18"/>
        </w:rPr>
        <w:t xml:space="preserve">The characters used for Cardinal marks will be seen to be as follows: </w:t>
      </w:r>
    </w:p>
    <w:p w14:paraId="03D66F4D" w14:textId="77777777" w:rsidR="00541A14" w:rsidRDefault="00DD420F">
      <w:pPr>
        <w:pStyle w:val="CM57"/>
        <w:jc w:val="both"/>
        <w:rPr>
          <w:rFonts w:ascii="DIN" w:hAnsi="DIN" w:cs="DIN"/>
          <w:color w:val="EC1B22"/>
          <w:sz w:val="18"/>
          <w:szCs w:val="18"/>
        </w:rPr>
      </w:pPr>
      <w:r>
        <w:rPr>
          <w:rFonts w:ascii="DIN" w:hAnsi="DIN" w:cs="DIN"/>
          <w:noProof/>
          <w:color w:val="000000"/>
          <w:sz w:val="18"/>
          <w:szCs w:val="18"/>
        </w:rPr>
        <w:drawing>
          <wp:inline distT="0" distB="0" distL="0" distR="0" wp14:anchorId="5E0AAF6E" wp14:editId="5AF900A0">
            <wp:extent cx="73660" cy="73660"/>
            <wp:effectExtent l="0" t="0" r="2540" b="254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73660" cy="73660"/>
                    </a:xfrm>
                    <a:prstGeom prst="rect">
                      <a:avLst/>
                    </a:prstGeom>
                    <a:noFill/>
                    <a:ln>
                      <a:noFill/>
                    </a:ln>
                  </pic:spPr>
                </pic:pic>
              </a:graphicData>
            </a:graphic>
          </wp:inline>
        </w:drawing>
      </w:r>
      <w:r w:rsidR="00A450E1">
        <w:rPr>
          <w:rFonts w:ascii="DIN" w:hAnsi="DIN" w:cs="DIN"/>
          <w:b/>
          <w:bCs/>
          <w:color w:val="EC1B22"/>
          <w:sz w:val="18"/>
          <w:szCs w:val="18"/>
        </w:rPr>
        <w:t xml:space="preserve">North: </w:t>
      </w:r>
    </w:p>
    <w:p w14:paraId="5478868F" w14:textId="77777777" w:rsidR="00541A14" w:rsidRDefault="00A450E1">
      <w:pPr>
        <w:pStyle w:val="CM146"/>
        <w:ind w:left="372"/>
        <w:jc w:val="both"/>
        <w:rPr>
          <w:rFonts w:ascii="DIN" w:hAnsi="DIN" w:cs="DIN"/>
          <w:color w:val="000000"/>
          <w:sz w:val="18"/>
          <w:szCs w:val="18"/>
        </w:rPr>
      </w:pPr>
      <w:r>
        <w:rPr>
          <w:rFonts w:ascii="DIN" w:hAnsi="DIN" w:cs="DIN"/>
          <w:color w:val="000000"/>
          <w:sz w:val="18"/>
          <w:szCs w:val="18"/>
        </w:rPr>
        <w:t xml:space="preserve">Continuous very quick flashing or quick flashing; </w:t>
      </w:r>
    </w:p>
    <w:p w14:paraId="2ECEEE86" w14:textId="77777777" w:rsidR="00541A14" w:rsidRDefault="00DD420F">
      <w:pPr>
        <w:pStyle w:val="CM57"/>
        <w:jc w:val="both"/>
        <w:rPr>
          <w:rFonts w:ascii="DIN" w:hAnsi="DIN" w:cs="DIN"/>
          <w:color w:val="EC1B22"/>
          <w:sz w:val="18"/>
          <w:szCs w:val="18"/>
        </w:rPr>
      </w:pPr>
      <w:r>
        <w:rPr>
          <w:rFonts w:ascii="DIN" w:hAnsi="DIN" w:cs="DIN"/>
          <w:noProof/>
          <w:color w:val="000000"/>
          <w:sz w:val="18"/>
          <w:szCs w:val="18"/>
        </w:rPr>
        <w:drawing>
          <wp:inline distT="0" distB="0" distL="0" distR="0" wp14:anchorId="1D99E905" wp14:editId="348D3810">
            <wp:extent cx="73660" cy="62230"/>
            <wp:effectExtent l="0" t="0" r="254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73660" cy="62230"/>
                    </a:xfrm>
                    <a:prstGeom prst="rect">
                      <a:avLst/>
                    </a:prstGeom>
                    <a:noFill/>
                    <a:ln>
                      <a:noFill/>
                    </a:ln>
                  </pic:spPr>
                </pic:pic>
              </a:graphicData>
            </a:graphic>
          </wp:inline>
        </w:drawing>
      </w:r>
      <w:r w:rsidR="00A450E1">
        <w:rPr>
          <w:rFonts w:ascii="DIN" w:hAnsi="DIN" w:cs="DIN"/>
          <w:b/>
          <w:bCs/>
          <w:color w:val="EC1B22"/>
          <w:sz w:val="18"/>
          <w:szCs w:val="18"/>
        </w:rPr>
        <w:t xml:space="preserve">East: </w:t>
      </w:r>
    </w:p>
    <w:p w14:paraId="53A14499" w14:textId="77777777" w:rsidR="00541A14" w:rsidRDefault="00A450E1">
      <w:pPr>
        <w:pStyle w:val="CM146"/>
        <w:ind w:left="372"/>
        <w:jc w:val="both"/>
        <w:rPr>
          <w:rFonts w:ascii="DIN" w:hAnsi="DIN" w:cs="DIN"/>
          <w:color w:val="000000"/>
          <w:sz w:val="18"/>
          <w:szCs w:val="18"/>
        </w:rPr>
      </w:pPr>
      <w:r>
        <w:rPr>
          <w:rFonts w:ascii="DIN" w:hAnsi="DIN" w:cs="DIN"/>
          <w:color w:val="000000"/>
          <w:sz w:val="18"/>
          <w:szCs w:val="18"/>
        </w:rPr>
        <w:t xml:space="preserve">Three “very quick” or “quick” flashes followed by darkness; </w:t>
      </w:r>
    </w:p>
    <w:p w14:paraId="6CD18B14" w14:textId="77777777" w:rsidR="00541A14" w:rsidRDefault="00DD420F">
      <w:pPr>
        <w:pStyle w:val="CM57"/>
        <w:jc w:val="both"/>
        <w:rPr>
          <w:rFonts w:ascii="DIN" w:hAnsi="DIN" w:cs="DIN"/>
          <w:color w:val="EC1B22"/>
          <w:sz w:val="18"/>
          <w:szCs w:val="18"/>
        </w:rPr>
      </w:pPr>
      <w:r>
        <w:rPr>
          <w:rFonts w:ascii="DIN" w:hAnsi="DIN" w:cs="DIN"/>
          <w:noProof/>
          <w:color w:val="000000"/>
          <w:sz w:val="18"/>
          <w:szCs w:val="18"/>
        </w:rPr>
        <w:drawing>
          <wp:inline distT="0" distB="0" distL="0" distR="0" wp14:anchorId="28AC9016" wp14:editId="7F206066">
            <wp:extent cx="73660" cy="73660"/>
            <wp:effectExtent l="0" t="0" r="2540" b="254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73660" cy="73660"/>
                    </a:xfrm>
                    <a:prstGeom prst="rect">
                      <a:avLst/>
                    </a:prstGeom>
                    <a:noFill/>
                    <a:ln>
                      <a:noFill/>
                    </a:ln>
                  </pic:spPr>
                </pic:pic>
              </a:graphicData>
            </a:graphic>
          </wp:inline>
        </w:drawing>
      </w:r>
      <w:r w:rsidR="00A450E1">
        <w:rPr>
          <w:rFonts w:ascii="DIN" w:hAnsi="DIN" w:cs="DIN"/>
          <w:b/>
          <w:bCs/>
          <w:color w:val="EC1B22"/>
          <w:sz w:val="18"/>
          <w:szCs w:val="18"/>
        </w:rPr>
        <w:t xml:space="preserve">South: </w:t>
      </w:r>
    </w:p>
    <w:p w14:paraId="3DD174E1" w14:textId="77777777" w:rsidR="00541A14" w:rsidRDefault="00A450E1">
      <w:pPr>
        <w:pStyle w:val="CM146"/>
        <w:ind w:left="372"/>
        <w:jc w:val="both"/>
        <w:rPr>
          <w:rFonts w:ascii="DIN" w:hAnsi="DIN" w:cs="DIN"/>
          <w:color w:val="000000"/>
          <w:sz w:val="18"/>
          <w:szCs w:val="18"/>
        </w:rPr>
      </w:pPr>
      <w:r>
        <w:rPr>
          <w:rFonts w:ascii="DIN" w:hAnsi="DIN" w:cs="DIN"/>
          <w:color w:val="000000"/>
          <w:sz w:val="18"/>
          <w:szCs w:val="18"/>
        </w:rPr>
        <w:t xml:space="preserve">Six “very quick” or “quick” flashes followed immediately by a long flash, then darkness; </w:t>
      </w:r>
    </w:p>
    <w:p w14:paraId="277DA3E5" w14:textId="77777777" w:rsidR="00541A14" w:rsidRDefault="00DD420F">
      <w:pPr>
        <w:pStyle w:val="CM57"/>
        <w:jc w:val="both"/>
        <w:rPr>
          <w:rFonts w:ascii="DIN" w:hAnsi="DIN" w:cs="DIN"/>
          <w:color w:val="EC1B22"/>
          <w:sz w:val="18"/>
          <w:szCs w:val="18"/>
        </w:rPr>
      </w:pPr>
      <w:r>
        <w:rPr>
          <w:rFonts w:ascii="DIN" w:hAnsi="DIN" w:cs="DIN"/>
          <w:noProof/>
          <w:color w:val="000000"/>
          <w:sz w:val="18"/>
          <w:szCs w:val="18"/>
        </w:rPr>
        <w:drawing>
          <wp:inline distT="0" distB="0" distL="0" distR="0" wp14:anchorId="181F230A" wp14:editId="7D900561">
            <wp:extent cx="73660" cy="62230"/>
            <wp:effectExtent l="0" t="0" r="254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73660" cy="62230"/>
                    </a:xfrm>
                    <a:prstGeom prst="rect">
                      <a:avLst/>
                    </a:prstGeom>
                    <a:noFill/>
                    <a:ln>
                      <a:noFill/>
                    </a:ln>
                  </pic:spPr>
                </pic:pic>
              </a:graphicData>
            </a:graphic>
          </wp:inline>
        </w:drawing>
      </w:r>
      <w:r w:rsidR="00A450E1">
        <w:rPr>
          <w:rFonts w:ascii="DIN" w:hAnsi="DIN" w:cs="DIN"/>
          <w:b/>
          <w:bCs/>
          <w:color w:val="EC1B22"/>
          <w:sz w:val="18"/>
          <w:szCs w:val="18"/>
        </w:rPr>
        <w:t xml:space="preserve">West: </w:t>
      </w:r>
    </w:p>
    <w:p w14:paraId="1A055EF6" w14:textId="77777777" w:rsidR="00541A14" w:rsidRDefault="00A450E1">
      <w:pPr>
        <w:pStyle w:val="CM172"/>
        <w:spacing w:after="202" w:line="246" w:lineRule="atLeast"/>
        <w:ind w:left="372"/>
        <w:jc w:val="both"/>
        <w:rPr>
          <w:rFonts w:ascii="DIN" w:hAnsi="DIN" w:cs="DIN"/>
          <w:color w:val="000000"/>
          <w:sz w:val="18"/>
          <w:szCs w:val="18"/>
        </w:rPr>
      </w:pPr>
      <w:r>
        <w:rPr>
          <w:rFonts w:ascii="DIN" w:hAnsi="DIN" w:cs="DIN"/>
          <w:color w:val="000000"/>
          <w:sz w:val="18"/>
          <w:szCs w:val="18"/>
        </w:rPr>
        <w:t xml:space="preserve">Nine “very quick” or “quick” flashes followed by darkness. </w:t>
      </w:r>
    </w:p>
    <w:p w14:paraId="5B18C3E1" w14:textId="77777777" w:rsidR="00541A14" w:rsidRDefault="00A450E1">
      <w:pPr>
        <w:pStyle w:val="CM172"/>
        <w:spacing w:after="202" w:line="251" w:lineRule="atLeast"/>
        <w:jc w:val="both"/>
        <w:rPr>
          <w:rFonts w:ascii="DIN" w:hAnsi="DIN" w:cs="DIN"/>
          <w:color w:val="000000"/>
          <w:sz w:val="18"/>
          <w:szCs w:val="18"/>
        </w:rPr>
      </w:pPr>
      <w:r>
        <w:rPr>
          <w:rFonts w:ascii="DIN" w:hAnsi="DIN" w:cs="DIN"/>
          <w:color w:val="000000"/>
          <w:sz w:val="18"/>
          <w:szCs w:val="18"/>
        </w:rPr>
        <w:t xml:space="preserve">The concept of three, six, nine is easily remembered when one associates it with a clock face. The long flash, defined as a light appearance of not less than 2 seconds, is merely a device to ensure that three or nine “very quick” or “quick” flashes cannot be mistaken for six. </w:t>
      </w:r>
    </w:p>
    <w:p w14:paraId="601F77A3" w14:textId="77777777" w:rsidR="00541A14" w:rsidRDefault="00A450E1">
      <w:pPr>
        <w:pStyle w:val="CM175"/>
        <w:spacing w:after="267" w:line="251" w:lineRule="atLeast"/>
        <w:jc w:val="both"/>
        <w:rPr>
          <w:rFonts w:ascii="DIN" w:hAnsi="DIN" w:cs="DIN"/>
          <w:color w:val="000000"/>
          <w:sz w:val="18"/>
          <w:szCs w:val="18"/>
        </w:rPr>
      </w:pPr>
      <w:r>
        <w:rPr>
          <w:rFonts w:ascii="DIN" w:hAnsi="DIN" w:cs="DIN"/>
          <w:color w:val="000000"/>
          <w:sz w:val="18"/>
          <w:szCs w:val="18"/>
        </w:rPr>
        <w:t xml:space="preserve">It will be observed that two other marks use white lights; Isolated Danger marks and Safe Water marks. Each has a distinctive light rhythm that cannot be confused with the very quick or quick flashing light of the Cardinal marks. </w:t>
      </w:r>
    </w:p>
    <w:p w14:paraId="323D8D72" w14:textId="77777777" w:rsidR="00541A14" w:rsidRDefault="00A450E1">
      <w:pPr>
        <w:pStyle w:val="CM172"/>
        <w:spacing w:after="202"/>
        <w:jc w:val="both"/>
        <w:rPr>
          <w:rFonts w:ascii="DIN" w:hAnsi="DIN" w:cs="DIN"/>
          <w:color w:val="EC1B22"/>
          <w:sz w:val="22"/>
          <w:szCs w:val="22"/>
        </w:rPr>
      </w:pPr>
      <w:r>
        <w:rPr>
          <w:rFonts w:ascii="DIN" w:hAnsi="DIN" w:cs="DIN"/>
          <w:b/>
          <w:bCs/>
          <w:color w:val="EC1B22"/>
          <w:sz w:val="22"/>
          <w:szCs w:val="22"/>
        </w:rPr>
        <w:t xml:space="preserve">ISOLATED DANGER MARKS </w:t>
      </w:r>
    </w:p>
    <w:p w14:paraId="7E681119" w14:textId="77777777" w:rsidR="00541A14" w:rsidRDefault="00A450E1">
      <w:pPr>
        <w:pStyle w:val="CM175"/>
        <w:spacing w:after="267" w:line="251" w:lineRule="atLeast"/>
        <w:jc w:val="both"/>
        <w:rPr>
          <w:rFonts w:ascii="DIN" w:hAnsi="DIN" w:cs="DIN"/>
          <w:color w:val="000000"/>
          <w:sz w:val="18"/>
          <w:szCs w:val="18"/>
        </w:rPr>
      </w:pPr>
      <w:r>
        <w:rPr>
          <w:rFonts w:ascii="DIN" w:hAnsi="DIN" w:cs="DIN"/>
          <w:color w:val="000000"/>
          <w:sz w:val="18"/>
          <w:szCs w:val="18"/>
        </w:rPr>
        <w:t xml:space="preserve">The Isolated Danger mark is placed on, or near to a danger that has navigable water all around it. Because the extent of the danger and the safe passing distance cannot be specified for all circumstances in which this mark may be used, the mariner shall consult the chart and nautical publications for guidance. Isolated Danger Marks are black with one or more broad horizontal red bands. Distinctive double black spherical top-marks and Group flashing (2) white lights, serve to distinguish Isolated Danger marks from Cardinal marks. </w:t>
      </w:r>
    </w:p>
    <w:p w14:paraId="7964DF3E" w14:textId="77777777" w:rsidR="00541A14" w:rsidRDefault="00A450E1">
      <w:pPr>
        <w:pStyle w:val="CM172"/>
        <w:spacing w:after="202"/>
        <w:jc w:val="both"/>
        <w:rPr>
          <w:rFonts w:ascii="DIN" w:hAnsi="DIN" w:cs="DIN"/>
          <w:color w:val="EC1B22"/>
          <w:sz w:val="22"/>
          <w:szCs w:val="22"/>
        </w:rPr>
      </w:pPr>
      <w:r>
        <w:rPr>
          <w:rFonts w:ascii="DIN" w:hAnsi="DIN" w:cs="DIN"/>
          <w:b/>
          <w:bCs/>
          <w:color w:val="EC1B22"/>
          <w:sz w:val="22"/>
          <w:szCs w:val="22"/>
        </w:rPr>
        <w:t xml:space="preserve">SAFE WATER MARKS </w:t>
      </w:r>
    </w:p>
    <w:p w14:paraId="2DD554C5" w14:textId="77777777" w:rsidR="00541A14" w:rsidRDefault="00A450E1">
      <w:pPr>
        <w:pStyle w:val="CM172"/>
        <w:spacing w:after="202" w:line="251" w:lineRule="atLeast"/>
        <w:jc w:val="both"/>
        <w:rPr>
          <w:rFonts w:ascii="DIN" w:hAnsi="DIN" w:cs="DIN"/>
          <w:color w:val="000000"/>
          <w:sz w:val="18"/>
          <w:szCs w:val="18"/>
        </w:rPr>
      </w:pPr>
      <w:r>
        <w:rPr>
          <w:rFonts w:ascii="DIN" w:hAnsi="DIN" w:cs="DIN"/>
          <w:color w:val="000000"/>
          <w:sz w:val="18"/>
          <w:szCs w:val="18"/>
        </w:rPr>
        <w:t xml:space="preserve">The Safe Water mark has navigable water all around it, but does not mark a danger. Safe Water marks can be used, for example, as fairway, mid-channel or landfall marks. </w:t>
      </w:r>
    </w:p>
    <w:p w14:paraId="6C21DE28" w14:textId="77777777" w:rsidR="00541A14" w:rsidRDefault="00A450E1">
      <w:pPr>
        <w:pStyle w:val="CM57"/>
        <w:jc w:val="both"/>
        <w:rPr>
          <w:rFonts w:ascii="DIN" w:hAnsi="DIN" w:cs="DIN"/>
          <w:color w:val="000000"/>
          <w:sz w:val="7"/>
          <w:szCs w:val="7"/>
        </w:rPr>
      </w:pPr>
      <w:r>
        <w:rPr>
          <w:rFonts w:ascii="DIN" w:hAnsi="DIN" w:cs="DIN"/>
          <w:color w:val="000000"/>
          <w:sz w:val="18"/>
          <w:szCs w:val="18"/>
        </w:rPr>
        <w:t>Safe Water marks have an appearance different from danger marking buoys. They are spherical, or alternatively pillar or spar with red and white vertical stripes and a single red spherical top-mark. Their lights, if any, are white using isophase, occulting, one long flash or Morse “A” (</w:t>
      </w:r>
      <w:r>
        <w:rPr>
          <w:rFonts w:ascii="DIN" w:hAnsi="DIN" w:cs="DIN"/>
          <w:color w:val="000000"/>
          <w:sz w:val="7"/>
          <w:szCs w:val="7"/>
        </w:rPr>
        <w:t xml:space="preserve">● -) rhythms. </w:t>
      </w:r>
    </w:p>
    <w:p w14:paraId="6A54A781" w14:textId="77777777" w:rsidR="00541A14" w:rsidRDefault="00A450E1">
      <w:pPr>
        <w:pStyle w:val="CM172"/>
        <w:spacing w:after="202"/>
        <w:ind w:left="55"/>
        <w:jc w:val="both"/>
        <w:rPr>
          <w:rFonts w:ascii="DIN" w:hAnsi="DIN" w:cs="DIN"/>
          <w:color w:val="EC1B22"/>
          <w:sz w:val="22"/>
          <w:szCs w:val="22"/>
        </w:rPr>
      </w:pPr>
      <w:r>
        <w:rPr>
          <w:rFonts w:ascii="DIN" w:hAnsi="DIN" w:cs="DIN"/>
          <w:b/>
          <w:bCs/>
          <w:color w:val="EC1B22"/>
          <w:sz w:val="22"/>
          <w:szCs w:val="22"/>
        </w:rPr>
        <w:t xml:space="preserve">SPECIAL MARKS </w:t>
      </w:r>
    </w:p>
    <w:p w14:paraId="4CAAED2F" w14:textId="77777777" w:rsidR="00541A14" w:rsidRDefault="00A450E1">
      <w:pPr>
        <w:pStyle w:val="CM185"/>
        <w:spacing w:after="140" w:line="251" w:lineRule="atLeast"/>
        <w:jc w:val="both"/>
        <w:rPr>
          <w:rFonts w:ascii="DIN" w:hAnsi="DIN" w:cs="DIN"/>
          <w:color w:val="000000"/>
          <w:sz w:val="18"/>
          <w:szCs w:val="18"/>
        </w:rPr>
      </w:pPr>
      <w:r>
        <w:rPr>
          <w:rFonts w:ascii="DIN" w:hAnsi="DIN" w:cs="DIN"/>
          <w:color w:val="000000"/>
          <w:sz w:val="18"/>
          <w:szCs w:val="18"/>
        </w:rPr>
        <w:t xml:space="preserve">Special marks are used to indicate a special area or feature whose nature may be apparent from reference to a chart or other nautical publication. They are not generally intended to mark channels or </w:t>
      </w:r>
    </w:p>
    <w:p w14:paraId="5459FE70"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96128" behindDoc="0" locked="0" layoutInCell="0" allowOverlap="1" wp14:anchorId="192B56C6" wp14:editId="2EAC9936">
                <wp:simplePos x="0" y="0"/>
                <wp:positionH relativeFrom="page">
                  <wp:posOffset>3809365</wp:posOffset>
                </wp:positionH>
                <wp:positionV relativeFrom="page">
                  <wp:posOffset>2625090</wp:posOffset>
                </wp:positionV>
                <wp:extent cx="3241675" cy="721995"/>
                <wp:effectExtent l="0" t="0" r="0" b="0"/>
                <wp:wrapThrough wrapText="bothSides">
                  <wp:wrapPolygon edited="0">
                    <wp:start x="0" y="0"/>
                    <wp:lineTo x="21600" y="0"/>
                    <wp:lineTo x="21600" y="21600"/>
                    <wp:lineTo x="0" y="21600"/>
                    <wp:lineTo x="0" y="0"/>
                  </wp:wrapPolygon>
                </wp:wrapThrough>
                <wp:docPr id="51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1675" cy="721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120"/>
                              <w:gridCol w:w="647"/>
                              <w:gridCol w:w="418"/>
                              <w:gridCol w:w="502"/>
                              <w:gridCol w:w="840"/>
                              <w:gridCol w:w="735"/>
                            </w:tblGrid>
                            <w:tr w:rsidR="00541A14" w14:paraId="7F010877" w14:textId="77777777">
                              <w:trPr>
                                <w:trHeight w:val="106"/>
                              </w:trPr>
                              <w:tc>
                                <w:tcPr>
                                  <w:tcW w:w="1120" w:type="dxa"/>
                                </w:tcPr>
                                <w:p w14:paraId="38802F82" w14:textId="77777777" w:rsidR="00541A14" w:rsidRDefault="00A450E1">
                                  <w:pPr>
                                    <w:pStyle w:val="Default"/>
                                    <w:rPr>
                                      <w:rFonts w:ascii="DIN" w:hAnsi="DIN" w:cs="DIN"/>
                                      <w:sz w:val="18"/>
                                      <w:szCs w:val="18"/>
                                    </w:rPr>
                                  </w:pPr>
                                  <w:r>
                                    <w:rPr>
                                      <w:rFonts w:ascii="DIN" w:hAnsi="DIN" w:cs="DIN"/>
                                      <w:sz w:val="18"/>
                                      <w:szCs w:val="18"/>
                                    </w:rPr>
                                    <w:t xml:space="preserve">obstructions </w:t>
                                  </w:r>
                                </w:p>
                              </w:tc>
                              <w:tc>
                                <w:tcPr>
                                  <w:tcW w:w="647" w:type="dxa"/>
                                </w:tcPr>
                                <w:p w14:paraId="28AB6C30" w14:textId="77777777" w:rsidR="00541A14" w:rsidRDefault="00A450E1">
                                  <w:pPr>
                                    <w:pStyle w:val="Default"/>
                                    <w:rPr>
                                      <w:rFonts w:ascii="DIN" w:hAnsi="DIN" w:cs="DIN"/>
                                      <w:sz w:val="18"/>
                                      <w:szCs w:val="18"/>
                                    </w:rPr>
                                  </w:pPr>
                                  <w:r>
                                    <w:rPr>
                                      <w:rFonts w:ascii="DIN" w:hAnsi="DIN" w:cs="DIN"/>
                                      <w:sz w:val="18"/>
                                      <w:szCs w:val="18"/>
                                    </w:rPr>
                                    <w:t xml:space="preserve">where </w:t>
                                  </w:r>
                                </w:p>
                              </w:tc>
                              <w:tc>
                                <w:tcPr>
                                  <w:tcW w:w="415" w:type="dxa"/>
                                </w:tcPr>
                                <w:p w14:paraId="53623EBC" w14:textId="77777777" w:rsidR="00541A14" w:rsidRDefault="00A450E1">
                                  <w:pPr>
                                    <w:pStyle w:val="Default"/>
                                    <w:jc w:val="center"/>
                                    <w:rPr>
                                      <w:rFonts w:ascii="DIN" w:hAnsi="DIN" w:cs="DIN"/>
                                      <w:sz w:val="18"/>
                                      <w:szCs w:val="18"/>
                                    </w:rPr>
                                  </w:pPr>
                                  <w:r>
                                    <w:rPr>
                                      <w:rFonts w:ascii="DIN" w:hAnsi="DIN" w:cs="DIN"/>
                                      <w:sz w:val="18"/>
                                      <w:szCs w:val="18"/>
                                    </w:rPr>
                                    <w:t xml:space="preserve">the </w:t>
                                  </w:r>
                                </w:p>
                              </w:tc>
                              <w:tc>
                                <w:tcPr>
                                  <w:tcW w:w="502" w:type="dxa"/>
                                </w:tcPr>
                                <w:p w14:paraId="7B0D8F34" w14:textId="77777777" w:rsidR="00541A14" w:rsidRDefault="00A450E1">
                                  <w:pPr>
                                    <w:pStyle w:val="Default"/>
                                    <w:rPr>
                                      <w:rFonts w:ascii="DIN" w:hAnsi="DIN" w:cs="DIN"/>
                                      <w:sz w:val="18"/>
                                      <w:szCs w:val="18"/>
                                    </w:rPr>
                                  </w:pPr>
                                  <w:r>
                                    <w:rPr>
                                      <w:rFonts w:ascii="DIN" w:hAnsi="DIN" w:cs="DIN"/>
                                      <w:sz w:val="18"/>
                                      <w:szCs w:val="18"/>
                                    </w:rPr>
                                    <w:t xml:space="preserve">MBS </w:t>
                                  </w:r>
                                </w:p>
                              </w:tc>
                              <w:tc>
                                <w:tcPr>
                                  <w:tcW w:w="840" w:type="dxa"/>
                                </w:tcPr>
                                <w:p w14:paraId="523BC715" w14:textId="77777777" w:rsidR="00541A14" w:rsidRDefault="00A450E1">
                                  <w:pPr>
                                    <w:pStyle w:val="Default"/>
                                    <w:rPr>
                                      <w:rFonts w:ascii="DIN" w:hAnsi="DIN" w:cs="DIN"/>
                                      <w:sz w:val="18"/>
                                      <w:szCs w:val="18"/>
                                    </w:rPr>
                                  </w:pPr>
                                  <w:r>
                                    <w:rPr>
                                      <w:rFonts w:ascii="DIN" w:hAnsi="DIN" w:cs="DIN"/>
                                      <w:sz w:val="18"/>
                                      <w:szCs w:val="18"/>
                                    </w:rPr>
                                    <w:t xml:space="preserve">provides </w:t>
                                  </w:r>
                                </w:p>
                              </w:tc>
                              <w:tc>
                                <w:tcPr>
                                  <w:tcW w:w="735" w:type="dxa"/>
                                </w:tcPr>
                                <w:p w14:paraId="5A5160F2" w14:textId="77777777" w:rsidR="00541A14" w:rsidRDefault="00A450E1">
                                  <w:pPr>
                                    <w:pStyle w:val="Default"/>
                                    <w:jc w:val="right"/>
                                    <w:rPr>
                                      <w:rFonts w:ascii="DIN" w:hAnsi="DIN" w:cs="DIN"/>
                                      <w:sz w:val="18"/>
                                      <w:szCs w:val="18"/>
                                    </w:rPr>
                                  </w:pPr>
                                  <w:r>
                                    <w:rPr>
                                      <w:rFonts w:ascii="DIN" w:hAnsi="DIN" w:cs="DIN"/>
                                      <w:sz w:val="18"/>
                                      <w:szCs w:val="18"/>
                                    </w:rPr>
                                    <w:t xml:space="preserve">suitable </w:t>
                                  </w:r>
                                </w:p>
                              </w:tc>
                            </w:tr>
                            <w:tr w:rsidR="00541A14" w14:paraId="12FB6827" w14:textId="77777777">
                              <w:trPr>
                                <w:trHeight w:val="172"/>
                              </w:trPr>
                              <w:tc>
                                <w:tcPr>
                                  <w:tcW w:w="1120" w:type="dxa"/>
                                </w:tcPr>
                                <w:p w14:paraId="65AEB44A" w14:textId="77777777" w:rsidR="00541A14" w:rsidRDefault="00A450E1">
                                  <w:pPr>
                                    <w:pStyle w:val="Default"/>
                                    <w:rPr>
                                      <w:rFonts w:ascii="DIN" w:hAnsi="DIN" w:cs="DIN"/>
                                      <w:sz w:val="18"/>
                                      <w:szCs w:val="18"/>
                                    </w:rPr>
                                  </w:pPr>
                                  <w:r>
                                    <w:rPr>
                                      <w:rFonts w:ascii="DIN" w:hAnsi="DIN" w:cs="DIN"/>
                                      <w:sz w:val="18"/>
                                      <w:szCs w:val="18"/>
                                    </w:rPr>
                                    <w:t xml:space="preserve">alternatives. </w:t>
                                  </w:r>
                                </w:p>
                              </w:tc>
                              <w:tc>
                                <w:tcPr>
                                  <w:tcW w:w="647" w:type="dxa"/>
                                </w:tcPr>
                                <w:p w14:paraId="7A476CD8" w14:textId="77777777" w:rsidR="00541A14" w:rsidRDefault="00541A14">
                                  <w:pPr>
                                    <w:pStyle w:val="Default"/>
                                    <w:rPr>
                                      <w:rFonts w:cs="Times New Roman"/>
                                      <w:color w:val="auto"/>
                                    </w:rPr>
                                  </w:pPr>
                                </w:p>
                              </w:tc>
                              <w:tc>
                                <w:tcPr>
                                  <w:tcW w:w="415" w:type="dxa"/>
                                </w:tcPr>
                                <w:p w14:paraId="2127A53D" w14:textId="77777777" w:rsidR="00541A14" w:rsidRDefault="00541A14">
                                  <w:pPr>
                                    <w:pStyle w:val="Default"/>
                                    <w:jc w:val="center"/>
                                    <w:rPr>
                                      <w:rFonts w:cs="Times New Roman"/>
                                      <w:color w:val="auto"/>
                                    </w:rPr>
                                  </w:pPr>
                                </w:p>
                              </w:tc>
                              <w:tc>
                                <w:tcPr>
                                  <w:tcW w:w="502" w:type="dxa"/>
                                </w:tcPr>
                                <w:p w14:paraId="08FAD7ED" w14:textId="77777777" w:rsidR="00541A14" w:rsidRDefault="00541A14">
                                  <w:pPr>
                                    <w:pStyle w:val="Default"/>
                                    <w:rPr>
                                      <w:rFonts w:cs="Times New Roman"/>
                                      <w:color w:val="auto"/>
                                    </w:rPr>
                                  </w:pPr>
                                </w:p>
                              </w:tc>
                              <w:tc>
                                <w:tcPr>
                                  <w:tcW w:w="840" w:type="dxa"/>
                                </w:tcPr>
                                <w:p w14:paraId="1A3A4C82" w14:textId="77777777" w:rsidR="00541A14" w:rsidRDefault="00541A14">
                                  <w:pPr>
                                    <w:pStyle w:val="Default"/>
                                    <w:rPr>
                                      <w:rFonts w:cs="Times New Roman"/>
                                      <w:color w:val="auto"/>
                                    </w:rPr>
                                  </w:pPr>
                                </w:p>
                              </w:tc>
                              <w:tc>
                                <w:tcPr>
                                  <w:tcW w:w="735" w:type="dxa"/>
                                </w:tcPr>
                                <w:p w14:paraId="4995CD8D" w14:textId="77777777" w:rsidR="00541A14" w:rsidRDefault="00541A14">
                                  <w:pPr>
                                    <w:pStyle w:val="Default"/>
                                    <w:jc w:val="right"/>
                                    <w:rPr>
                                      <w:rFonts w:cs="Times New Roman"/>
                                      <w:color w:val="auto"/>
                                    </w:rPr>
                                  </w:pPr>
                                </w:p>
                              </w:tc>
                            </w:tr>
                            <w:tr w:rsidR="00541A14" w14:paraId="048D2FAD" w14:textId="77777777">
                              <w:trPr>
                                <w:trHeight w:val="175"/>
                              </w:trPr>
                              <w:tc>
                                <w:tcPr>
                                  <w:tcW w:w="2185" w:type="dxa"/>
                                  <w:gridSpan w:val="3"/>
                                  <w:vAlign w:val="bottom"/>
                                </w:tcPr>
                                <w:p w14:paraId="51D7500C" w14:textId="77777777" w:rsidR="00541A14" w:rsidRDefault="00A450E1">
                                  <w:pPr>
                                    <w:pStyle w:val="Default"/>
                                    <w:rPr>
                                      <w:rFonts w:ascii="DIN" w:hAnsi="DIN" w:cs="DIN"/>
                                      <w:sz w:val="18"/>
                                      <w:szCs w:val="18"/>
                                    </w:rPr>
                                  </w:pPr>
                                  <w:r>
                                    <w:rPr>
                                      <w:rFonts w:ascii="DIN" w:hAnsi="DIN" w:cs="DIN"/>
                                      <w:sz w:val="18"/>
                                      <w:szCs w:val="18"/>
                                    </w:rPr>
                                    <w:t xml:space="preserve">Special marks are yellow. </w:t>
                                  </w:r>
                                </w:p>
                              </w:tc>
                              <w:tc>
                                <w:tcPr>
                                  <w:tcW w:w="2075" w:type="dxa"/>
                                  <w:gridSpan w:val="3"/>
                                  <w:vAlign w:val="bottom"/>
                                </w:tcPr>
                                <w:p w14:paraId="4C26B8D2" w14:textId="77777777" w:rsidR="00541A14" w:rsidRDefault="00A450E1">
                                  <w:pPr>
                                    <w:pStyle w:val="Default"/>
                                    <w:rPr>
                                      <w:rFonts w:ascii="DIN" w:hAnsi="DIN" w:cs="DIN"/>
                                      <w:sz w:val="18"/>
                                      <w:szCs w:val="18"/>
                                    </w:rPr>
                                  </w:pPr>
                                  <w:r>
                                    <w:rPr>
                                      <w:rFonts w:ascii="DIN" w:hAnsi="DIN" w:cs="DIN"/>
                                      <w:sz w:val="18"/>
                                      <w:szCs w:val="18"/>
                                    </w:rPr>
                                    <w:t xml:space="preserve">They may carry a yellow </w:t>
                                  </w:r>
                                </w:p>
                              </w:tc>
                            </w:tr>
                          </w:tbl>
                          <w:p w14:paraId="4AEA3765"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63" type="#_x0000_t202" style="position:absolute;margin-left:299.95pt;margin-top:206.7pt;width:255.25pt;height:56.8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120"/>
                        <w:gridCol w:w="302"/>
                        <w:gridCol w:w="33"/>
                        <w:gridCol w:w="312"/>
                        <w:gridCol w:w="180"/>
                        <w:gridCol w:w="20"/>
                        <w:gridCol w:w="218"/>
                        <w:gridCol w:w="502"/>
                        <w:gridCol w:w="842"/>
                        <w:gridCol w:w="735"/>
                        <w:gridCol w:w="5"/>
                        <w:gridCol w:w="5"/>
                        <w:gridCol w:w="12"/>
                        <w:gridCol w:w="47"/>
                        <w:gridCol w:w="1355"/>
                        <w:gridCol w:w="10"/>
                        <w:gridCol w:w="3372"/>
                        <w:gridCol w:w="23"/>
                      </w:tblGrid>
                      <w:tr w:rsidR="00000000" w14:paraId="7F010877" w14:textId="77777777">
                        <w:tblPrEx>
                          <w:tblCellMar>
                            <w:top w:w="0" w:type="dxa"/>
                            <w:bottom w:w="0" w:type="dxa"/>
                          </w:tblCellMar>
                        </w:tblPrEx>
                        <w:trPr>
                          <w:gridAfter w:val="7"/>
                          <w:wAfter w:w="2414" w:type="dxa"/>
                          <w:trHeight w:val="106"/>
                        </w:trPr>
                        <w:tc>
                          <w:tcPr>
                            <w:tcW w:w="1120" w:type="dxa"/>
                          </w:tcPr>
                          <w:p w14:paraId="38802F82" w14:textId="77777777" w:rsidR="00000000" w:rsidRDefault="00A450E1">
                            <w:pPr>
                              <w:pStyle w:val="Default"/>
                              <w:rPr>
                                <w:rFonts w:ascii="DIN" w:hAnsi="DIN" w:cs="DIN"/>
                                <w:sz w:val="18"/>
                                <w:szCs w:val="18"/>
                              </w:rPr>
                            </w:pPr>
                            <w:r>
                              <w:rPr>
                                <w:rFonts w:ascii="DIN" w:hAnsi="DIN" w:cs="DIN"/>
                                <w:sz w:val="18"/>
                                <w:szCs w:val="18"/>
                              </w:rPr>
                              <w:t xml:space="preserve">obstructions </w:t>
                            </w:r>
                          </w:p>
                        </w:tc>
                        <w:tc>
                          <w:tcPr>
                            <w:tcW w:w="647" w:type="dxa"/>
                            <w:gridSpan w:val="3"/>
                          </w:tcPr>
                          <w:p w14:paraId="28AB6C30" w14:textId="77777777" w:rsidR="00000000" w:rsidRDefault="00A450E1">
                            <w:pPr>
                              <w:pStyle w:val="Default"/>
                              <w:rPr>
                                <w:rFonts w:ascii="DIN" w:hAnsi="DIN" w:cs="DIN"/>
                                <w:sz w:val="18"/>
                                <w:szCs w:val="18"/>
                              </w:rPr>
                            </w:pPr>
                            <w:r>
                              <w:rPr>
                                <w:rFonts w:ascii="DIN" w:hAnsi="DIN" w:cs="DIN"/>
                                <w:sz w:val="18"/>
                                <w:szCs w:val="18"/>
                              </w:rPr>
                              <w:t xml:space="preserve">where </w:t>
                            </w:r>
                          </w:p>
                        </w:tc>
                        <w:tc>
                          <w:tcPr>
                            <w:tcW w:w="415" w:type="dxa"/>
                            <w:gridSpan w:val="3"/>
                          </w:tcPr>
                          <w:p w14:paraId="53623EBC" w14:textId="77777777" w:rsidR="00000000" w:rsidRDefault="00A450E1">
                            <w:pPr>
                              <w:pStyle w:val="Default"/>
                              <w:jc w:val="center"/>
                              <w:rPr>
                                <w:rFonts w:ascii="DIN" w:hAnsi="DIN" w:cs="DIN"/>
                                <w:sz w:val="18"/>
                                <w:szCs w:val="18"/>
                              </w:rPr>
                            </w:pPr>
                            <w:r>
                              <w:rPr>
                                <w:rFonts w:ascii="DIN" w:hAnsi="DIN" w:cs="DIN"/>
                                <w:sz w:val="18"/>
                                <w:szCs w:val="18"/>
                              </w:rPr>
                              <w:t xml:space="preserve">the </w:t>
                            </w:r>
                          </w:p>
                        </w:tc>
                        <w:tc>
                          <w:tcPr>
                            <w:tcW w:w="502" w:type="dxa"/>
                          </w:tcPr>
                          <w:p w14:paraId="7B0D8F34" w14:textId="77777777" w:rsidR="00000000" w:rsidRDefault="00A450E1">
                            <w:pPr>
                              <w:pStyle w:val="Default"/>
                              <w:rPr>
                                <w:rFonts w:ascii="DIN" w:hAnsi="DIN" w:cs="DIN"/>
                                <w:sz w:val="18"/>
                                <w:szCs w:val="18"/>
                              </w:rPr>
                            </w:pPr>
                            <w:r>
                              <w:rPr>
                                <w:rFonts w:ascii="DIN" w:hAnsi="DIN" w:cs="DIN"/>
                                <w:sz w:val="18"/>
                                <w:szCs w:val="18"/>
                              </w:rPr>
                              <w:t xml:space="preserve">MBS </w:t>
                            </w:r>
                          </w:p>
                        </w:tc>
                        <w:tc>
                          <w:tcPr>
                            <w:tcW w:w="840" w:type="dxa"/>
                          </w:tcPr>
                          <w:p w14:paraId="523BC715" w14:textId="77777777" w:rsidR="00000000" w:rsidRDefault="00A450E1">
                            <w:pPr>
                              <w:pStyle w:val="Default"/>
                              <w:rPr>
                                <w:rFonts w:ascii="DIN" w:hAnsi="DIN" w:cs="DIN"/>
                                <w:sz w:val="18"/>
                                <w:szCs w:val="18"/>
                              </w:rPr>
                            </w:pPr>
                            <w:r>
                              <w:rPr>
                                <w:rFonts w:ascii="DIN" w:hAnsi="DIN" w:cs="DIN"/>
                                <w:sz w:val="18"/>
                                <w:szCs w:val="18"/>
                              </w:rPr>
                              <w:t xml:space="preserve">provides </w:t>
                            </w:r>
                          </w:p>
                        </w:tc>
                        <w:tc>
                          <w:tcPr>
                            <w:tcW w:w="735" w:type="dxa"/>
                            <w:gridSpan w:val="2"/>
                          </w:tcPr>
                          <w:p w14:paraId="5A5160F2" w14:textId="77777777" w:rsidR="00000000" w:rsidRDefault="00A450E1">
                            <w:pPr>
                              <w:pStyle w:val="Default"/>
                              <w:jc w:val="right"/>
                              <w:rPr>
                                <w:rFonts w:ascii="DIN" w:hAnsi="DIN" w:cs="DIN"/>
                                <w:sz w:val="18"/>
                                <w:szCs w:val="18"/>
                              </w:rPr>
                            </w:pPr>
                            <w:r>
                              <w:rPr>
                                <w:rFonts w:ascii="DIN" w:hAnsi="DIN" w:cs="DIN"/>
                                <w:sz w:val="18"/>
                                <w:szCs w:val="18"/>
                              </w:rPr>
                              <w:t xml:space="preserve">suitable </w:t>
                            </w:r>
                          </w:p>
                        </w:tc>
                      </w:tr>
                      <w:tr w:rsidR="00000000" w14:paraId="12FB6827" w14:textId="77777777">
                        <w:tblPrEx>
                          <w:tblCellMar>
                            <w:top w:w="0" w:type="dxa"/>
                            <w:bottom w:w="0" w:type="dxa"/>
                          </w:tblCellMar>
                        </w:tblPrEx>
                        <w:trPr>
                          <w:gridAfter w:val="7"/>
                          <w:wAfter w:w="2414" w:type="dxa"/>
                          <w:trHeight w:val="172"/>
                        </w:trPr>
                        <w:tc>
                          <w:tcPr>
                            <w:tcW w:w="1120" w:type="dxa"/>
                          </w:tcPr>
                          <w:p w14:paraId="65AEB44A" w14:textId="77777777" w:rsidR="00000000" w:rsidRDefault="00A450E1">
                            <w:pPr>
                              <w:pStyle w:val="Default"/>
                              <w:rPr>
                                <w:rFonts w:ascii="DIN" w:hAnsi="DIN" w:cs="DIN"/>
                                <w:sz w:val="18"/>
                                <w:szCs w:val="18"/>
                              </w:rPr>
                            </w:pPr>
                            <w:r>
                              <w:rPr>
                                <w:rFonts w:ascii="DIN" w:hAnsi="DIN" w:cs="DIN"/>
                                <w:sz w:val="18"/>
                                <w:szCs w:val="18"/>
                              </w:rPr>
                              <w:t xml:space="preserve">alternatives. </w:t>
                            </w:r>
                          </w:p>
                        </w:tc>
                        <w:tc>
                          <w:tcPr>
                            <w:tcW w:w="647" w:type="dxa"/>
                            <w:gridSpan w:val="3"/>
                          </w:tcPr>
                          <w:p w14:paraId="7A476CD8" w14:textId="77777777" w:rsidR="00000000" w:rsidRDefault="00A450E1">
                            <w:pPr>
                              <w:pStyle w:val="Default"/>
                              <w:rPr>
                                <w:rFonts w:cs="Times New Roman"/>
                                <w:color w:val="auto"/>
                              </w:rPr>
                            </w:pPr>
                          </w:p>
                        </w:tc>
                        <w:tc>
                          <w:tcPr>
                            <w:tcW w:w="415" w:type="dxa"/>
                            <w:gridSpan w:val="3"/>
                          </w:tcPr>
                          <w:p w14:paraId="2127A53D" w14:textId="77777777" w:rsidR="00000000" w:rsidRDefault="00A450E1">
                            <w:pPr>
                              <w:pStyle w:val="Default"/>
                              <w:jc w:val="center"/>
                              <w:rPr>
                                <w:rFonts w:cs="Times New Roman"/>
                                <w:color w:val="auto"/>
                              </w:rPr>
                            </w:pPr>
                          </w:p>
                        </w:tc>
                        <w:tc>
                          <w:tcPr>
                            <w:tcW w:w="502" w:type="dxa"/>
                          </w:tcPr>
                          <w:p w14:paraId="08FAD7ED" w14:textId="77777777" w:rsidR="00000000" w:rsidRDefault="00A450E1">
                            <w:pPr>
                              <w:pStyle w:val="Default"/>
                              <w:rPr>
                                <w:rFonts w:cs="Times New Roman"/>
                                <w:color w:val="auto"/>
                              </w:rPr>
                            </w:pPr>
                          </w:p>
                        </w:tc>
                        <w:tc>
                          <w:tcPr>
                            <w:tcW w:w="840" w:type="dxa"/>
                          </w:tcPr>
                          <w:p w14:paraId="1A3A4C82" w14:textId="77777777" w:rsidR="00000000" w:rsidRDefault="00A450E1">
                            <w:pPr>
                              <w:pStyle w:val="Default"/>
                              <w:rPr>
                                <w:rFonts w:cs="Times New Roman"/>
                                <w:color w:val="auto"/>
                              </w:rPr>
                            </w:pPr>
                          </w:p>
                        </w:tc>
                        <w:tc>
                          <w:tcPr>
                            <w:tcW w:w="735" w:type="dxa"/>
                            <w:gridSpan w:val="2"/>
                          </w:tcPr>
                          <w:p w14:paraId="4995CD8D" w14:textId="77777777" w:rsidR="00000000" w:rsidRDefault="00A450E1">
                            <w:pPr>
                              <w:pStyle w:val="Default"/>
                              <w:jc w:val="right"/>
                              <w:rPr>
                                <w:rFonts w:cs="Times New Roman"/>
                                <w:color w:val="auto"/>
                              </w:rPr>
                            </w:pPr>
                          </w:p>
                        </w:tc>
                      </w:tr>
                      <w:tr w:rsidR="00000000" w14:paraId="048D2FAD" w14:textId="77777777">
                        <w:tblPrEx>
                          <w:tblCellMar>
                            <w:top w:w="0" w:type="dxa"/>
                            <w:bottom w:w="0" w:type="dxa"/>
                          </w:tblCellMar>
                        </w:tblPrEx>
                        <w:trPr>
                          <w:gridAfter w:val="7"/>
                          <w:wAfter w:w="2413" w:type="dxa"/>
                          <w:trHeight w:val="175"/>
                        </w:trPr>
                        <w:tc>
                          <w:tcPr>
                            <w:tcW w:w="2185" w:type="dxa"/>
                            <w:gridSpan w:val="7"/>
                            <w:vAlign w:val="bottom"/>
                          </w:tcPr>
                          <w:p w14:paraId="51D7500C" w14:textId="77777777" w:rsidR="00000000" w:rsidRDefault="00A450E1">
                            <w:pPr>
                              <w:pStyle w:val="Default"/>
                              <w:rPr>
                                <w:rFonts w:ascii="DIN" w:hAnsi="DIN" w:cs="DIN"/>
                                <w:sz w:val="18"/>
                                <w:szCs w:val="18"/>
                              </w:rPr>
                            </w:pPr>
                            <w:r>
                              <w:rPr>
                                <w:rFonts w:ascii="DIN" w:hAnsi="DIN" w:cs="DIN"/>
                                <w:sz w:val="18"/>
                                <w:szCs w:val="18"/>
                              </w:rPr>
                              <w:t xml:space="preserve">Special marks are yellow. </w:t>
                            </w:r>
                          </w:p>
                        </w:tc>
                        <w:tc>
                          <w:tcPr>
                            <w:tcW w:w="2075" w:type="dxa"/>
                            <w:gridSpan w:val="4"/>
                            <w:vAlign w:val="bottom"/>
                          </w:tcPr>
                          <w:p w14:paraId="4C26B8D2" w14:textId="77777777" w:rsidR="00000000" w:rsidRDefault="00A450E1">
                            <w:pPr>
                              <w:pStyle w:val="Default"/>
                              <w:rPr>
                                <w:rFonts w:ascii="DIN" w:hAnsi="DIN" w:cs="DIN"/>
                                <w:sz w:val="18"/>
                                <w:szCs w:val="18"/>
                              </w:rPr>
                            </w:pPr>
                            <w:r>
                              <w:rPr>
                                <w:rFonts w:ascii="DIN" w:hAnsi="DIN" w:cs="DIN"/>
                                <w:sz w:val="18"/>
                                <w:szCs w:val="18"/>
                              </w:rPr>
                              <w:t xml:space="preserve">They may carry a yellow </w:t>
                            </w:r>
                          </w:p>
                        </w:tc>
                      </w:tr>
                    </w:tbl>
                  </w:txbxContent>
                </v:textbox>
                <w10:wrap type="through" anchorx="page" anchory="page"/>
              </v:shape>
            </w:pict>
          </mc:Fallback>
        </mc:AlternateContent>
      </w:r>
    </w:p>
    <w:p w14:paraId="1B82EAC7" w14:textId="77777777" w:rsidR="00541A14" w:rsidRDefault="00A450E1">
      <w:pPr>
        <w:pStyle w:val="CM172"/>
        <w:spacing w:after="202" w:line="251" w:lineRule="atLeast"/>
        <w:jc w:val="both"/>
        <w:rPr>
          <w:rFonts w:ascii="DIN" w:hAnsi="DIN" w:cs="DIN"/>
          <w:sz w:val="18"/>
          <w:szCs w:val="18"/>
        </w:rPr>
      </w:pPr>
      <w:r>
        <w:rPr>
          <w:rFonts w:ascii="DIN" w:hAnsi="DIN" w:cs="DIN"/>
          <w:sz w:val="18"/>
          <w:szCs w:val="18"/>
        </w:rPr>
        <w:t xml:space="preserve">“X” top-mark, and any light used is also yellow. To avoid the possibility of confusion between yellow and white in poor visibility, the yellow lights of Special marks do not have any of the rhythms used for white lights. </w:t>
      </w:r>
    </w:p>
    <w:p w14:paraId="087590D7" w14:textId="77777777" w:rsidR="00541A14" w:rsidRDefault="00A450E1">
      <w:pPr>
        <w:pStyle w:val="CM172"/>
        <w:spacing w:after="202" w:line="251" w:lineRule="atLeast"/>
        <w:jc w:val="both"/>
        <w:rPr>
          <w:rFonts w:ascii="DIN" w:hAnsi="DIN" w:cs="DIN"/>
          <w:sz w:val="18"/>
          <w:szCs w:val="18"/>
        </w:rPr>
      </w:pPr>
      <w:r>
        <w:rPr>
          <w:rFonts w:ascii="DIN" w:hAnsi="DIN" w:cs="DIN"/>
          <w:sz w:val="18"/>
          <w:szCs w:val="18"/>
        </w:rPr>
        <w:t xml:space="preserve">Their shape will not conflict with that of navigational marks. This means, for example, that a special buoy located on the port hand side of a channel may be cylindrical but will not be conical. Special marks may be lettered or numbered, and may also include the use of a pictogram to indicate their purpose using the IHO symbology where appropriate. </w:t>
      </w:r>
    </w:p>
    <w:p w14:paraId="21423298" w14:textId="77777777" w:rsidR="00541A14" w:rsidRDefault="00A450E1">
      <w:pPr>
        <w:pStyle w:val="CM172"/>
        <w:spacing w:after="202"/>
        <w:jc w:val="both"/>
        <w:rPr>
          <w:rFonts w:ascii="DIN" w:hAnsi="DIN" w:cs="DIN"/>
          <w:color w:val="EC1B22"/>
          <w:sz w:val="22"/>
          <w:szCs w:val="22"/>
        </w:rPr>
      </w:pPr>
      <w:r>
        <w:rPr>
          <w:rFonts w:ascii="DIN" w:hAnsi="DIN" w:cs="DIN"/>
          <w:b/>
          <w:bCs/>
          <w:color w:val="EC1B22"/>
          <w:sz w:val="22"/>
          <w:szCs w:val="22"/>
        </w:rPr>
        <w:t xml:space="preserve">MARKING NEW DANGERS </w:t>
      </w:r>
    </w:p>
    <w:p w14:paraId="039BA453" w14:textId="77777777" w:rsidR="00541A14" w:rsidRDefault="00A450E1">
      <w:pPr>
        <w:pStyle w:val="CM165"/>
        <w:spacing w:after="85" w:line="251" w:lineRule="atLeast"/>
        <w:jc w:val="both"/>
        <w:rPr>
          <w:rFonts w:ascii="DIN" w:hAnsi="DIN" w:cs="DIN"/>
          <w:color w:val="000000"/>
          <w:sz w:val="18"/>
          <w:szCs w:val="18"/>
        </w:rPr>
      </w:pPr>
      <w:r>
        <w:rPr>
          <w:rFonts w:ascii="DIN" w:hAnsi="DIN" w:cs="DIN"/>
          <w:color w:val="000000"/>
          <w:sz w:val="18"/>
          <w:szCs w:val="18"/>
        </w:rPr>
        <w:t xml:space="preserve">“New Dangers” are newly discovered hazards, natural or man-made, that may not yet be shown in nautical documents and publications, and until the information is sufficiently promulgated, should be indicated by: </w:t>
      </w:r>
    </w:p>
    <w:p w14:paraId="04FBB2FD" w14:textId="77777777" w:rsidR="00541A14" w:rsidRDefault="00A450E1">
      <w:pPr>
        <w:pStyle w:val="Default"/>
        <w:numPr>
          <w:ilvl w:val="0"/>
          <w:numId w:val="199"/>
        </w:numPr>
        <w:spacing w:after="242"/>
        <w:rPr>
          <w:rFonts w:ascii="DIN" w:hAnsi="DIN" w:cs="DIN"/>
          <w:sz w:val="18"/>
          <w:szCs w:val="18"/>
        </w:rPr>
      </w:pPr>
      <w:r>
        <w:rPr>
          <w:rFonts w:ascii="DIN" w:hAnsi="DIN" w:cs="DIN"/>
          <w:sz w:val="18"/>
          <w:szCs w:val="18"/>
        </w:rPr>
        <w:t xml:space="preserve">marking a new danger using appropriate marks such as; Lateral, Cardinal, Isolated Danger marks, or equally </w:t>
      </w:r>
    </w:p>
    <w:p w14:paraId="470E352E" w14:textId="77777777" w:rsidR="00541A14" w:rsidRDefault="00A450E1">
      <w:pPr>
        <w:pStyle w:val="Default"/>
        <w:numPr>
          <w:ilvl w:val="0"/>
          <w:numId w:val="199"/>
        </w:numPr>
        <w:rPr>
          <w:rFonts w:ascii="DIN" w:hAnsi="DIN" w:cs="DIN"/>
          <w:sz w:val="18"/>
          <w:szCs w:val="18"/>
        </w:rPr>
      </w:pPr>
      <w:r>
        <w:rPr>
          <w:rFonts w:ascii="DIN" w:hAnsi="DIN" w:cs="DIN"/>
          <w:sz w:val="18"/>
          <w:szCs w:val="18"/>
        </w:rPr>
        <w:t xml:space="preserve">using the Emergency Wreck Marking Buoy (EWMB) </w:t>
      </w:r>
    </w:p>
    <w:p w14:paraId="071AF211" w14:textId="77777777" w:rsidR="00541A14" w:rsidRDefault="00541A14">
      <w:pPr>
        <w:pStyle w:val="Default"/>
        <w:rPr>
          <w:rFonts w:ascii="DIN" w:hAnsi="DIN" w:cs="DIN"/>
          <w:sz w:val="18"/>
          <w:szCs w:val="18"/>
        </w:rPr>
      </w:pPr>
    </w:p>
    <w:p w14:paraId="2FC52D2D" w14:textId="77777777" w:rsidR="00541A14" w:rsidRDefault="00A450E1">
      <w:pPr>
        <w:pStyle w:val="CM172"/>
        <w:spacing w:after="202" w:line="251" w:lineRule="atLeast"/>
        <w:jc w:val="both"/>
        <w:rPr>
          <w:rFonts w:ascii="DIN" w:hAnsi="DIN" w:cs="DIN"/>
          <w:color w:val="000000"/>
          <w:sz w:val="18"/>
          <w:szCs w:val="18"/>
        </w:rPr>
      </w:pPr>
      <w:r>
        <w:rPr>
          <w:rFonts w:ascii="DIN" w:hAnsi="DIN" w:cs="DIN"/>
          <w:color w:val="000000"/>
          <w:sz w:val="18"/>
          <w:szCs w:val="18"/>
        </w:rPr>
        <w:t xml:space="preserve">If the competent authority considers the risk to navigation to be especially high at least one of the marks should be duplicated. </w:t>
      </w:r>
    </w:p>
    <w:p w14:paraId="3A62D743" w14:textId="77777777" w:rsidR="00541A14" w:rsidRDefault="00A450E1">
      <w:pPr>
        <w:pStyle w:val="CM172"/>
        <w:spacing w:after="202" w:line="251" w:lineRule="atLeast"/>
        <w:jc w:val="both"/>
        <w:rPr>
          <w:rFonts w:ascii="DIN" w:hAnsi="DIN" w:cs="DIN"/>
          <w:color w:val="000000"/>
          <w:sz w:val="18"/>
          <w:szCs w:val="18"/>
        </w:rPr>
      </w:pPr>
      <w:r>
        <w:rPr>
          <w:rFonts w:ascii="DIN" w:hAnsi="DIN" w:cs="DIN"/>
          <w:color w:val="000000"/>
          <w:sz w:val="18"/>
          <w:szCs w:val="18"/>
        </w:rPr>
        <w:t xml:space="preserve">The Emergency Wreck Marking Buoy has blue and yellow vertical stripes in equal number, with a vertical/perpendicular yellow cross top-mark, and displays a blue and yellow alternating light. </w:t>
      </w:r>
    </w:p>
    <w:p w14:paraId="7CE8FCDA" w14:textId="77777777" w:rsidR="00541A14" w:rsidRDefault="00A450E1">
      <w:pPr>
        <w:pStyle w:val="CM163"/>
        <w:spacing w:after="642" w:line="251" w:lineRule="atLeast"/>
        <w:jc w:val="both"/>
        <w:rPr>
          <w:rFonts w:ascii="DIN" w:hAnsi="DIN" w:cs="DIN"/>
          <w:color w:val="000000"/>
          <w:sz w:val="18"/>
          <w:szCs w:val="18"/>
        </w:rPr>
      </w:pPr>
      <w:r>
        <w:rPr>
          <w:rFonts w:ascii="DIN" w:hAnsi="DIN" w:cs="DIN"/>
          <w:color w:val="000000"/>
          <w:sz w:val="18"/>
          <w:szCs w:val="18"/>
        </w:rPr>
        <w:t>Marking of a new danger may include use of a Racon coded Morse “D” (-</w:t>
      </w:r>
      <w:r>
        <w:rPr>
          <w:rFonts w:ascii="DIN" w:hAnsi="DIN" w:cs="DIN"/>
          <w:color w:val="000000"/>
          <w:sz w:val="7"/>
          <w:szCs w:val="7"/>
        </w:rPr>
        <w:t>●●</w:t>
      </w:r>
      <w:r>
        <w:rPr>
          <w:rFonts w:ascii="DIN" w:hAnsi="DIN" w:cs="DIN"/>
          <w:color w:val="000000"/>
          <w:sz w:val="18"/>
          <w:szCs w:val="18"/>
        </w:rPr>
        <w:t xml:space="preserve">) or other radio transmitting device such as automatic identification systems as an Aid to Navigation (AIS as an AtoN). </w:t>
      </w:r>
    </w:p>
    <w:p w14:paraId="11393D65" w14:textId="77777777" w:rsidR="00541A14" w:rsidRDefault="00DD420F">
      <w:pPr>
        <w:pStyle w:val="Default"/>
        <w:framePr w:w="1316" w:wrap="auto" w:vAnchor="page" w:hAnchor="page" w:x="5655" w:y="15215"/>
        <w:rPr>
          <w:rFonts w:ascii="DIN" w:hAnsi="DIN" w:cs="DIN"/>
          <w:sz w:val="18"/>
          <w:szCs w:val="18"/>
        </w:rPr>
      </w:pPr>
      <w:r>
        <w:rPr>
          <w:rFonts w:ascii="DIN" w:hAnsi="DIN" w:cs="DIN"/>
          <w:noProof/>
          <w:sz w:val="18"/>
          <w:szCs w:val="18"/>
        </w:rPr>
        <w:drawing>
          <wp:inline distT="0" distB="0" distL="0" distR="0" wp14:anchorId="2E7E77B2" wp14:editId="44C2C1A7">
            <wp:extent cx="11430" cy="1143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5BF50B74" w14:textId="77777777" w:rsidR="00541A14" w:rsidRDefault="00DD420F">
      <w:pPr>
        <w:pStyle w:val="Default"/>
        <w:framePr w:w="828" w:wrap="auto" w:vAnchor="page" w:hAnchor="page" w:x="6130" w:y="15248"/>
        <w:spacing w:after="300"/>
        <w:rPr>
          <w:rFonts w:ascii="DIN" w:hAnsi="DIN" w:cs="DIN"/>
          <w:sz w:val="18"/>
          <w:szCs w:val="18"/>
        </w:rPr>
      </w:pPr>
      <w:r>
        <w:rPr>
          <w:rFonts w:ascii="DIN" w:hAnsi="DIN" w:cs="DIN"/>
          <w:noProof/>
          <w:sz w:val="18"/>
          <w:szCs w:val="18"/>
        </w:rPr>
        <w:drawing>
          <wp:inline distT="0" distB="0" distL="0" distR="0" wp14:anchorId="7E8C0346" wp14:editId="5C668BF0">
            <wp:extent cx="11430" cy="1143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62C55115" w14:textId="77777777" w:rsidR="00541A14" w:rsidRDefault="00A450E1">
      <w:pPr>
        <w:pStyle w:val="CM12"/>
        <w:jc w:val="both"/>
        <w:rPr>
          <w:rFonts w:ascii="DIN" w:hAnsi="DIN" w:cs="DIN"/>
          <w:color w:val="000000"/>
          <w:sz w:val="15"/>
          <w:szCs w:val="15"/>
        </w:rPr>
      </w:pPr>
      <w:r>
        <w:rPr>
          <w:rFonts w:ascii="DIN" w:hAnsi="DIN" w:cs="DIN"/>
          <w:color w:val="000000"/>
          <w:sz w:val="15"/>
          <w:szCs w:val="15"/>
        </w:rPr>
        <w:t xml:space="preserve">Maritime Buoyage System </w:t>
      </w:r>
    </w:p>
    <w:p w14:paraId="46C47AB4" w14:textId="77777777" w:rsidR="00541A14" w:rsidRDefault="00A450E1">
      <w:pPr>
        <w:pStyle w:val="CM172"/>
        <w:spacing w:after="202"/>
        <w:jc w:val="both"/>
        <w:rPr>
          <w:rFonts w:ascii="DIN" w:hAnsi="DIN" w:cs="DIN"/>
          <w:color w:val="EC1B22"/>
          <w:sz w:val="15"/>
          <w:szCs w:val="15"/>
        </w:rPr>
      </w:pPr>
      <w:r>
        <w:rPr>
          <w:rFonts w:ascii="DIN" w:hAnsi="DIN" w:cs="DIN"/>
          <w:color w:val="EC1B22"/>
          <w:sz w:val="15"/>
          <w:szCs w:val="15"/>
        </w:rPr>
        <w:t xml:space="preserve">Marks </w:t>
      </w:r>
    </w:p>
    <w:p w14:paraId="7AA430B1" w14:textId="77777777" w:rsidR="00541A14" w:rsidRDefault="00A450E1">
      <w:pPr>
        <w:pStyle w:val="CM205"/>
        <w:spacing w:after="502"/>
        <w:ind w:left="4827"/>
        <w:rPr>
          <w:rFonts w:ascii="DIN" w:hAnsi="DIN" w:cs="DIN"/>
          <w:color w:val="6B6D6F"/>
          <w:sz w:val="47"/>
          <w:szCs w:val="47"/>
        </w:rPr>
      </w:pPr>
      <w:r>
        <w:rPr>
          <w:rFonts w:ascii="DIN" w:hAnsi="DIN" w:cs="DIN"/>
          <w:color w:val="6B6D6F"/>
          <w:sz w:val="47"/>
          <w:szCs w:val="47"/>
        </w:rPr>
        <w:t xml:space="preserve">06 </w:t>
      </w:r>
    </w:p>
    <w:p w14:paraId="07ECE653" w14:textId="77777777" w:rsidR="00541A14" w:rsidRDefault="00DD420F">
      <w:pPr>
        <w:pStyle w:val="Default"/>
        <w:framePr w:w="10730" w:wrap="auto" w:vAnchor="page" w:hAnchor="page" w:x="608" w:y="16318"/>
        <w:rPr>
          <w:rFonts w:ascii="DIN" w:hAnsi="DIN" w:cs="DIN"/>
          <w:color w:val="6B6D6F"/>
          <w:sz w:val="47"/>
          <w:szCs w:val="47"/>
        </w:rPr>
      </w:pPr>
      <w:r>
        <w:rPr>
          <w:rFonts w:ascii="DIN" w:hAnsi="DIN" w:cs="DIN"/>
          <w:noProof/>
          <w:color w:val="6B6D6F"/>
          <w:sz w:val="47"/>
          <w:szCs w:val="47"/>
        </w:rPr>
        <w:drawing>
          <wp:inline distT="0" distB="0" distL="0" distR="0" wp14:anchorId="65136B99" wp14:editId="3513BEA0">
            <wp:extent cx="7553960" cy="391795"/>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264CA08C" w14:textId="77777777" w:rsidR="00541A14" w:rsidRDefault="00541A14">
      <w:pPr>
        <w:pStyle w:val="Default"/>
        <w:rPr>
          <w:rFonts w:cs="Times New Roman"/>
          <w:color w:val="auto"/>
        </w:rPr>
        <w:sectPr w:rsidR="00541A14">
          <w:pgSz w:w="11905" w:h="16837"/>
          <w:pgMar w:top="1400" w:right="900" w:bottom="0" w:left="900" w:header="720" w:footer="720" w:gutter="0"/>
          <w:cols w:space="720"/>
          <w:noEndnote/>
        </w:sectPr>
      </w:pPr>
    </w:p>
    <w:p w14:paraId="64B7DCA5" w14:textId="77777777" w:rsidR="00541A14" w:rsidRDefault="00A450E1">
      <w:pPr>
        <w:pStyle w:val="Default"/>
        <w:pageBreakBefore/>
        <w:spacing w:after="202" w:line="251" w:lineRule="atLeast"/>
        <w:jc w:val="both"/>
        <w:rPr>
          <w:rFonts w:ascii="DIN" w:hAnsi="DIN" w:cs="DIN"/>
          <w:sz w:val="18"/>
          <w:szCs w:val="18"/>
        </w:rPr>
      </w:pPr>
      <w:r>
        <w:rPr>
          <w:rFonts w:ascii="DIN" w:hAnsi="DIN" w:cs="DIN"/>
          <w:sz w:val="18"/>
          <w:szCs w:val="18"/>
        </w:rPr>
        <w:t>Marking of a new danger may be discontinued when the appropriate competent Authority is satisfied that information concerning the “New Danger” has been suf</w:t>
      </w:r>
      <w:r>
        <w:rPr>
          <w:rFonts w:ascii="DIN" w:hAnsi="DIN" w:cs="DIN"/>
          <w:sz w:val="18"/>
          <w:szCs w:val="18"/>
        </w:rPr>
        <w:softHyphen/>
        <w:t xml:space="preserve">ficiently promulgated or the danger has been resolved. </w:t>
      </w:r>
    </w:p>
    <w:p w14:paraId="7C989236" w14:textId="77777777" w:rsidR="00541A14" w:rsidRDefault="00A450E1">
      <w:pPr>
        <w:pStyle w:val="CM172"/>
        <w:spacing w:after="202"/>
        <w:jc w:val="both"/>
        <w:rPr>
          <w:rFonts w:ascii="DIN" w:hAnsi="DIN" w:cs="DIN"/>
          <w:color w:val="EC1B22"/>
          <w:sz w:val="22"/>
          <w:szCs w:val="22"/>
        </w:rPr>
      </w:pPr>
      <w:r>
        <w:rPr>
          <w:rFonts w:ascii="DIN" w:hAnsi="DIN" w:cs="DIN"/>
          <w:b/>
          <w:bCs/>
          <w:color w:val="EC1B22"/>
          <w:sz w:val="22"/>
          <w:szCs w:val="22"/>
        </w:rPr>
        <w:t xml:space="preserve">OTHER MARKS </w:t>
      </w:r>
    </w:p>
    <w:p w14:paraId="042E0D85" w14:textId="77777777" w:rsidR="00541A14" w:rsidRDefault="00A450E1">
      <w:pPr>
        <w:pStyle w:val="CM165"/>
        <w:spacing w:after="85" w:line="251" w:lineRule="atLeast"/>
        <w:jc w:val="both"/>
        <w:rPr>
          <w:rFonts w:ascii="DIN" w:hAnsi="DIN" w:cs="DIN"/>
          <w:color w:val="000000"/>
          <w:sz w:val="18"/>
          <w:szCs w:val="18"/>
        </w:rPr>
      </w:pPr>
      <w:r>
        <w:rPr>
          <w:rFonts w:ascii="DIN" w:hAnsi="DIN" w:cs="DIN"/>
          <w:color w:val="000000"/>
          <w:sz w:val="18"/>
          <w:szCs w:val="18"/>
        </w:rPr>
        <w:t xml:space="preserve">Other Marks include lighthouses, beacons, sector lights, leading lines, major floating aids, and auxiliary marks. These visual marks are intended to aid navigation as information to mariners, not necessarily regarding channel limits or obstructions. </w:t>
      </w:r>
    </w:p>
    <w:p w14:paraId="75C94A01" w14:textId="77777777" w:rsidR="00541A14" w:rsidRDefault="00DD420F">
      <w:pPr>
        <w:pStyle w:val="CM185"/>
        <w:spacing w:after="140" w:line="251" w:lineRule="atLeast"/>
        <w:jc w:val="both"/>
        <w:rPr>
          <w:rFonts w:ascii="DIN" w:hAnsi="DIN" w:cs="DIN"/>
          <w:color w:val="000000"/>
          <w:sz w:val="18"/>
          <w:szCs w:val="18"/>
        </w:rPr>
      </w:pPr>
      <w:r>
        <w:rPr>
          <w:rFonts w:ascii="DIN" w:hAnsi="DIN" w:cs="DIN"/>
          <w:noProof/>
          <w:color w:val="000000"/>
          <w:sz w:val="18"/>
          <w:szCs w:val="18"/>
        </w:rPr>
        <w:drawing>
          <wp:inline distT="0" distB="0" distL="0" distR="0" wp14:anchorId="5184C522" wp14:editId="6D8B8E5A">
            <wp:extent cx="62230" cy="6223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r w:rsidR="00A450E1">
        <w:rPr>
          <w:rFonts w:ascii="DIN" w:hAnsi="DIN" w:cs="DIN"/>
          <w:color w:val="000000"/>
          <w:sz w:val="18"/>
          <w:szCs w:val="18"/>
        </w:rPr>
        <w:t xml:space="preserve">Lighthouses, beacons and other aids of lesser ranges are fixed aids to navigation that may display different colours and/or rhythms over designated arcs. Beacons may also be unlighted. </w:t>
      </w:r>
    </w:p>
    <w:p w14:paraId="46290C63" w14:textId="77777777" w:rsidR="00541A14" w:rsidRDefault="00DD420F">
      <w:pPr>
        <w:pStyle w:val="CM185"/>
        <w:spacing w:after="140" w:line="251" w:lineRule="atLeast"/>
        <w:jc w:val="both"/>
        <w:rPr>
          <w:rFonts w:ascii="DIN" w:hAnsi="DIN" w:cs="DIN"/>
          <w:color w:val="000000"/>
          <w:sz w:val="18"/>
          <w:szCs w:val="18"/>
        </w:rPr>
      </w:pPr>
      <w:r>
        <w:rPr>
          <w:rFonts w:ascii="DIN" w:hAnsi="DIN" w:cs="DIN"/>
          <w:noProof/>
          <w:color w:val="000000"/>
          <w:sz w:val="18"/>
          <w:szCs w:val="18"/>
        </w:rPr>
        <w:drawing>
          <wp:inline distT="0" distB="0" distL="0" distR="0" wp14:anchorId="1DE10D35" wp14:editId="5DC45D21">
            <wp:extent cx="62230" cy="73660"/>
            <wp:effectExtent l="0" t="0" r="0" b="254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2230" cy="73660"/>
                    </a:xfrm>
                    <a:prstGeom prst="rect">
                      <a:avLst/>
                    </a:prstGeom>
                    <a:noFill/>
                    <a:ln>
                      <a:noFill/>
                    </a:ln>
                  </pic:spPr>
                </pic:pic>
              </a:graphicData>
            </a:graphic>
          </wp:inline>
        </w:drawing>
      </w:r>
      <w:r w:rsidR="00A450E1">
        <w:rPr>
          <w:rFonts w:ascii="DIN" w:hAnsi="DIN" w:cs="DIN"/>
          <w:color w:val="000000"/>
          <w:sz w:val="18"/>
          <w:szCs w:val="18"/>
        </w:rPr>
        <w:t xml:space="preserve">Sector lights display different colours and/or rhythms over designated arcs. </w:t>
      </w:r>
    </w:p>
    <w:p w14:paraId="2FCD0DE7" w14:textId="77777777" w:rsidR="00541A14" w:rsidRDefault="00A450E1">
      <w:pPr>
        <w:pStyle w:val="CM135"/>
        <w:ind w:left="307"/>
        <w:jc w:val="both"/>
        <w:rPr>
          <w:rFonts w:ascii="DIN" w:hAnsi="DIN" w:cs="DIN"/>
          <w:color w:val="000000"/>
          <w:sz w:val="18"/>
          <w:szCs w:val="18"/>
        </w:rPr>
      </w:pPr>
      <w:r>
        <w:rPr>
          <w:rFonts w:ascii="DIN" w:hAnsi="DIN" w:cs="DIN"/>
          <w:color w:val="000000"/>
          <w:sz w:val="18"/>
          <w:szCs w:val="18"/>
        </w:rPr>
        <w:t xml:space="preserve">The colour of the light provides directional information to the mariner. </w:t>
      </w:r>
    </w:p>
    <w:p w14:paraId="689B2BE2" w14:textId="77777777" w:rsidR="00541A14" w:rsidRDefault="00A450E1">
      <w:pPr>
        <w:pStyle w:val="Default"/>
        <w:numPr>
          <w:ilvl w:val="0"/>
          <w:numId w:val="200"/>
        </w:numPr>
        <w:spacing w:after="185"/>
        <w:rPr>
          <w:rFonts w:ascii="DIN" w:hAnsi="DIN" w:cs="DIN"/>
          <w:sz w:val="18"/>
          <w:szCs w:val="18"/>
        </w:rPr>
      </w:pPr>
      <w:r>
        <w:rPr>
          <w:rFonts w:ascii="DIN" w:hAnsi="DIN" w:cs="DIN"/>
          <w:sz w:val="18"/>
          <w:szCs w:val="18"/>
        </w:rPr>
        <w:t xml:space="preserve">Leading lines / Ranges allow ships to be guided with precision along a portion of a straight route using the alignment of fixed lights (leading lights) or marks (leading marks), in some cases a single directional light may used. </w:t>
      </w:r>
    </w:p>
    <w:p w14:paraId="23EF7C8E" w14:textId="77777777" w:rsidR="00541A14" w:rsidRDefault="00A450E1">
      <w:pPr>
        <w:pStyle w:val="Default"/>
        <w:numPr>
          <w:ilvl w:val="0"/>
          <w:numId w:val="200"/>
        </w:numPr>
        <w:spacing w:after="185"/>
        <w:rPr>
          <w:rFonts w:ascii="DIN" w:hAnsi="DIN" w:cs="DIN"/>
          <w:sz w:val="18"/>
          <w:szCs w:val="18"/>
        </w:rPr>
      </w:pPr>
      <w:r>
        <w:rPr>
          <w:rFonts w:ascii="DIN" w:hAnsi="DIN" w:cs="DIN"/>
          <w:sz w:val="18"/>
          <w:szCs w:val="18"/>
        </w:rPr>
        <w:t xml:space="preserve">Major floating aids include lightvessels, light floats and large navigational buoys intended to mark approaches from off shore. </w:t>
      </w:r>
    </w:p>
    <w:p w14:paraId="358A2C4D" w14:textId="77777777" w:rsidR="00541A14" w:rsidRDefault="00A450E1">
      <w:pPr>
        <w:pStyle w:val="Default"/>
        <w:numPr>
          <w:ilvl w:val="0"/>
          <w:numId w:val="200"/>
        </w:numPr>
        <w:spacing w:after="185"/>
        <w:rPr>
          <w:rFonts w:ascii="DIN" w:hAnsi="DIN" w:cs="DIN"/>
          <w:sz w:val="18"/>
          <w:szCs w:val="18"/>
        </w:rPr>
      </w:pPr>
      <w:r>
        <w:rPr>
          <w:rFonts w:ascii="DIN" w:hAnsi="DIN" w:cs="DIN"/>
          <w:sz w:val="18"/>
          <w:szCs w:val="18"/>
        </w:rPr>
        <w:t xml:space="preserve">Auxiliary Marks are those other marks used to assist navigation or provide information. These include aids of non-lateral significance that are usually of defined channels and otherwise do not indicate the port and starboard sides of the route to be followed as well as those used to convey information for navigational safety. </w:t>
      </w:r>
    </w:p>
    <w:p w14:paraId="10D26236" w14:textId="77777777" w:rsidR="00541A14" w:rsidRDefault="00A450E1">
      <w:pPr>
        <w:pStyle w:val="Default"/>
        <w:numPr>
          <w:ilvl w:val="0"/>
          <w:numId w:val="200"/>
        </w:numPr>
        <w:rPr>
          <w:rFonts w:ascii="DIN" w:hAnsi="DIN" w:cs="DIN"/>
          <w:sz w:val="18"/>
          <w:szCs w:val="18"/>
        </w:rPr>
      </w:pPr>
      <w:r>
        <w:rPr>
          <w:rFonts w:ascii="DIN" w:hAnsi="DIN" w:cs="DIN"/>
          <w:sz w:val="18"/>
          <w:szCs w:val="18"/>
        </w:rPr>
        <w:t xml:space="preserve">Port or Harbour Marks such as breakwater, quay/jetty lights, traffic signals, bridge marking and inland waterways aids to navigation (further described in section 8.7). </w:t>
      </w:r>
    </w:p>
    <w:p w14:paraId="720E7C18" w14:textId="77777777" w:rsidR="00541A14" w:rsidRDefault="00541A14">
      <w:pPr>
        <w:pStyle w:val="Default"/>
        <w:rPr>
          <w:rFonts w:ascii="DIN" w:hAnsi="DIN" w:cs="DIN"/>
          <w:sz w:val="18"/>
          <w:szCs w:val="18"/>
        </w:rPr>
      </w:pPr>
    </w:p>
    <w:p w14:paraId="30BB93B0" w14:textId="77777777" w:rsidR="00541A14" w:rsidRDefault="00DD420F">
      <w:pPr>
        <w:pStyle w:val="Default"/>
        <w:framePr w:w="10037" w:wrap="auto" w:vAnchor="page" w:hAnchor="page" w:x="1257" w:y="8243"/>
        <w:spacing w:after="340"/>
        <w:rPr>
          <w:rFonts w:ascii="DIN" w:hAnsi="DIN" w:cs="DIN"/>
          <w:sz w:val="18"/>
          <w:szCs w:val="18"/>
        </w:rPr>
      </w:pPr>
      <w:r>
        <w:rPr>
          <w:rFonts w:ascii="DIN" w:hAnsi="DIN" w:cs="DIN"/>
          <w:noProof/>
          <w:sz w:val="18"/>
          <w:szCs w:val="18"/>
        </w:rPr>
        <w:drawing>
          <wp:inline distT="0" distB="0" distL="0" distR="0" wp14:anchorId="5135A1A4" wp14:editId="1186E493">
            <wp:extent cx="5775960" cy="458343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5775960" cy="4583430"/>
                    </a:xfrm>
                    <a:prstGeom prst="rect">
                      <a:avLst/>
                    </a:prstGeom>
                    <a:noFill/>
                    <a:ln>
                      <a:noFill/>
                    </a:ln>
                  </pic:spPr>
                </pic:pic>
              </a:graphicData>
            </a:graphic>
          </wp:inline>
        </w:drawing>
      </w:r>
    </w:p>
    <w:p w14:paraId="271DA13A" w14:textId="77777777" w:rsidR="00541A14" w:rsidRDefault="00DD420F">
      <w:pPr>
        <w:pStyle w:val="CM195"/>
        <w:spacing w:after="353"/>
        <w:rPr>
          <w:rFonts w:ascii="DIN" w:hAnsi="DIN" w:cs="DIN"/>
          <w:color w:val="000000"/>
          <w:sz w:val="15"/>
          <w:szCs w:val="15"/>
        </w:rPr>
      </w:pPr>
      <w:r>
        <w:rPr>
          <w:rFonts w:ascii="DIN" w:hAnsi="DIN" w:cs="DIN"/>
          <w:noProof/>
          <w:color w:val="000000"/>
          <w:sz w:val="18"/>
          <w:szCs w:val="18"/>
        </w:rPr>
        <w:drawing>
          <wp:inline distT="0" distB="0" distL="0" distR="0" wp14:anchorId="7EFBA6A0" wp14:editId="1734566B">
            <wp:extent cx="318135" cy="227330"/>
            <wp:effectExtent l="0" t="0" r="12065" b="127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318135" cy="227330"/>
                    </a:xfrm>
                    <a:prstGeom prst="rect">
                      <a:avLst/>
                    </a:prstGeom>
                    <a:noFill/>
                    <a:ln>
                      <a:noFill/>
                    </a:ln>
                  </pic:spPr>
                </pic:pic>
              </a:graphicData>
            </a:graphic>
          </wp:inline>
        </w:drawing>
      </w:r>
      <w:r w:rsidR="00A450E1">
        <w:rPr>
          <w:rFonts w:ascii="DIN" w:hAnsi="DIN" w:cs="DIN"/>
          <w:color w:val="000000"/>
          <w:sz w:val="15"/>
          <w:szCs w:val="15"/>
        </w:rPr>
        <w:t xml:space="preserve">International Association </w:t>
      </w:r>
    </w:p>
    <w:p w14:paraId="36BF0331" w14:textId="77777777" w:rsidR="00541A14" w:rsidRDefault="00A450E1">
      <w:pPr>
        <w:pStyle w:val="CM162"/>
        <w:spacing w:after="552"/>
        <w:ind w:left="1567"/>
        <w:rPr>
          <w:rFonts w:ascii="DIN" w:hAnsi="DIN" w:cs="DIN"/>
          <w:color w:val="000000"/>
          <w:sz w:val="15"/>
          <w:szCs w:val="15"/>
        </w:rPr>
      </w:pPr>
      <w:r>
        <w:rPr>
          <w:rFonts w:ascii="DIN" w:hAnsi="DIN" w:cs="DIN"/>
          <w:color w:val="000000"/>
          <w:sz w:val="15"/>
          <w:szCs w:val="15"/>
        </w:rPr>
        <w:t xml:space="preserve">of Marine Aids to Navigation and Lighthouse Authorities </w:t>
      </w:r>
    </w:p>
    <w:p w14:paraId="58EA2F76" w14:textId="77777777" w:rsidR="00541A14" w:rsidRDefault="00DD420F">
      <w:pPr>
        <w:pStyle w:val="Default"/>
        <w:framePr w:w="10739" w:wrap="auto" w:vAnchor="page" w:hAnchor="page" w:x="1434" w:y="16318"/>
        <w:rPr>
          <w:rFonts w:ascii="DIN" w:hAnsi="DIN" w:cs="DIN"/>
          <w:sz w:val="15"/>
          <w:szCs w:val="15"/>
        </w:rPr>
      </w:pPr>
      <w:r>
        <w:rPr>
          <w:rFonts w:ascii="DIN" w:hAnsi="DIN" w:cs="DIN"/>
          <w:noProof/>
          <w:sz w:val="15"/>
          <w:szCs w:val="15"/>
        </w:rPr>
        <w:drawing>
          <wp:inline distT="0" distB="0" distL="0" distR="0" wp14:anchorId="4DE3F7F3" wp14:editId="3DABFE25">
            <wp:extent cx="7542530" cy="391795"/>
            <wp:effectExtent l="0" t="0" r="127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2B2BB8B4" w14:textId="77777777" w:rsidR="00541A14" w:rsidRDefault="00541A14">
      <w:pPr>
        <w:pStyle w:val="Default"/>
        <w:rPr>
          <w:rFonts w:cs="Times New Roman"/>
          <w:color w:val="auto"/>
        </w:rPr>
        <w:sectPr w:rsidR="00541A14">
          <w:type w:val="continuous"/>
          <w:pgSz w:w="11905" w:h="17337"/>
          <w:pgMar w:top="1400" w:right="900" w:bottom="0" w:left="900" w:header="720" w:footer="720" w:gutter="0"/>
          <w:cols w:num="2" w:space="720" w:equalWidth="0">
            <w:col w:w="4333" w:space="331"/>
            <w:col w:w="4320"/>
          </w:cols>
          <w:noEndnote/>
        </w:sectPr>
      </w:pPr>
    </w:p>
    <w:p w14:paraId="4759AE60" w14:textId="77777777" w:rsidR="00541A14" w:rsidRDefault="00A450E1">
      <w:pPr>
        <w:pStyle w:val="Default"/>
        <w:pageBreakBefore/>
        <w:spacing w:after="437"/>
        <w:rPr>
          <w:rFonts w:ascii="DIN" w:hAnsi="DIN" w:cs="DIN"/>
          <w:color w:val="6B6D6F"/>
          <w:sz w:val="62"/>
          <w:szCs w:val="62"/>
        </w:rPr>
      </w:pPr>
      <w:r>
        <w:rPr>
          <w:rFonts w:ascii="DIN" w:hAnsi="DIN" w:cs="DIN"/>
          <w:color w:val="6B6D6F"/>
          <w:sz w:val="62"/>
          <w:szCs w:val="62"/>
        </w:rPr>
        <w:t xml:space="preserve">RULES </w:t>
      </w:r>
    </w:p>
    <w:p w14:paraId="568382AC" w14:textId="77777777" w:rsidR="00541A14" w:rsidRDefault="00A450E1">
      <w:pPr>
        <w:pStyle w:val="CM174"/>
        <w:spacing w:after="437"/>
        <w:rPr>
          <w:rFonts w:ascii="DIN" w:hAnsi="DIN" w:cs="DIN"/>
          <w:color w:val="EC1B22"/>
          <w:sz w:val="22"/>
          <w:szCs w:val="22"/>
        </w:rPr>
      </w:pPr>
      <w:r>
        <w:rPr>
          <w:rFonts w:ascii="DIN" w:hAnsi="DIN" w:cs="DIN"/>
          <w:b/>
          <w:bCs/>
          <w:color w:val="EC1B22"/>
          <w:sz w:val="22"/>
          <w:szCs w:val="22"/>
        </w:rPr>
        <w:t xml:space="preserve">1. GENERAL </w:t>
      </w:r>
    </w:p>
    <w:p w14:paraId="0E38EC9C" w14:textId="77777777" w:rsidR="00541A14" w:rsidRDefault="00541A14">
      <w:pPr>
        <w:pStyle w:val="Default"/>
        <w:rPr>
          <w:rFonts w:cs="Times New Roman"/>
          <w:color w:val="auto"/>
        </w:rPr>
        <w:sectPr w:rsidR="00541A14">
          <w:type w:val="continuous"/>
          <w:pgSz w:w="11905" w:h="17337"/>
          <w:pgMar w:top="1400" w:right="900" w:bottom="0" w:left="900" w:header="720" w:footer="720" w:gutter="0"/>
          <w:cols w:space="720"/>
          <w:noEndnote/>
        </w:sectPr>
      </w:pPr>
    </w:p>
    <w:p w14:paraId="38D9D445" w14:textId="77777777" w:rsidR="00541A14" w:rsidRDefault="00A450E1">
      <w:pPr>
        <w:pStyle w:val="Default"/>
        <w:spacing w:after="85" w:line="268" w:lineRule="atLeast"/>
        <w:ind w:left="302" w:hanging="303"/>
        <w:rPr>
          <w:rFonts w:ascii="DIN" w:hAnsi="DIN" w:cs="DIN"/>
          <w:sz w:val="18"/>
          <w:szCs w:val="18"/>
        </w:rPr>
      </w:pPr>
      <w:r>
        <w:rPr>
          <w:rFonts w:ascii="DIN" w:hAnsi="DIN" w:cs="DIN"/>
          <w:b/>
          <w:bCs/>
          <w:color w:val="auto"/>
          <w:sz w:val="18"/>
          <w:szCs w:val="18"/>
        </w:rPr>
        <w:t xml:space="preserve">1.1 Scope </w:t>
      </w:r>
      <w:r>
        <w:rPr>
          <w:rFonts w:ascii="DIN" w:hAnsi="DIN" w:cs="DIN"/>
          <w:sz w:val="18"/>
          <w:szCs w:val="18"/>
        </w:rPr>
        <w:t xml:space="preserve">The Maritime Buoyage System and other aids to navigation provide rules that apply to all fixed, floating and electronic marks serving to indicate: </w:t>
      </w:r>
    </w:p>
    <w:p w14:paraId="17B12C5E" w14:textId="77777777" w:rsidR="00541A14" w:rsidRDefault="00A450E1">
      <w:pPr>
        <w:pStyle w:val="CM165"/>
        <w:spacing w:after="85" w:line="260" w:lineRule="atLeast"/>
        <w:ind w:left="295"/>
        <w:rPr>
          <w:rFonts w:ascii="DIN" w:hAnsi="DIN" w:cs="DIN"/>
          <w:color w:val="000000"/>
          <w:sz w:val="18"/>
          <w:szCs w:val="18"/>
        </w:rPr>
      </w:pPr>
      <w:r>
        <w:rPr>
          <w:rFonts w:ascii="DIN" w:hAnsi="DIN" w:cs="DIN"/>
          <w:b/>
          <w:bCs/>
          <w:color w:val="000000"/>
          <w:sz w:val="18"/>
          <w:szCs w:val="18"/>
        </w:rPr>
        <w:t xml:space="preserve">1.1.1 </w:t>
      </w:r>
      <w:r>
        <w:rPr>
          <w:rFonts w:ascii="DIN" w:hAnsi="DIN" w:cs="DIN"/>
          <w:color w:val="000000"/>
          <w:sz w:val="18"/>
          <w:szCs w:val="18"/>
        </w:rPr>
        <w:t xml:space="preserve">The lateral limits of navigable channels. </w:t>
      </w:r>
    </w:p>
    <w:p w14:paraId="02FFC8B3" w14:textId="77777777" w:rsidR="00541A14" w:rsidRDefault="00A450E1">
      <w:pPr>
        <w:pStyle w:val="CM165"/>
        <w:spacing w:after="85" w:line="246" w:lineRule="atLeast"/>
        <w:ind w:left="800" w:hanging="480"/>
        <w:rPr>
          <w:rFonts w:ascii="DIN" w:hAnsi="DIN" w:cs="DIN"/>
          <w:color w:val="000000"/>
          <w:sz w:val="18"/>
          <w:szCs w:val="18"/>
        </w:rPr>
      </w:pPr>
      <w:r>
        <w:rPr>
          <w:rFonts w:ascii="DIN" w:hAnsi="DIN" w:cs="DIN"/>
          <w:b/>
          <w:bCs/>
          <w:color w:val="000000"/>
          <w:sz w:val="18"/>
          <w:szCs w:val="18"/>
        </w:rPr>
        <w:t xml:space="preserve">1.1.2 </w:t>
      </w:r>
      <w:r>
        <w:rPr>
          <w:rFonts w:ascii="DIN" w:hAnsi="DIN" w:cs="DIN"/>
          <w:color w:val="000000"/>
          <w:sz w:val="18"/>
          <w:szCs w:val="18"/>
        </w:rPr>
        <w:t xml:space="preserve">Natural dangers and other obstructions such as wrecks. </w:t>
      </w:r>
    </w:p>
    <w:p w14:paraId="29C3377F" w14:textId="77777777" w:rsidR="00541A14" w:rsidRDefault="00A450E1">
      <w:pPr>
        <w:pStyle w:val="CM165"/>
        <w:spacing w:after="85" w:line="246" w:lineRule="atLeast"/>
        <w:ind w:left="800" w:hanging="480"/>
        <w:rPr>
          <w:rFonts w:ascii="DIN" w:hAnsi="DIN" w:cs="DIN"/>
          <w:color w:val="000000"/>
          <w:sz w:val="18"/>
          <w:szCs w:val="18"/>
        </w:rPr>
      </w:pPr>
      <w:r>
        <w:rPr>
          <w:rFonts w:ascii="DIN" w:hAnsi="DIN" w:cs="DIN"/>
          <w:b/>
          <w:bCs/>
          <w:color w:val="000000"/>
          <w:sz w:val="18"/>
          <w:szCs w:val="18"/>
        </w:rPr>
        <w:t xml:space="preserve">1.1.3 </w:t>
      </w:r>
      <w:r>
        <w:rPr>
          <w:rFonts w:ascii="DIN" w:hAnsi="DIN" w:cs="DIN"/>
          <w:color w:val="000000"/>
          <w:sz w:val="18"/>
          <w:szCs w:val="18"/>
        </w:rPr>
        <w:t xml:space="preserve">Landfall, course to steer, and other areas or features of importance to the mariner. </w:t>
      </w:r>
    </w:p>
    <w:p w14:paraId="4134CD05" w14:textId="77777777" w:rsidR="00541A14" w:rsidRDefault="00A450E1">
      <w:pPr>
        <w:pStyle w:val="CM172"/>
        <w:spacing w:after="202" w:line="260" w:lineRule="atLeast"/>
        <w:ind w:left="295"/>
        <w:rPr>
          <w:rFonts w:ascii="DIN" w:hAnsi="DIN" w:cs="DIN"/>
          <w:color w:val="000000"/>
          <w:sz w:val="18"/>
          <w:szCs w:val="18"/>
        </w:rPr>
      </w:pPr>
      <w:r>
        <w:rPr>
          <w:rFonts w:ascii="DIN" w:hAnsi="DIN" w:cs="DIN"/>
          <w:b/>
          <w:bCs/>
          <w:color w:val="000000"/>
          <w:sz w:val="18"/>
          <w:szCs w:val="18"/>
        </w:rPr>
        <w:t xml:space="preserve">1.1.4 </w:t>
      </w:r>
      <w:r>
        <w:rPr>
          <w:rFonts w:ascii="DIN" w:hAnsi="DIN" w:cs="DIN"/>
          <w:color w:val="000000"/>
          <w:sz w:val="18"/>
          <w:szCs w:val="18"/>
        </w:rPr>
        <w:t xml:space="preserve">New dangers. </w:t>
      </w:r>
    </w:p>
    <w:p w14:paraId="21AA070B" w14:textId="77777777" w:rsidR="00541A14" w:rsidRDefault="00A450E1">
      <w:pPr>
        <w:pStyle w:val="CM165"/>
        <w:spacing w:after="85" w:line="268" w:lineRule="atLeast"/>
        <w:ind w:left="302" w:hanging="303"/>
        <w:rPr>
          <w:rFonts w:ascii="DIN" w:hAnsi="DIN" w:cs="DIN"/>
          <w:color w:val="000000"/>
          <w:sz w:val="18"/>
          <w:szCs w:val="18"/>
        </w:rPr>
      </w:pPr>
      <w:r>
        <w:rPr>
          <w:rFonts w:ascii="DIN" w:hAnsi="DIN" w:cs="DIN"/>
          <w:b/>
          <w:bCs/>
          <w:color w:val="EC1B22"/>
          <w:sz w:val="18"/>
          <w:szCs w:val="18"/>
        </w:rPr>
        <w:t xml:space="preserve">1.2 Types of marks </w:t>
      </w:r>
      <w:r>
        <w:rPr>
          <w:rFonts w:ascii="DIN" w:hAnsi="DIN" w:cs="DIN"/>
          <w:color w:val="000000"/>
          <w:sz w:val="18"/>
          <w:szCs w:val="18"/>
        </w:rPr>
        <w:t xml:space="preserve">A Mark is defined as a signal available to the Mariner to convey guidance in safe navigation. The Maritime Buoyage System and other aids to navigation provide the following types of marks that may be used in combination: </w:t>
      </w:r>
    </w:p>
    <w:p w14:paraId="12DCFCC0" w14:textId="77777777" w:rsidR="00541A14" w:rsidRDefault="00A450E1">
      <w:pPr>
        <w:pStyle w:val="CM72"/>
        <w:ind w:left="295"/>
        <w:rPr>
          <w:rFonts w:ascii="DIN" w:hAnsi="DIN" w:cs="DIN"/>
          <w:color w:val="000000"/>
          <w:sz w:val="18"/>
          <w:szCs w:val="18"/>
        </w:rPr>
      </w:pPr>
      <w:r>
        <w:rPr>
          <w:rFonts w:ascii="DIN" w:hAnsi="DIN" w:cs="DIN"/>
          <w:b/>
          <w:bCs/>
          <w:color w:val="000000"/>
          <w:sz w:val="18"/>
          <w:szCs w:val="18"/>
        </w:rPr>
        <w:t xml:space="preserve">1.2.1 </w:t>
      </w:r>
      <w:r>
        <w:rPr>
          <w:rFonts w:ascii="DIN" w:hAnsi="DIN" w:cs="DIN"/>
          <w:color w:val="000000"/>
          <w:sz w:val="18"/>
          <w:szCs w:val="18"/>
        </w:rPr>
        <w:t xml:space="preserve">Lateral marks, used in conjunction with a </w:t>
      </w:r>
    </w:p>
    <w:p w14:paraId="42D91DBA" w14:textId="77777777" w:rsidR="00541A14" w:rsidRDefault="00A450E1">
      <w:pPr>
        <w:pStyle w:val="CM150"/>
        <w:ind w:left="802"/>
        <w:rPr>
          <w:rFonts w:ascii="DIN" w:hAnsi="DIN" w:cs="DIN"/>
          <w:color w:val="000000"/>
          <w:sz w:val="18"/>
          <w:szCs w:val="18"/>
        </w:rPr>
      </w:pPr>
      <w:r>
        <w:rPr>
          <w:rFonts w:ascii="DIN" w:hAnsi="DIN" w:cs="DIN"/>
          <w:color w:val="000000"/>
          <w:sz w:val="18"/>
          <w:szCs w:val="18"/>
        </w:rPr>
        <w:t xml:space="preserve">“conventional direction of buoyage”, </w:t>
      </w:r>
    </w:p>
    <w:p w14:paraId="1E564974" w14:textId="77777777" w:rsidR="00541A14" w:rsidRDefault="00A450E1">
      <w:pPr>
        <w:pStyle w:val="CM150"/>
        <w:ind w:left="802"/>
        <w:rPr>
          <w:rFonts w:ascii="DIN" w:hAnsi="DIN" w:cs="DIN"/>
          <w:color w:val="000000"/>
          <w:sz w:val="18"/>
          <w:szCs w:val="18"/>
        </w:rPr>
      </w:pPr>
      <w:r>
        <w:rPr>
          <w:rFonts w:ascii="DIN" w:hAnsi="DIN" w:cs="DIN"/>
          <w:color w:val="000000"/>
          <w:sz w:val="18"/>
          <w:szCs w:val="18"/>
        </w:rPr>
        <w:t xml:space="preserve">generally employed for well defined channels. These marks indicate the port and starboard sides of the route to be followed. Where a channel divides, a modified lateral mark may be used to indicate the preferred route. Lateral marks differ between Buoyage Regions A and B as described in MBS Sections 2 and 8. </w:t>
      </w:r>
    </w:p>
    <w:p w14:paraId="6F4CBBA8" w14:textId="77777777" w:rsidR="00541A14" w:rsidRDefault="00A450E1">
      <w:pPr>
        <w:pStyle w:val="CM165"/>
        <w:spacing w:after="85" w:line="246" w:lineRule="atLeast"/>
        <w:ind w:left="802"/>
        <w:jc w:val="both"/>
        <w:rPr>
          <w:rFonts w:ascii="DIN" w:hAnsi="DIN" w:cs="DIN"/>
          <w:color w:val="000000"/>
          <w:sz w:val="18"/>
          <w:szCs w:val="18"/>
        </w:rPr>
      </w:pPr>
      <w:r>
        <w:rPr>
          <w:rFonts w:ascii="DIN" w:hAnsi="DIN" w:cs="DIN"/>
          <w:b/>
          <w:bCs/>
          <w:color w:val="000000"/>
          <w:sz w:val="18"/>
          <w:szCs w:val="18"/>
        </w:rPr>
        <w:t xml:space="preserve">1.2.2 </w:t>
      </w:r>
      <w:r>
        <w:rPr>
          <w:rFonts w:ascii="DIN" w:hAnsi="DIN" w:cs="DIN"/>
          <w:color w:val="000000"/>
          <w:sz w:val="18"/>
          <w:szCs w:val="18"/>
        </w:rPr>
        <w:t xml:space="preserve">Cardinal marks, used in conjunction with the mariner's compass, to indicate where the mariner may find navigable water. </w:t>
      </w:r>
    </w:p>
    <w:p w14:paraId="6DC81809" w14:textId="77777777" w:rsidR="00541A14" w:rsidRDefault="00A450E1">
      <w:pPr>
        <w:pStyle w:val="CM165"/>
        <w:spacing w:after="85" w:line="246" w:lineRule="atLeast"/>
        <w:ind w:left="802"/>
        <w:jc w:val="both"/>
        <w:rPr>
          <w:rFonts w:ascii="DIN" w:hAnsi="DIN" w:cs="DIN"/>
          <w:color w:val="000000"/>
          <w:sz w:val="18"/>
          <w:szCs w:val="18"/>
        </w:rPr>
      </w:pPr>
      <w:r>
        <w:rPr>
          <w:rFonts w:ascii="DIN" w:hAnsi="DIN" w:cs="DIN"/>
          <w:b/>
          <w:bCs/>
          <w:color w:val="000000"/>
          <w:sz w:val="18"/>
          <w:szCs w:val="18"/>
        </w:rPr>
        <w:t xml:space="preserve">1.2.3 </w:t>
      </w:r>
      <w:r>
        <w:rPr>
          <w:rFonts w:ascii="DIN" w:hAnsi="DIN" w:cs="DIN"/>
          <w:color w:val="000000"/>
          <w:sz w:val="18"/>
          <w:szCs w:val="18"/>
        </w:rPr>
        <w:t xml:space="preserve">Isolated Danger marks to indicate isolated dangers of limited size that have navigable water all around them. </w:t>
      </w:r>
    </w:p>
    <w:p w14:paraId="304F02CA" w14:textId="77777777" w:rsidR="00541A14" w:rsidRDefault="00A450E1">
      <w:pPr>
        <w:pStyle w:val="CM151"/>
        <w:ind w:left="802"/>
        <w:jc w:val="both"/>
        <w:rPr>
          <w:rFonts w:ascii="DIN" w:hAnsi="DIN" w:cs="DIN"/>
          <w:color w:val="000000"/>
          <w:sz w:val="18"/>
          <w:szCs w:val="18"/>
        </w:rPr>
      </w:pPr>
      <w:r>
        <w:rPr>
          <w:rFonts w:ascii="DIN" w:hAnsi="DIN" w:cs="DIN"/>
          <w:b/>
          <w:bCs/>
          <w:color w:val="000000"/>
          <w:sz w:val="18"/>
          <w:szCs w:val="18"/>
        </w:rPr>
        <w:t xml:space="preserve">1.2.4 </w:t>
      </w:r>
      <w:r>
        <w:rPr>
          <w:rFonts w:ascii="DIN" w:hAnsi="DIN" w:cs="DIN"/>
          <w:color w:val="000000"/>
          <w:sz w:val="18"/>
          <w:szCs w:val="18"/>
        </w:rPr>
        <w:t xml:space="preserve">Safe Water marks to indicate that there is navigable water all around their position, </w:t>
      </w:r>
    </w:p>
    <w:p w14:paraId="622ABA0D" w14:textId="77777777" w:rsidR="00541A14" w:rsidRDefault="00A450E1">
      <w:pPr>
        <w:pStyle w:val="CM165"/>
        <w:spacing w:after="85" w:line="246" w:lineRule="atLeast"/>
        <w:ind w:left="800"/>
        <w:jc w:val="both"/>
        <w:rPr>
          <w:rFonts w:ascii="DIN" w:hAnsi="DIN" w:cs="DIN"/>
          <w:color w:val="000000"/>
          <w:sz w:val="18"/>
          <w:szCs w:val="18"/>
        </w:rPr>
      </w:pPr>
      <w:r>
        <w:rPr>
          <w:rFonts w:ascii="DIN" w:hAnsi="DIN" w:cs="DIN"/>
          <w:color w:val="000000"/>
          <w:sz w:val="18"/>
          <w:szCs w:val="18"/>
        </w:rPr>
        <w:t xml:space="preserve">e.g. mid-channel marks. </w:t>
      </w:r>
    </w:p>
    <w:p w14:paraId="1C30672E" w14:textId="77777777" w:rsidR="00541A14" w:rsidRDefault="00A450E1">
      <w:pPr>
        <w:pStyle w:val="CM165"/>
        <w:spacing w:after="85" w:line="246" w:lineRule="atLeast"/>
        <w:ind w:left="802"/>
        <w:jc w:val="both"/>
        <w:rPr>
          <w:rFonts w:ascii="DIN" w:hAnsi="DIN" w:cs="DIN"/>
          <w:color w:val="000000"/>
          <w:sz w:val="18"/>
          <w:szCs w:val="18"/>
        </w:rPr>
      </w:pPr>
      <w:r>
        <w:rPr>
          <w:rFonts w:ascii="DIN" w:hAnsi="DIN" w:cs="DIN"/>
          <w:b/>
          <w:bCs/>
          <w:color w:val="000000"/>
          <w:sz w:val="18"/>
          <w:szCs w:val="18"/>
        </w:rPr>
        <w:t xml:space="preserve">1.2.5 </w:t>
      </w:r>
      <w:r>
        <w:rPr>
          <w:rFonts w:ascii="DIN" w:hAnsi="DIN" w:cs="DIN"/>
          <w:color w:val="000000"/>
          <w:sz w:val="18"/>
          <w:szCs w:val="18"/>
        </w:rPr>
        <w:t xml:space="preserve">Special marks to indicate an area or feature referred to in nautical documents, not generally intended to mark channels or obstructions. </w:t>
      </w:r>
    </w:p>
    <w:p w14:paraId="07F31D1E" w14:textId="77777777" w:rsidR="00541A14" w:rsidRDefault="00A450E1">
      <w:pPr>
        <w:pStyle w:val="CM172"/>
        <w:spacing w:after="202" w:line="246" w:lineRule="atLeast"/>
        <w:ind w:left="802"/>
        <w:jc w:val="both"/>
        <w:rPr>
          <w:rFonts w:ascii="DIN" w:hAnsi="DIN" w:cs="DIN"/>
          <w:color w:val="000000"/>
          <w:sz w:val="18"/>
          <w:szCs w:val="18"/>
        </w:rPr>
      </w:pPr>
      <w:r>
        <w:rPr>
          <w:rFonts w:ascii="DIN" w:hAnsi="DIN" w:cs="DIN"/>
          <w:b/>
          <w:bCs/>
          <w:color w:val="000000"/>
          <w:sz w:val="18"/>
          <w:szCs w:val="18"/>
        </w:rPr>
        <w:t xml:space="preserve">1.2.6 </w:t>
      </w:r>
      <w:r>
        <w:rPr>
          <w:rFonts w:ascii="DIN" w:hAnsi="DIN" w:cs="DIN"/>
          <w:color w:val="000000"/>
          <w:sz w:val="18"/>
          <w:szCs w:val="18"/>
        </w:rPr>
        <w:t xml:space="preserve">Other marks used to provide information to assist navigation. </w:t>
      </w:r>
    </w:p>
    <w:p w14:paraId="14B0AD5E" w14:textId="77777777" w:rsidR="00541A14" w:rsidRDefault="00A450E1">
      <w:pPr>
        <w:pStyle w:val="CM165"/>
        <w:spacing w:after="85" w:line="268" w:lineRule="atLeast"/>
        <w:ind w:left="302"/>
        <w:rPr>
          <w:rFonts w:ascii="DIN" w:hAnsi="DIN" w:cs="DIN"/>
          <w:color w:val="000000"/>
          <w:sz w:val="18"/>
          <w:szCs w:val="18"/>
        </w:rPr>
      </w:pPr>
      <w:r>
        <w:rPr>
          <w:rFonts w:ascii="DIN" w:hAnsi="DIN" w:cs="DIN"/>
          <w:b/>
          <w:bCs/>
          <w:color w:val="EC1B22"/>
          <w:sz w:val="18"/>
          <w:szCs w:val="18"/>
        </w:rPr>
        <w:t xml:space="preserve">1.3 Method of characterising marks </w:t>
      </w:r>
      <w:r>
        <w:rPr>
          <w:rFonts w:ascii="DIN" w:hAnsi="DIN" w:cs="DIN"/>
          <w:color w:val="000000"/>
          <w:sz w:val="18"/>
          <w:szCs w:val="18"/>
        </w:rPr>
        <w:t xml:space="preserve">The significance of the mark depends upon one or more of the following features: </w:t>
      </w:r>
    </w:p>
    <w:p w14:paraId="58F79BBB" w14:textId="77777777" w:rsidR="00541A14" w:rsidRDefault="00A450E1">
      <w:pPr>
        <w:pStyle w:val="CM165"/>
        <w:spacing w:after="85" w:line="246" w:lineRule="atLeast"/>
        <w:ind w:left="802"/>
        <w:jc w:val="both"/>
        <w:rPr>
          <w:rFonts w:ascii="DIN" w:hAnsi="DIN" w:cs="DIN"/>
          <w:color w:val="000000"/>
          <w:sz w:val="18"/>
          <w:szCs w:val="18"/>
        </w:rPr>
      </w:pPr>
      <w:r>
        <w:rPr>
          <w:rFonts w:ascii="DIN" w:hAnsi="DIN" w:cs="DIN"/>
          <w:b/>
          <w:bCs/>
          <w:color w:val="000000"/>
          <w:sz w:val="18"/>
          <w:szCs w:val="18"/>
        </w:rPr>
        <w:t xml:space="preserve">1.3.1 </w:t>
      </w:r>
      <w:r>
        <w:rPr>
          <w:rFonts w:ascii="DIN" w:hAnsi="DIN" w:cs="DIN"/>
          <w:color w:val="000000"/>
          <w:sz w:val="18"/>
          <w:szCs w:val="18"/>
        </w:rPr>
        <w:t xml:space="preserve">By night, colour and rhythm of light and/or illumination enhancement. </w:t>
      </w:r>
    </w:p>
    <w:p w14:paraId="2E1E31B2" w14:textId="77777777" w:rsidR="00541A14" w:rsidRDefault="00A450E1">
      <w:pPr>
        <w:pStyle w:val="CM165"/>
        <w:spacing w:after="85" w:line="246" w:lineRule="atLeast"/>
        <w:ind w:left="802"/>
        <w:jc w:val="both"/>
        <w:rPr>
          <w:rFonts w:ascii="DIN" w:hAnsi="DIN" w:cs="DIN"/>
          <w:color w:val="000000"/>
          <w:sz w:val="18"/>
          <w:szCs w:val="18"/>
        </w:rPr>
      </w:pPr>
      <w:r>
        <w:rPr>
          <w:rFonts w:ascii="DIN" w:hAnsi="DIN" w:cs="DIN"/>
          <w:b/>
          <w:bCs/>
          <w:color w:val="000000"/>
          <w:sz w:val="18"/>
          <w:szCs w:val="18"/>
        </w:rPr>
        <w:t xml:space="preserve">1.3.2 </w:t>
      </w:r>
      <w:r>
        <w:rPr>
          <w:rFonts w:ascii="DIN" w:hAnsi="DIN" w:cs="DIN"/>
          <w:color w:val="000000"/>
          <w:sz w:val="18"/>
          <w:szCs w:val="18"/>
        </w:rPr>
        <w:t xml:space="preserve">By day, colour, shape, top-mark, and/or light (including colour and rhythm). </w:t>
      </w:r>
    </w:p>
    <w:p w14:paraId="57654E8F" w14:textId="77777777" w:rsidR="00541A14" w:rsidRDefault="00A450E1">
      <w:pPr>
        <w:pStyle w:val="CM165"/>
        <w:spacing w:after="85" w:line="246" w:lineRule="atLeast"/>
        <w:ind w:left="802"/>
        <w:jc w:val="both"/>
        <w:rPr>
          <w:rFonts w:ascii="DIN" w:hAnsi="DIN" w:cs="DIN"/>
          <w:color w:val="000000"/>
          <w:sz w:val="18"/>
          <w:szCs w:val="18"/>
        </w:rPr>
      </w:pPr>
      <w:r>
        <w:rPr>
          <w:rFonts w:ascii="DIN" w:hAnsi="DIN" w:cs="DIN"/>
          <w:b/>
          <w:bCs/>
          <w:color w:val="000000"/>
          <w:sz w:val="18"/>
          <w:szCs w:val="18"/>
        </w:rPr>
        <w:t xml:space="preserve">1.3.3 </w:t>
      </w:r>
      <w:r>
        <w:rPr>
          <w:rFonts w:ascii="DIN" w:hAnsi="DIN" w:cs="DIN"/>
          <w:color w:val="000000"/>
          <w:sz w:val="18"/>
          <w:szCs w:val="18"/>
        </w:rPr>
        <w:t xml:space="preserve">By electronic (digital) symbology, e.g. as a complement to physical marks. </w:t>
      </w:r>
    </w:p>
    <w:p w14:paraId="64839612" w14:textId="77777777" w:rsidR="00541A14" w:rsidRDefault="00A450E1">
      <w:pPr>
        <w:pStyle w:val="CM203"/>
        <w:spacing w:after="4245" w:line="248" w:lineRule="atLeast"/>
        <w:ind w:left="307"/>
        <w:jc w:val="both"/>
        <w:rPr>
          <w:rFonts w:ascii="DIN" w:hAnsi="DIN" w:cs="DIN"/>
          <w:color w:val="000000"/>
          <w:sz w:val="18"/>
          <w:szCs w:val="18"/>
        </w:rPr>
      </w:pPr>
      <w:r>
        <w:rPr>
          <w:rFonts w:ascii="DIN" w:hAnsi="DIN" w:cs="DIN"/>
          <w:b/>
          <w:bCs/>
          <w:color w:val="000000"/>
          <w:sz w:val="18"/>
          <w:szCs w:val="18"/>
        </w:rPr>
        <w:t xml:space="preserve">1.3.4 </w:t>
      </w:r>
      <w:r>
        <w:rPr>
          <w:rFonts w:ascii="DIN" w:hAnsi="DIN" w:cs="DIN"/>
          <w:color w:val="000000"/>
          <w:sz w:val="18"/>
          <w:szCs w:val="18"/>
        </w:rPr>
        <w:t xml:space="preserve">By electronic (digital) symbology solely. </w:t>
      </w:r>
    </w:p>
    <w:p w14:paraId="27210D61" w14:textId="77777777" w:rsidR="00541A14" w:rsidRDefault="00DD420F">
      <w:pPr>
        <w:pStyle w:val="Default"/>
        <w:framePr w:w="1318" w:wrap="auto" w:vAnchor="page" w:hAnchor="page" w:x="5685" w:y="15210"/>
        <w:spacing w:after="2420"/>
        <w:rPr>
          <w:rFonts w:ascii="DIN" w:hAnsi="DIN" w:cs="DIN"/>
          <w:sz w:val="18"/>
          <w:szCs w:val="18"/>
        </w:rPr>
      </w:pPr>
      <w:r>
        <w:rPr>
          <w:rFonts w:ascii="DIN" w:hAnsi="DIN" w:cs="DIN"/>
          <w:noProof/>
          <w:sz w:val="18"/>
          <w:szCs w:val="18"/>
        </w:rPr>
        <w:drawing>
          <wp:inline distT="0" distB="0" distL="0" distR="0" wp14:anchorId="0A419541" wp14:editId="1107A0DA">
            <wp:extent cx="11430" cy="2286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11430" cy="22860"/>
                    </a:xfrm>
                    <a:prstGeom prst="rect">
                      <a:avLst/>
                    </a:prstGeom>
                    <a:noFill/>
                    <a:ln>
                      <a:noFill/>
                    </a:ln>
                  </pic:spPr>
                </pic:pic>
              </a:graphicData>
            </a:graphic>
          </wp:inline>
        </w:drawing>
      </w:r>
    </w:p>
    <w:p w14:paraId="3A0AF7BD" w14:textId="77777777" w:rsidR="00541A14" w:rsidRDefault="00541A14">
      <w:pPr>
        <w:pStyle w:val="Default"/>
        <w:rPr>
          <w:rFonts w:cs="Times New Roman"/>
          <w:color w:val="auto"/>
        </w:rPr>
        <w:sectPr w:rsidR="00541A14">
          <w:type w:val="continuous"/>
          <w:pgSz w:w="11905" w:h="17337"/>
          <w:pgMar w:top="1400" w:right="900" w:bottom="0" w:left="900" w:header="720" w:footer="720" w:gutter="0"/>
          <w:cols w:num="2" w:space="720" w:equalWidth="0">
            <w:col w:w="4325" w:space="331"/>
            <w:col w:w="4323"/>
          </w:cols>
          <w:noEndnote/>
        </w:sectPr>
      </w:pPr>
    </w:p>
    <w:p w14:paraId="51CEDBA9" w14:textId="77777777" w:rsidR="00541A14" w:rsidRDefault="00A450E1">
      <w:pPr>
        <w:pStyle w:val="Default"/>
        <w:jc w:val="both"/>
        <w:rPr>
          <w:rFonts w:ascii="DIN" w:hAnsi="DIN" w:cs="DIN"/>
          <w:color w:val="auto"/>
          <w:sz w:val="15"/>
          <w:szCs w:val="15"/>
        </w:rPr>
      </w:pPr>
      <w:r>
        <w:rPr>
          <w:rFonts w:ascii="DIN" w:hAnsi="DIN" w:cs="DIN"/>
          <w:color w:val="auto"/>
          <w:sz w:val="15"/>
          <w:szCs w:val="15"/>
        </w:rPr>
        <w:t xml:space="preserve">Maritime Buoyage System </w:t>
      </w:r>
    </w:p>
    <w:p w14:paraId="07CDBF9C" w14:textId="77777777" w:rsidR="00541A14" w:rsidRDefault="00A450E1">
      <w:pPr>
        <w:pStyle w:val="CM185"/>
        <w:spacing w:after="140"/>
        <w:jc w:val="both"/>
        <w:rPr>
          <w:rFonts w:ascii="DIN" w:hAnsi="DIN" w:cs="DIN"/>
          <w:color w:val="EC1B22"/>
          <w:sz w:val="15"/>
          <w:szCs w:val="15"/>
        </w:rPr>
      </w:pPr>
      <w:r>
        <w:rPr>
          <w:rFonts w:ascii="DIN" w:hAnsi="DIN" w:cs="DIN"/>
          <w:color w:val="EC1B22"/>
          <w:sz w:val="15"/>
          <w:szCs w:val="15"/>
        </w:rPr>
        <w:t xml:space="preserve">Rules </w:t>
      </w:r>
    </w:p>
    <w:p w14:paraId="7B3C75A5" w14:textId="77777777" w:rsidR="00541A14" w:rsidRDefault="00A450E1">
      <w:pPr>
        <w:pStyle w:val="CM162"/>
        <w:spacing w:after="552"/>
        <w:ind w:left="4827"/>
        <w:rPr>
          <w:rFonts w:ascii="DIN" w:hAnsi="DIN" w:cs="DIN"/>
          <w:color w:val="6B6D6F"/>
          <w:sz w:val="47"/>
          <w:szCs w:val="47"/>
        </w:rPr>
      </w:pPr>
      <w:r>
        <w:rPr>
          <w:rFonts w:ascii="DIN" w:hAnsi="DIN" w:cs="DIN"/>
          <w:color w:val="6B6D6F"/>
          <w:sz w:val="47"/>
          <w:szCs w:val="47"/>
        </w:rPr>
        <w:t xml:space="preserve">08 </w:t>
      </w:r>
    </w:p>
    <w:p w14:paraId="597A4110" w14:textId="77777777" w:rsidR="00541A14" w:rsidRDefault="00DD420F">
      <w:pPr>
        <w:pStyle w:val="Default"/>
        <w:framePr w:w="10730" w:wrap="auto" w:vAnchor="page" w:hAnchor="page" w:x="608" w:y="16317"/>
        <w:rPr>
          <w:rFonts w:ascii="DIN" w:hAnsi="DIN" w:cs="DIN"/>
          <w:color w:val="6B6D6F"/>
          <w:sz w:val="47"/>
          <w:szCs w:val="47"/>
        </w:rPr>
      </w:pPr>
      <w:r>
        <w:rPr>
          <w:rFonts w:ascii="DIN" w:hAnsi="DIN" w:cs="DIN"/>
          <w:noProof/>
          <w:color w:val="6B6D6F"/>
          <w:sz w:val="47"/>
          <w:szCs w:val="47"/>
        </w:rPr>
        <w:drawing>
          <wp:inline distT="0" distB="0" distL="0" distR="0" wp14:anchorId="6CB2948C" wp14:editId="19F9B865">
            <wp:extent cx="7553960" cy="39179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421EE20C" w14:textId="77777777" w:rsidR="00541A14" w:rsidRDefault="00A450E1">
      <w:pPr>
        <w:pStyle w:val="CM180"/>
        <w:pageBreakBefore/>
        <w:spacing w:after="732"/>
        <w:jc w:val="center"/>
        <w:rPr>
          <w:rFonts w:ascii="DIN" w:hAnsi="DIN" w:cs="DIN"/>
          <w:color w:val="EC1B22"/>
          <w:sz w:val="22"/>
          <w:szCs w:val="22"/>
        </w:rPr>
      </w:pPr>
      <w:r>
        <w:rPr>
          <w:rFonts w:ascii="DIN" w:hAnsi="DIN" w:cs="DIN"/>
          <w:b/>
          <w:bCs/>
          <w:color w:val="EC1B22"/>
          <w:sz w:val="22"/>
          <w:szCs w:val="22"/>
        </w:rPr>
        <w:t xml:space="preserve">2. LATERAL MARKS </w:t>
      </w:r>
    </w:p>
    <w:p w14:paraId="35D2BB07" w14:textId="77777777" w:rsidR="00541A14" w:rsidRDefault="00541A14">
      <w:pPr>
        <w:pStyle w:val="Default"/>
        <w:rPr>
          <w:rFonts w:cs="Times New Roman"/>
          <w:color w:val="auto"/>
        </w:rPr>
        <w:sectPr w:rsidR="00541A14">
          <w:type w:val="continuous"/>
          <w:pgSz w:w="11905" w:h="17337"/>
          <w:pgMar w:top="1400" w:right="900" w:bottom="0" w:left="900" w:header="720" w:footer="720" w:gutter="0"/>
          <w:cols w:space="720"/>
          <w:noEndnote/>
        </w:sectPr>
      </w:pPr>
    </w:p>
    <w:p w14:paraId="705DDF1F" w14:textId="77777777" w:rsidR="00541A14" w:rsidRDefault="00A450E1">
      <w:pPr>
        <w:pStyle w:val="Default"/>
        <w:spacing w:after="85" w:line="268" w:lineRule="atLeast"/>
        <w:ind w:left="302" w:hanging="303"/>
        <w:rPr>
          <w:rFonts w:ascii="DIN" w:hAnsi="DIN" w:cs="DIN"/>
          <w:sz w:val="18"/>
          <w:szCs w:val="18"/>
        </w:rPr>
      </w:pPr>
      <w:r>
        <w:rPr>
          <w:rFonts w:ascii="DIN" w:hAnsi="DIN" w:cs="DIN"/>
          <w:b/>
          <w:bCs/>
          <w:color w:val="auto"/>
          <w:sz w:val="18"/>
          <w:szCs w:val="18"/>
        </w:rPr>
        <w:t xml:space="preserve">2.1 Definition of ‘conventional direction of buoyage’ </w:t>
      </w:r>
      <w:r>
        <w:rPr>
          <w:rFonts w:ascii="DIN" w:hAnsi="DIN" w:cs="DIN"/>
          <w:sz w:val="18"/>
          <w:szCs w:val="18"/>
        </w:rPr>
        <w:t xml:space="preserve">The ‘conventional direction of buoyage’, which must be indicated in appropriate nautical charts and documents, may be either: </w:t>
      </w:r>
    </w:p>
    <w:p w14:paraId="5C459176" w14:textId="77777777" w:rsidR="00541A14" w:rsidRDefault="00A450E1">
      <w:pPr>
        <w:pStyle w:val="CM165"/>
        <w:spacing w:after="85" w:line="246" w:lineRule="atLeast"/>
        <w:ind w:left="800" w:hanging="480"/>
        <w:rPr>
          <w:rFonts w:ascii="DIN" w:hAnsi="DIN" w:cs="DIN"/>
          <w:color w:val="000000"/>
          <w:sz w:val="18"/>
          <w:szCs w:val="18"/>
        </w:rPr>
      </w:pPr>
      <w:r>
        <w:rPr>
          <w:rFonts w:ascii="DIN" w:hAnsi="DIN" w:cs="DIN"/>
          <w:b/>
          <w:bCs/>
          <w:color w:val="000000"/>
          <w:sz w:val="18"/>
          <w:szCs w:val="18"/>
        </w:rPr>
        <w:t xml:space="preserve">2.1.1 </w:t>
      </w:r>
      <w:r>
        <w:rPr>
          <w:rFonts w:ascii="DIN" w:hAnsi="DIN" w:cs="DIN"/>
          <w:color w:val="000000"/>
          <w:sz w:val="18"/>
          <w:szCs w:val="18"/>
        </w:rPr>
        <w:t xml:space="preserve">The general direction taken by the mariner when approaching a harbour, river, estuary or other waterway from seaward, or </w:t>
      </w:r>
    </w:p>
    <w:p w14:paraId="73EA369A" w14:textId="77777777" w:rsidR="00541A14" w:rsidRDefault="00A450E1">
      <w:pPr>
        <w:pStyle w:val="CM174"/>
        <w:spacing w:after="437" w:line="246" w:lineRule="atLeast"/>
        <w:ind w:left="800" w:hanging="480"/>
        <w:rPr>
          <w:rFonts w:ascii="DIN" w:hAnsi="DIN" w:cs="DIN"/>
          <w:color w:val="000000"/>
          <w:sz w:val="18"/>
          <w:szCs w:val="18"/>
        </w:rPr>
      </w:pPr>
      <w:r>
        <w:rPr>
          <w:rFonts w:ascii="DIN" w:hAnsi="DIN" w:cs="DIN"/>
          <w:b/>
          <w:bCs/>
          <w:color w:val="000000"/>
          <w:sz w:val="18"/>
          <w:szCs w:val="18"/>
        </w:rPr>
        <w:t xml:space="preserve">2.1.2 </w:t>
      </w:r>
      <w:r>
        <w:rPr>
          <w:rFonts w:ascii="DIN" w:hAnsi="DIN" w:cs="DIN"/>
          <w:color w:val="000000"/>
          <w:sz w:val="18"/>
          <w:szCs w:val="18"/>
        </w:rPr>
        <w:t xml:space="preserve">The direction determined by the proper authority in consultation, where appropriate, with neighbouring countries. In principle, it should follow a clockwise direction around land masses. </w:t>
      </w:r>
    </w:p>
    <w:p w14:paraId="7B3DB0DF" w14:textId="77777777" w:rsidR="00541A14" w:rsidRDefault="00A450E1">
      <w:pPr>
        <w:pStyle w:val="CM36"/>
        <w:rPr>
          <w:rFonts w:ascii="DIN" w:hAnsi="DIN" w:cs="DIN"/>
          <w:color w:val="EC1B22"/>
          <w:sz w:val="18"/>
          <w:szCs w:val="18"/>
        </w:rPr>
      </w:pPr>
      <w:r>
        <w:rPr>
          <w:rFonts w:ascii="DIN" w:hAnsi="DIN" w:cs="DIN"/>
          <w:b/>
          <w:bCs/>
          <w:color w:val="EC1B22"/>
          <w:sz w:val="18"/>
          <w:szCs w:val="18"/>
        </w:rPr>
        <w:t xml:space="preserve">2.2 Buoyage Regions </w:t>
      </w:r>
    </w:p>
    <w:p w14:paraId="08B74FD4" w14:textId="77777777" w:rsidR="00541A14" w:rsidRDefault="00A450E1">
      <w:pPr>
        <w:pStyle w:val="CM149"/>
        <w:ind w:left="800" w:hanging="480"/>
        <w:rPr>
          <w:rFonts w:ascii="DIN" w:hAnsi="DIN" w:cs="DIN"/>
          <w:color w:val="000000"/>
          <w:sz w:val="18"/>
          <w:szCs w:val="18"/>
        </w:rPr>
      </w:pPr>
      <w:r>
        <w:rPr>
          <w:rFonts w:ascii="DIN" w:hAnsi="DIN" w:cs="DIN"/>
          <w:b/>
          <w:bCs/>
          <w:color w:val="000000"/>
          <w:sz w:val="18"/>
          <w:szCs w:val="18"/>
        </w:rPr>
        <w:t xml:space="preserve">2.2.1 </w:t>
      </w:r>
      <w:r>
        <w:rPr>
          <w:rFonts w:ascii="DIN" w:hAnsi="DIN" w:cs="DIN"/>
          <w:color w:val="000000"/>
          <w:sz w:val="18"/>
          <w:szCs w:val="18"/>
        </w:rPr>
        <w:t xml:space="preserve">There are two international Buoyage Regions A and B, where lateral marks differ. The current geographical divisions of these two Regions are shown on the world map on the centrefold of this booklet. </w:t>
      </w:r>
    </w:p>
    <w:p w14:paraId="7B7E3262" w14:textId="77777777" w:rsidR="00541A14" w:rsidRDefault="00A450E1">
      <w:pPr>
        <w:pStyle w:val="CM12"/>
        <w:jc w:val="both"/>
        <w:rPr>
          <w:rFonts w:ascii="DIN" w:hAnsi="DIN" w:cs="DIN"/>
          <w:color w:val="EC1B22"/>
          <w:sz w:val="18"/>
          <w:szCs w:val="18"/>
        </w:rPr>
      </w:pPr>
      <w:r>
        <w:rPr>
          <w:rFonts w:ascii="DIN" w:hAnsi="DIN" w:cs="DIN"/>
          <w:b/>
          <w:bCs/>
          <w:color w:val="EC1B22"/>
          <w:sz w:val="18"/>
          <w:szCs w:val="18"/>
        </w:rPr>
        <w:t xml:space="preserve">2.3 General Rules for Lateral Marks </w:t>
      </w:r>
    </w:p>
    <w:p w14:paraId="335FC68C" w14:textId="77777777" w:rsidR="00541A14" w:rsidRDefault="00A450E1">
      <w:pPr>
        <w:pStyle w:val="CM165"/>
        <w:spacing w:after="85"/>
        <w:ind w:left="310"/>
        <w:jc w:val="both"/>
        <w:rPr>
          <w:rFonts w:ascii="DIN" w:hAnsi="DIN" w:cs="DIN"/>
          <w:color w:val="000000"/>
          <w:sz w:val="18"/>
          <w:szCs w:val="18"/>
        </w:rPr>
      </w:pPr>
      <w:r>
        <w:rPr>
          <w:rFonts w:ascii="DIN" w:hAnsi="DIN" w:cs="DIN"/>
          <w:b/>
          <w:bCs/>
          <w:color w:val="000000"/>
          <w:sz w:val="18"/>
          <w:szCs w:val="18"/>
        </w:rPr>
        <w:t xml:space="preserve">2.3.1 Colour </w:t>
      </w:r>
    </w:p>
    <w:p w14:paraId="7C50C6E4" w14:textId="77777777" w:rsidR="00541A14" w:rsidRDefault="00A450E1">
      <w:pPr>
        <w:pStyle w:val="CM165"/>
        <w:spacing w:after="85" w:line="246" w:lineRule="atLeast"/>
        <w:ind w:left="800"/>
        <w:jc w:val="both"/>
        <w:rPr>
          <w:rFonts w:ascii="DIN" w:hAnsi="DIN" w:cs="DIN"/>
          <w:color w:val="000000"/>
          <w:sz w:val="18"/>
          <w:szCs w:val="18"/>
        </w:rPr>
      </w:pPr>
      <w:r>
        <w:rPr>
          <w:rFonts w:ascii="DIN" w:hAnsi="DIN" w:cs="DIN"/>
          <w:color w:val="000000"/>
          <w:sz w:val="18"/>
          <w:szCs w:val="18"/>
        </w:rPr>
        <w:t xml:space="preserve">The colour of lateral marks must comply with the IALA MBS Regions as specified in Sections 2.4 and 2.5. </w:t>
      </w:r>
    </w:p>
    <w:p w14:paraId="41EB1775" w14:textId="77777777" w:rsidR="00541A14" w:rsidRDefault="00A450E1">
      <w:pPr>
        <w:pStyle w:val="CM165"/>
        <w:spacing w:after="85" w:line="248" w:lineRule="atLeast"/>
        <w:ind w:left="307"/>
        <w:jc w:val="both"/>
        <w:rPr>
          <w:rFonts w:ascii="DIN" w:hAnsi="DIN" w:cs="DIN"/>
          <w:color w:val="000000"/>
          <w:sz w:val="18"/>
          <w:szCs w:val="18"/>
        </w:rPr>
      </w:pPr>
      <w:r>
        <w:rPr>
          <w:rFonts w:ascii="DIN" w:hAnsi="DIN" w:cs="DIN"/>
          <w:b/>
          <w:bCs/>
          <w:color w:val="000000"/>
          <w:sz w:val="18"/>
          <w:szCs w:val="18"/>
        </w:rPr>
        <w:t xml:space="preserve">2.3.2 Shapes </w:t>
      </w:r>
    </w:p>
    <w:p w14:paraId="72EFBC71" w14:textId="77777777" w:rsidR="00541A14" w:rsidRDefault="00A450E1">
      <w:pPr>
        <w:pStyle w:val="CM165"/>
        <w:spacing w:after="85" w:line="246" w:lineRule="atLeast"/>
        <w:ind w:left="800"/>
        <w:jc w:val="both"/>
        <w:rPr>
          <w:rFonts w:ascii="DIN" w:hAnsi="DIN" w:cs="DIN"/>
          <w:color w:val="000000"/>
          <w:sz w:val="18"/>
          <w:szCs w:val="18"/>
        </w:rPr>
      </w:pPr>
      <w:r>
        <w:rPr>
          <w:rFonts w:ascii="DIN" w:hAnsi="DIN" w:cs="DIN"/>
          <w:color w:val="000000"/>
          <w:sz w:val="18"/>
          <w:szCs w:val="18"/>
        </w:rPr>
        <w:t xml:space="preserve">Lateral marks should be of cylindrical and conical shape. However, where they do not rely on a distinctive shape for identification, they should, where practicable, carry the appropriate topmark. </w:t>
      </w:r>
    </w:p>
    <w:p w14:paraId="721D2C31" w14:textId="77777777" w:rsidR="00541A14" w:rsidRDefault="00A450E1">
      <w:pPr>
        <w:pStyle w:val="CM165"/>
        <w:spacing w:after="85" w:line="248" w:lineRule="atLeast"/>
        <w:ind w:left="307"/>
        <w:jc w:val="both"/>
        <w:rPr>
          <w:rFonts w:ascii="DIN" w:hAnsi="DIN" w:cs="DIN"/>
          <w:color w:val="000000"/>
          <w:sz w:val="18"/>
          <w:szCs w:val="18"/>
        </w:rPr>
      </w:pPr>
      <w:r>
        <w:rPr>
          <w:rFonts w:ascii="DIN" w:hAnsi="DIN" w:cs="DIN"/>
          <w:b/>
          <w:bCs/>
          <w:color w:val="000000"/>
          <w:sz w:val="18"/>
          <w:szCs w:val="18"/>
        </w:rPr>
        <w:t xml:space="preserve">2.3.3 Numbering or lettering </w:t>
      </w:r>
    </w:p>
    <w:p w14:paraId="6435386D" w14:textId="77777777" w:rsidR="00541A14" w:rsidRDefault="00A450E1">
      <w:pPr>
        <w:pStyle w:val="CM165"/>
        <w:spacing w:after="85" w:line="246" w:lineRule="atLeast"/>
        <w:ind w:left="800"/>
        <w:jc w:val="both"/>
        <w:rPr>
          <w:rFonts w:ascii="DIN" w:hAnsi="DIN" w:cs="DIN"/>
          <w:color w:val="000000"/>
          <w:sz w:val="18"/>
          <w:szCs w:val="18"/>
        </w:rPr>
      </w:pPr>
      <w:r>
        <w:rPr>
          <w:rFonts w:ascii="DIN" w:hAnsi="DIN" w:cs="DIN"/>
          <w:color w:val="000000"/>
          <w:sz w:val="18"/>
          <w:szCs w:val="18"/>
        </w:rPr>
        <w:t>If marks at the sides of a channel are num</w:t>
      </w:r>
      <w:r>
        <w:rPr>
          <w:rFonts w:ascii="DIN" w:hAnsi="DIN" w:cs="DIN"/>
          <w:color w:val="000000"/>
          <w:sz w:val="18"/>
          <w:szCs w:val="18"/>
        </w:rPr>
        <w:softHyphen/>
        <w:t>bered or lettered, the numbering or lettering shall follow the ‘conventional direction of buoyage’ i.e. numbered from seaward. The protocol for numbering lateral marks, espe</w:t>
      </w:r>
      <w:r>
        <w:rPr>
          <w:rFonts w:ascii="DIN" w:hAnsi="DIN" w:cs="DIN"/>
          <w:color w:val="000000"/>
          <w:sz w:val="18"/>
          <w:szCs w:val="18"/>
        </w:rPr>
        <w:softHyphen/>
        <w:t xml:space="preserve">cially in confined waterways, should be ‘even numbers on red ~ odd numbers on green’. </w:t>
      </w:r>
    </w:p>
    <w:p w14:paraId="68C2ABB3" w14:textId="77777777" w:rsidR="00541A14" w:rsidRDefault="00541A14">
      <w:pPr>
        <w:pStyle w:val="Default"/>
        <w:rPr>
          <w:rFonts w:cs="Times New Roman"/>
          <w:color w:val="auto"/>
        </w:rPr>
        <w:sectPr w:rsidR="00541A14">
          <w:type w:val="continuous"/>
          <w:pgSz w:w="11905" w:h="17337"/>
          <w:pgMar w:top="1400" w:right="900" w:bottom="0" w:left="900" w:header="720" w:footer="720" w:gutter="0"/>
          <w:cols w:num="2" w:space="720" w:equalWidth="0">
            <w:col w:w="4309" w:space="331"/>
            <w:col w:w="4311"/>
          </w:cols>
          <w:noEndnote/>
        </w:sectPr>
      </w:pPr>
    </w:p>
    <w:p w14:paraId="0F41E6C5" w14:textId="77777777" w:rsidR="00541A14" w:rsidRDefault="00A450E1">
      <w:pPr>
        <w:pStyle w:val="Default"/>
        <w:spacing w:after="85" w:line="248" w:lineRule="atLeast"/>
        <w:ind w:left="307"/>
        <w:jc w:val="both"/>
        <w:rPr>
          <w:rFonts w:ascii="DIN" w:hAnsi="DIN" w:cs="DIN"/>
          <w:color w:val="auto"/>
          <w:sz w:val="18"/>
          <w:szCs w:val="18"/>
        </w:rPr>
      </w:pPr>
      <w:r>
        <w:rPr>
          <w:rFonts w:ascii="DIN" w:hAnsi="DIN" w:cs="DIN"/>
          <w:b/>
          <w:bCs/>
          <w:color w:val="auto"/>
          <w:sz w:val="18"/>
          <w:szCs w:val="18"/>
        </w:rPr>
        <w:t xml:space="preserve">2.3.4 Synchronisation </w:t>
      </w:r>
    </w:p>
    <w:p w14:paraId="6E3EC6E4" w14:textId="77777777" w:rsidR="00541A14" w:rsidRDefault="00A450E1">
      <w:pPr>
        <w:pStyle w:val="CM152"/>
        <w:spacing w:after="5490"/>
        <w:ind w:left="800"/>
        <w:jc w:val="both"/>
        <w:rPr>
          <w:rFonts w:ascii="DIN" w:hAnsi="DIN" w:cs="DIN"/>
          <w:sz w:val="18"/>
          <w:szCs w:val="18"/>
        </w:rPr>
      </w:pPr>
      <w:r>
        <w:rPr>
          <w:rFonts w:ascii="DIN" w:hAnsi="DIN" w:cs="DIN"/>
          <w:sz w:val="18"/>
          <w:szCs w:val="18"/>
        </w:rPr>
        <w:t xml:space="preserve">If appropriate, synchronised lights (all flash at the same time) or sequential lights (flash one after another) or a combination of both may be utilized. </w:t>
      </w:r>
    </w:p>
    <w:p w14:paraId="796102EC" w14:textId="77777777" w:rsidR="00541A14" w:rsidRDefault="00DD420F">
      <w:pPr>
        <w:pStyle w:val="Default"/>
        <w:framePr w:w="828" w:wrap="auto" w:vAnchor="page" w:hAnchor="page" w:x="6043" w:y="15221"/>
        <w:spacing w:after="340"/>
        <w:rPr>
          <w:rFonts w:ascii="DIN" w:hAnsi="DIN" w:cs="DIN"/>
          <w:color w:val="auto"/>
          <w:sz w:val="18"/>
          <w:szCs w:val="18"/>
        </w:rPr>
      </w:pPr>
      <w:r>
        <w:rPr>
          <w:rFonts w:ascii="DIN" w:hAnsi="DIN" w:cs="DIN"/>
          <w:noProof/>
          <w:color w:val="auto"/>
          <w:sz w:val="18"/>
          <w:szCs w:val="18"/>
        </w:rPr>
        <w:drawing>
          <wp:inline distT="0" distB="0" distL="0" distR="0" wp14:anchorId="1C23C626" wp14:editId="23754FE9">
            <wp:extent cx="11430" cy="1143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19BA1FBB" w14:textId="77777777" w:rsidR="00541A14" w:rsidRDefault="00DD420F">
      <w:pPr>
        <w:pStyle w:val="CM195"/>
        <w:spacing w:after="353"/>
        <w:ind w:left="3630"/>
        <w:rPr>
          <w:rFonts w:ascii="DIN" w:hAnsi="DIN" w:cs="DIN"/>
          <w:sz w:val="15"/>
          <w:szCs w:val="15"/>
        </w:rPr>
      </w:pPr>
      <w:r>
        <w:rPr>
          <w:rFonts w:ascii="DIN" w:hAnsi="DIN" w:cs="DIN"/>
          <w:noProof/>
          <w:sz w:val="18"/>
          <w:szCs w:val="18"/>
        </w:rPr>
        <w:drawing>
          <wp:inline distT="0" distB="0" distL="0" distR="0" wp14:anchorId="668768A5" wp14:editId="73C67B53">
            <wp:extent cx="318135" cy="227330"/>
            <wp:effectExtent l="0" t="0" r="12065" b="127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318135" cy="227330"/>
                    </a:xfrm>
                    <a:prstGeom prst="rect">
                      <a:avLst/>
                    </a:prstGeom>
                    <a:noFill/>
                    <a:ln>
                      <a:noFill/>
                    </a:ln>
                  </pic:spPr>
                </pic:pic>
              </a:graphicData>
            </a:graphic>
          </wp:inline>
        </w:drawing>
      </w:r>
      <w:r w:rsidR="00A450E1">
        <w:rPr>
          <w:rFonts w:ascii="DIN" w:hAnsi="DIN" w:cs="DIN"/>
          <w:sz w:val="15"/>
          <w:szCs w:val="15"/>
        </w:rPr>
        <w:t xml:space="preserve">International Association </w:t>
      </w:r>
    </w:p>
    <w:p w14:paraId="1460167D" w14:textId="77777777" w:rsidR="00541A14" w:rsidRDefault="00A450E1">
      <w:pPr>
        <w:pStyle w:val="CM162"/>
        <w:spacing w:after="552"/>
        <w:ind w:left="1567"/>
        <w:rPr>
          <w:rFonts w:ascii="DIN" w:hAnsi="DIN" w:cs="DIN"/>
          <w:sz w:val="15"/>
          <w:szCs w:val="15"/>
        </w:rPr>
      </w:pPr>
      <w:r>
        <w:rPr>
          <w:rFonts w:ascii="DIN" w:hAnsi="DIN" w:cs="DIN"/>
          <w:sz w:val="15"/>
          <w:szCs w:val="15"/>
        </w:rPr>
        <w:t xml:space="preserve">of Marine Aids to Navigation and Lighthouse Authorities </w:t>
      </w:r>
    </w:p>
    <w:p w14:paraId="454B6CD0" w14:textId="77777777" w:rsidR="00541A14" w:rsidRDefault="00DD420F">
      <w:pPr>
        <w:pStyle w:val="Default"/>
        <w:framePr w:w="10739" w:wrap="auto" w:vAnchor="page" w:hAnchor="page" w:x="1434" w:y="16317"/>
        <w:rPr>
          <w:rFonts w:ascii="DIN" w:hAnsi="DIN" w:cs="DIN"/>
          <w:color w:val="auto"/>
          <w:sz w:val="15"/>
          <w:szCs w:val="15"/>
        </w:rPr>
      </w:pPr>
      <w:r>
        <w:rPr>
          <w:rFonts w:ascii="DIN" w:hAnsi="DIN" w:cs="DIN"/>
          <w:noProof/>
          <w:color w:val="auto"/>
          <w:sz w:val="15"/>
          <w:szCs w:val="15"/>
        </w:rPr>
        <w:drawing>
          <wp:inline distT="0" distB="0" distL="0" distR="0" wp14:anchorId="207602E2" wp14:editId="6A5968F2">
            <wp:extent cx="7542530" cy="391795"/>
            <wp:effectExtent l="0" t="0" r="127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799A3243" w14:textId="77777777" w:rsidR="00541A14" w:rsidRDefault="00A450E1">
      <w:pPr>
        <w:pStyle w:val="CM186"/>
        <w:pageBreakBefore/>
        <w:spacing w:after="3180"/>
        <w:jc w:val="center"/>
        <w:rPr>
          <w:rFonts w:ascii="DIN" w:hAnsi="DIN" w:cs="DIN"/>
          <w:color w:val="EC1B22"/>
          <w:sz w:val="18"/>
          <w:szCs w:val="18"/>
        </w:rPr>
      </w:pPr>
      <w:r>
        <w:rPr>
          <w:rFonts w:ascii="DIN" w:hAnsi="DIN" w:cs="DIN"/>
          <w:b/>
          <w:bCs/>
          <w:color w:val="EC1B22"/>
          <w:sz w:val="18"/>
          <w:szCs w:val="18"/>
        </w:rPr>
        <w:t xml:space="preserve">2.4 Description of Lateral Marks used in Region A </w:t>
      </w:r>
    </w:p>
    <w:p w14:paraId="2B873837"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97152" behindDoc="0" locked="0" layoutInCell="0" allowOverlap="1" wp14:anchorId="031C0BBF" wp14:editId="65FB4D37">
                <wp:simplePos x="0" y="0"/>
                <wp:positionH relativeFrom="page">
                  <wp:posOffset>943610</wp:posOffset>
                </wp:positionH>
                <wp:positionV relativeFrom="page">
                  <wp:posOffset>3371215</wp:posOffset>
                </wp:positionV>
                <wp:extent cx="6258560" cy="1720215"/>
                <wp:effectExtent l="0" t="0" r="0" b="0"/>
                <wp:wrapThrough wrapText="bothSides">
                  <wp:wrapPolygon edited="0">
                    <wp:start x="0" y="0"/>
                    <wp:lineTo x="21600" y="0"/>
                    <wp:lineTo x="21600" y="21600"/>
                    <wp:lineTo x="0" y="21600"/>
                    <wp:lineTo x="0" y="0"/>
                  </wp:wrapPolygon>
                </wp:wrapThrough>
                <wp:docPr id="518"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1720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937"/>
                              <w:gridCol w:w="3737"/>
                              <w:gridCol w:w="3382"/>
                            </w:tblGrid>
                            <w:tr w:rsidR="00541A14" w14:paraId="2FF988B5" w14:textId="77777777">
                              <w:trPr>
                                <w:trHeight w:val="621"/>
                              </w:trPr>
                              <w:tc>
                                <w:tcPr>
                                  <w:tcW w:w="1937" w:type="dxa"/>
                                  <w:tcBorders>
                                    <w:top w:val="single" w:sz="2" w:space="0" w:color="EC1B22"/>
                                    <w:left w:val="single" w:sz="2" w:space="0" w:color="EC1B22"/>
                                    <w:bottom w:val="single" w:sz="2" w:space="0" w:color="EC1B22"/>
                                    <w:right w:val="single" w:sz="2" w:space="0" w:color="EC1B22"/>
                                  </w:tcBorders>
                                  <w:vAlign w:val="bottom"/>
                                </w:tcPr>
                                <w:p w14:paraId="14BE99B2" w14:textId="77777777" w:rsidR="00541A14" w:rsidRDefault="00A450E1">
                                  <w:pPr>
                                    <w:pStyle w:val="Default"/>
                                    <w:rPr>
                                      <w:rFonts w:ascii="DIN" w:hAnsi="DIN" w:cs="DIN"/>
                                      <w:sz w:val="17"/>
                                      <w:szCs w:val="17"/>
                                    </w:rPr>
                                  </w:pPr>
                                  <w:r>
                                    <w:rPr>
                                      <w:rFonts w:ascii="DIN" w:hAnsi="DIN" w:cs="DIN"/>
                                      <w:b/>
                                      <w:bCs/>
                                      <w:sz w:val="17"/>
                                      <w:szCs w:val="17"/>
                                    </w:rPr>
                                    <w:t xml:space="preserve">Colour Shape of buoy Topmark (if any) </w:t>
                                  </w:r>
                                </w:p>
                              </w:tc>
                              <w:tc>
                                <w:tcPr>
                                  <w:tcW w:w="3737" w:type="dxa"/>
                                  <w:tcBorders>
                                    <w:top w:val="single" w:sz="2" w:space="0" w:color="EC1B22"/>
                                    <w:left w:val="single" w:sz="2" w:space="0" w:color="EC1B22"/>
                                    <w:bottom w:val="single" w:sz="2" w:space="0" w:color="EC1B22"/>
                                    <w:right w:val="single" w:sz="2" w:space="0" w:color="EC1B22"/>
                                  </w:tcBorders>
                                </w:tcPr>
                                <w:p w14:paraId="6F1B053F" w14:textId="77777777" w:rsidR="00541A14" w:rsidRDefault="00A450E1">
                                  <w:pPr>
                                    <w:pStyle w:val="Default"/>
                                    <w:rPr>
                                      <w:rFonts w:ascii="DIN" w:hAnsi="DIN" w:cs="DIN"/>
                                      <w:sz w:val="17"/>
                                      <w:szCs w:val="17"/>
                                    </w:rPr>
                                  </w:pPr>
                                  <w:r>
                                    <w:rPr>
                                      <w:rFonts w:ascii="DIN" w:hAnsi="DIN" w:cs="DIN"/>
                                      <w:b/>
                                      <w:bCs/>
                                      <w:color w:val="FFFFFF"/>
                                      <w:sz w:val="18"/>
                                      <w:szCs w:val="18"/>
                                    </w:rPr>
                                    <w:t xml:space="preserve">2.4.1 Port hand Marks </w:t>
                                  </w:r>
                                  <w:r>
                                    <w:rPr>
                                      <w:rFonts w:ascii="DIN" w:hAnsi="DIN" w:cs="DIN"/>
                                      <w:sz w:val="17"/>
                                      <w:szCs w:val="17"/>
                                    </w:rPr>
                                    <w:t xml:space="preserve">Red Cylindrical (can), pillar or spar Single red cylinder (can) </w:t>
                                  </w:r>
                                </w:p>
                              </w:tc>
                              <w:tc>
                                <w:tcPr>
                                  <w:tcW w:w="3382" w:type="dxa"/>
                                  <w:tcBorders>
                                    <w:top w:val="single" w:sz="2" w:space="0" w:color="EC1B22"/>
                                    <w:left w:val="single" w:sz="2" w:space="0" w:color="EC1B22"/>
                                    <w:bottom w:val="single" w:sz="2" w:space="0" w:color="EC1B22"/>
                                    <w:right w:val="single" w:sz="2" w:space="0" w:color="EC1B22"/>
                                  </w:tcBorders>
                                </w:tcPr>
                                <w:p w14:paraId="7AA53BF1" w14:textId="77777777" w:rsidR="00541A14" w:rsidRDefault="00A450E1">
                                  <w:pPr>
                                    <w:pStyle w:val="Default"/>
                                    <w:rPr>
                                      <w:rFonts w:ascii="DIN" w:hAnsi="DIN" w:cs="DIN"/>
                                      <w:sz w:val="17"/>
                                      <w:szCs w:val="17"/>
                                    </w:rPr>
                                  </w:pPr>
                                  <w:r>
                                    <w:rPr>
                                      <w:rFonts w:ascii="DIN" w:hAnsi="DIN" w:cs="DIN"/>
                                      <w:b/>
                                      <w:bCs/>
                                      <w:color w:val="FFFFFF"/>
                                      <w:sz w:val="18"/>
                                      <w:szCs w:val="18"/>
                                    </w:rPr>
                                    <w:t xml:space="preserve">2.4.2 Starboard hand Marks </w:t>
                                  </w:r>
                                  <w:r>
                                    <w:rPr>
                                      <w:rFonts w:ascii="DIN" w:hAnsi="DIN" w:cs="DIN"/>
                                      <w:sz w:val="17"/>
                                      <w:szCs w:val="17"/>
                                    </w:rPr>
                                    <w:t xml:space="preserve">Green Conical, pillar or spar Single green cone, point upward </w:t>
                                  </w:r>
                                </w:p>
                              </w:tc>
                            </w:tr>
                            <w:tr w:rsidR="00541A14" w14:paraId="60B0C18A" w14:textId="77777777">
                              <w:trPr>
                                <w:trHeight w:val="165"/>
                              </w:trPr>
                              <w:tc>
                                <w:tcPr>
                                  <w:tcW w:w="1937" w:type="dxa"/>
                                  <w:tcBorders>
                                    <w:top w:val="single" w:sz="2" w:space="0" w:color="EC1B22"/>
                                    <w:left w:val="single" w:sz="2" w:space="0" w:color="EC1B22"/>
                                    <w:bottom w:val="single" w:sz="2" w:space="0" w:color="EC1B22"/>
                                  </w:tcBorders>
                                  <w:vAlign w:val="center"/>
                                </w:tcPr>
                                <w:p w14:paraId="12FE60D9" w14:textId="77777777" w:rsidR="00541A14" w:rsidRDefault="00A450E1">
                                  <w:pPr>
                                    <w:pStyle w:val="Default"/>
                                    <w:rPr>
                                      <w:rFonts w:ascii="DIN" w:hAnsi="DIN" w:cs="DIN"/>
                                      <w:sz w:val="17"/>
                                      <w:szCs w:val="17"/>
                                    </w:rPr>
                                  </w:pPr>
                                  <w:r>
                                    <w:rPr>
                                      <w:rFonts w:ascii="DIN" w:hAnsi="DIN" w:cs="DIN"/>
                                      <w:b/>
                                      <w:bCs/>
                                      <w:sz w:val="17"/>
                                      <w:szCs w:val="17"/>
                                    </w:rPr>
                                    <w:t xml:space="preserve">Light (when fitted) </w:t>
                                  </w:r>
                                </w:p>
                              </w:tc>
                              <w:tc>
                                <w:tcPr>
                                  <w:tcW w:w="3737" w:type="dxa"/>
                                  <w:tcBorders>
                                    <w:top w:val="single" w:sz="2" w:space="0" w:color="EC1B22"/>
                                    <w:bottom w:val="single" w:sz="2" w:space="0" w:color="EC1B22"/>
                                  </w:tcBorders>
                                </w:tcPr>
                                <w:p w14:paraId="43D6172F" w14:textId="77777777" w:rsidR="00541A14" w:rsidRDefault="00541A14">
                                  <w:pPr>
                                    <w:pStyle w:val="Default"/>
                                    <w:rPr>
                                      <w:rFonts w:cs="Times New Roman"/>
                                      <w:color w:val="auto"/>
                                    </w:rPr>
                                  </w:pPr>
                                </w:p>
                              </w:tc>
                              <w:tc>
                                <w:tcPr>
                                  <w:tcW w:w="3382" w:type="dxa"/>
                                  <w:tcBorders>
                                    <w:top w:val="single" w:sz="2" w:space="0" w:color="EC1B22"/>
                                    <w:bottom w:val="single" w:sz="2" w:space="0" w:color="EC1B22"/>
                                    <w:right w:val="single" w:sz="2" w:space="0" w:color="EC1B22"/>
                                  </w:tcBorders>
                                </w:tcPr>
                                <w:p w14:paraId="07444251" w14:textId="77777777" w:rsidR="00541A14" w:rsidRDefault="00541A14">
                                  <w:pPr>
                                    <w:pStyle w:val="Default"/>
                                    <w:rPr>
                                      <w:rFonts w:cs="Times New Roman"/>
                                      <w:color w:val="auto"/>
                                    </w:rPr>
                                  </w:pPr>
                                </w:p>
                              </w:tc>
                            </w:tr>
                            <w:tr w:rsidR="00541A14" w14:paraId="1E4F55A5" w14:textId="77777777">
                              <w:trPr>
                                <w:trHeight w:val="420"/>
                              </w:trPr>
                              <w:tc>
                                <w:tcPr>
                                  <w:tcW w:w="1937" w:type="dxa"/>
                                  <w:tcBorders>
                                    <w:top w:val="single" w:sz="2" w:space="0" w:color="EC1B22"/>
                                    <w:left w:val="single" w:sz="2" w:space="0" w:color="EC1B22"/>
                                    <w:bottom w:val="single" w:sz="2" w:space="0" w:color="EC1B22"/>
                                    <w:right w:val="single" w:sz="2" w:space="0" w:color="EC1B22"/>
                                  </w:tcBorders>
                                </w:tcPr>
                                <w:p w14:paraId="77FDBA19" w14:textId="77777777" w:rsidR="00541A14" w:rsidRDefault="00A450E1">
                                  <w:pPr>
                                    <w:pStyle w:val="Default"/>
                                    <w:rPr>
                                      <w:rFonts w:ascii="DIN" w:hAnsi="DIN" w:cs="DIN"/>
                                      <w:sz w:val="17"/>
                                      <w:szCs w:val="17"/>
                                    </w:rPr>
                                  </w:pPr>
                                  <w:r>
                                    <w:rPr>
                                      <w:rFonts w:ascii="DIN" w:hAnsi="DIN" w:cs="DIN"/>
                                      <w:sz w:val="17"/>
                                      <w:szCs w:val="17"/>
                                    </w:rPr>
                                    <w:t xml:space="preserve">Colour Rhythm </w:t>
                                  </w:r>
                                </w:p>
                              </w:tc>
                              <w:tc>
                                <w:tcPr>
                                  <w:tcW w:w="3737" w:type="dxa"/>
                                  <w:tcBorders>
                                    <w:top w:val="single" w:sz="2" w:space="0" w:color="EC1B22"/>
                                    <w:left w:val="single" w:sz="2" w:space="0" w:color="EC1B22"/>
                                    <w:bottom w:val="single" w:sz="2" w:space="0" w:color="EC1B22"/>
                                    <w:right w:val="single" w:sz="2" w:space="0" w:color="EC1B22"/>
                                  </w:tcBorders>
                                </w:tcPr>
                                <w:p w14:paraId="5BD951A8" w14:textId="77777777" w:rsidR="00541A14" w:rsidRDefault="00A450E1">
                                  <w:pPr>
                                    <w:pStyle w:val="Default"/>
                                    <w:rPr>
                                      <w:rFonts w:ascii="DIN" w:hAnsi="DIN" w:cs="DIN"/>
                                      <w:sz w:val="17"/>
                                      <w:szCs w:val="17"/>
                                    </w:rPr>
                                  </w:pPr>
                                  <w:r>
                                    <w:rPr>
                                      <w:rFonts w:ascii="DIN" w:hAnsi="DIN" w:cs="DIN"/>
                                      <w:sz w:val="17"/>
                                      <w:szCs w:val="17"/>
                                    </w:rPr>
                                    <w:t xml:space="preserve">Red Any, other than that described in section 2.4.3. </w:t>
                                  </w:r>
                                </w:p>
                              </w:tc>
                              <w:tc>
                                <w:tcPr>
                                  <w:tcW w:w="3382" w:type="dxa"/>
                                  <w:tcBorders>
                                    <w:top w:val="single" w:sz="2" w:space="0" w:color="EC1B22"/>
                                    <w:left w:val="single" w:sz="2" w:space="0" w:color="EC1B22"/>
                                    <w:bottom w:val="single" w:sz="2" w:space="0" w:color="EC1B22"/>
                                    <w:right w:val="single" w:sz="2" w:space="0" w:color="EC1B22"/>
                                  </w:tcBorders>
                                </w:tcPr>
                                <w:p w14:paraId="3B1E8E8C" w14:textId="77777777" w:rsidR="00541A14" w:rsidRDefault="00A450E1">
                                  <w:pPr>
                                    <w:pStyle w:val="Default"/>
                                    <w:rPr>
                                      <w:rFonts w:ascii="DIN" w:hAnsi="DIN" w:cs="DIN"/>
                                      <w:sz w:val="17"/>
                                      <w:szCs w:val="17"/>
                                    </w:rPr>
                                  </w:pPr>
                                  <w:r>
                                    <w:rPr>
                                      <w:rFonts w:ascii="DIN" w:hAnsi="DIN" w:cs="DIN"/>
                                      <w:sz w:val="17"/>
                                      <w:szCs w:val="17"/>
                                    </w:rPr>
                                    <w:t xml:space="preserve">Green Any, other than that described in section 2.4.3. </w:t>
                                  </w:r>
                                </w:p>
                              </w:tc>
                            </w:tr>
                          </w:tbl>
                          <w:p w14:paraId="639B1267"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64" type="#_x0000_t202" style="position:absolute;margin-left:74.3pt;margin-top:265.45pt;width:492.8pt;height:135.45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33"/>
                        <w:gridCol w:w="492"/>
                        <w:gridCol w:w="20"/>
                        <w:gridCol w:w="2297"/>
                        <w:gridCol w:w="5"/>
                        <w:gridCol w:w="5"/>
                        <w:gridCol w:w="12"/>
                        <w:gridCol w:w="47"/>
                        <w:gridCol w:w="1355"/>
                        <w:gridCol w:w="10"/>
                        <w:gridCol w:w="3372"/>
                        <w:gridCol w:w="23"/>
                      </w:tblGrid>
                      <w:tr w:rsidR="00000000" w14:paraId="2FF988B5" w14:textId="77777777">
                        <w:tblPrEx>
                          <w:tblCellMar>
                            <w:top w:w="0" w:type="dxa"/>
                            <w:bottom w:w="0" w:type="dxa"/>
                          </w:tblCellMar>
                        </w:tblPrEx>
                        <w:trPr>
                          <w:gridAfter w:val="1"/>
                          <w:wAfter w:w="15" w:type="dxa"/>
                          <w:trHeight w:val="621"/>
                        </w:trPr>
                        <w:tc>
                          <w:tcPr>
                            <w:tcW w:w="1937" w:type="dxa"/>
                            <w:gridSpan w:val="3"/>
                            <w:tcBorders>
                              <w:top w:val="single" w:sz="2" w:space="0" w:color="EC1B22"/>
                              <w:left w:val="single" w:sz="2" w:space="0" w:color="EC1B22"/>
                              <w:bottom w:val="single" w:sz="2" w:space="0" w:color="EC1B22"/>
                              <w:right w:val="single" w:sz="2" w:space="0" w:color="EC1B22"/>
                            </w:tcBorders>
                            <w:vAlign w:val="bottom"/>
                          </w:tcPr>
                          <w:p w14:paraId="14BE99B2" w14:textId="77777777" w:rsidR="00000000" w:rsidRDefault="00A450E1">
                            <w:pPr>
                              <w:pStyle w:val="Default"/>
                              <w:rPr>
                                <w:rFonts w:ascii="DIN" w:hAnsi="DIN" w:cs="DIN"/>
                                <w:sz w:val="17"/>
                                <w:szCs w:val="17"/>
                              </w:rPr>
                            </w:pPr>
                            <w:r>
                              <w:rPr>
                                <w:rFonts w:ascii="DIN" w:hAnsi="DIN" w:cs="DIN"/>
                                <w:b/>
                                <w:bCs/>
                                <w:sz w:val="17"/>
                                <w:szCs w:val="17"/>
                              </w:rPr>
                              <w:t xml:space="preserve">Colour Shape of buoy Topmark (if any) </w:t>
                            </w:r>
                          </w:p>
                        </w:tc>
                        <w:tc>
                          <w:tcPr>
                            <w:tcW w:w="3737" w:type="dxa"/>
                            <w:gridSpan w:val="7"/>
                            <w:tcBorders>
                              <w:top w:val="single" w:sz="2" w:space="0" w:color="EC1B22"/>
                              <w:left w:val="single" w:sz="2" w:space="0" w:color="EC1B22"/>
                              <w:bottom w:val="single" w:sz="2" w:space="0" w:color="EC1B22"/>
                              <w:right w:val="single" w:sz="2" w:space="0" w:color="EC1B22"/>
                            </w:tcBorders>
                          </w:tcPr>
                          <w:p w14:paraId="6F1B053F" w14:textId="77777777" w:rsidR="00000000" w:rsidRDefault="00A450E1">
                            <w:pPr>
                              <w:pStyle w:val="Default"/>
                              <w:rPr>
                                <w:rFonts w:ascii="DIN" w:hAnsi="DIN" w:cs="DIN"/>
                                <w:sz w:val="17"/>
                                <w:szCs w:val="17"/>
                              </w:rPr>
                            </w:pPr>
                            <w:r>
                              <w:rPr>
                                <w:rFonts w:ascii="DIN" w:hAnsi="DIN" w:cs="DIN"/>
                                <w:b/>
                                <w:bCs/>
                                <w:color w:val="FFFFFF"/>
                                <w:sz w:val="18"/>
                                <w:szCs w:val="18"/>
                              </w:rPr>
                              <w:t xml:space="preserve">2.4.1 Port hand Marks </w:t>
                            </w:r>
                            <w:r>
                              <w:rPr>
                                <w:rFonts w:ascii="DIN" w:hAnsi="DIN" w:cs="DIN"/>
                                <w:sz w:val="17"/>
                                <w:szCs w:val="17"/>
                              </w:rPr>
                              <w:t xml:space="preserve">Red Cylindrical (can), pillar or spar Single red cylinder (can) </w:t>
                            </w:r>
                          </w:p>
                        </w:tc>
                        <w:tc>
                          <w:tcPr>
                            <w:tcW w:w="3382" w:type="dxa"/>
                            <w:gridSpan w:val="2"/>
                            <w:tcBorders>
                              <w:top w:val="single" w:sz="2" w:space="0" w:color="EC1B22"/>
                              <w:left w:val="single" w:sz="2" w:space="0" w:color="EC1B22"/>
                              <w:bottom w:val="single" w:sz="2" w:space="0" w:color="EC1B22"/>
                              <w:right w:val="single" w:sz="2" w:space="0" w:color="EC1B22"/>
                            </w:tcBorders>
                          </w:tcPr>
                          <w:p w14:paraId="7AA53BF1" w14:textId="77777777" w:rsidR="00000000" w:rsidRDefault="00A450E1">
                            <w:pPr>
                              <w:pStyle w:val="Default"/>
                              <w:rPr>
                                <w:rFonts w:ascii="DIN" w:hAnsi="DIN" w:cs="DIN"/>
                                <w:sz w:val="17"/>
                                <w:szCs w:val="17"/>
                              </w:rPr>
                            </w:pPr>
                            <w:r>
                              <w:rPr>
                                <w:rFonts w:ascii="DIN" w:hAnsi="DIN" w:cs="DIN"/>
                                <w:b/>
                                <w:bCs/>
                                <w:color w:val="FFFFFF"/>
                                <w:sz w:val="18"/>
                                <w:szCs w:val="18"/>
                              </w:rPr>
                              <w:t xml:space="preserve">2.4.2 Starboard hand Marks </w:t>
                            </w:r>
                            <w:r>
                              <w:rPr>
                                <w:rFonts w:ascii="DIN" w:hAnsi="DIN" w:cs="DIN"/>
                                <w:sz w:val="17"/>
                                <w:szCs w:val="17"/>
                              </w:rPr>
                              <w:t xml:space="preserve">Green Conical, pillar or spar Single green cone, point upward </w:t>
                            </w:r>
                          </w:p>
                        </w:tc>
                      </w:tr>
                      <w:tr w:rsidR="00000000" w14:paraId="60B0C18A" w14:textId="77777777">
                        <w:tblPrEx>
                          <w:tblCellMar>
                            <w:top w:w="0" w:type="dxa"/>
                            <w:bottom w:w="0" w:type="dxa"/>
                          </w:tblCellMar>
                        </w:tblPrEx>
                        <w:trPr>
                          <w:gridAfter w:val="1"/>
                          <w:wAfter w:w="15" w:type="dxa"/>
                          <w:trHeight w:val="165"/>
                        </w:trPr>
                        <w:tc>
                          <w:tcPr>
                            <w:tcW w:w="1937" w:type="dxa"/>
                            <w:gridSpan w:val="3"/>
                            <w:tcBorders>
                              <w:top w:val="single" w:sz="2" w:space="0" w:color="EC1B22"/>
                              <w:left w:val="single" w:sz="2" w:space="0" w:color="EC1B22"/>
                              <w:bottom w:val="single" w:sz="2" w:space="0" w:color="EC1B22"/>
                            </w:tcBorders>
                            <w:vAlign w:val="center"/>
                          </w:tcPr>
                          <w:p w14:paraId="12FE60D9" w14:textId="77777777" w:rsidR="00000000" w:rsidRDefault="00A450E1">
                            <w:pPr>
                              <w:pStyle w:val="Default"/>
                              <w:rPr>
                                <w:rFonts w:ascii="DIN" w:hAnsi="DIN" w:cs="DIN"/>
                                <w:sz w:val="17"/>
                                <w:szCs w:val="17"/>
                              </w:rPr>
                            </w:pPr>
                            <w:r>
                              <w:rPr>
                                <w:rFonts w:ascii="DIN" w:hAnsi="DIN" w:cs="DIN"/>
                                <w:b/>
                                <w:bCs/>
                                <w:sz w:val="17"/>
                                <w:szCs w:val="17"/>
                              </w:rPr>
                              <w:t xml:space="preserve">Light (when fitted) </w:t>
                            </w:r>
                          </w:p>
                        </w:tc>
                        <w:tc>
                          <w:tcPr>
                            <w:tcW w:w="3737" w:type="dxa"/>
                            <w:gridSpan w:val="7"/>
                            <w:tcBorders>
                              <w:top w:val="single" w:sz="2" w:space="0" w:color="EC1B22"/>
                              <w:bottom w:val="single" w:sz="2" w:space="0" w:color="EC1B22"/>
                            </w:tcBorders>
                          </w:tcPr>
                          <w:p w14:paraId="43D6172F" w14:textId="77777777" w:rsidR="00000000" w:rsidRDefault="00A450E1">
                            <w:pPr>
                              <w:pStyle w:val="Default"/>
                              <w:rPr>
                                <w:rFonts w:cs="Times New Roman"/>
                                <w:color w:val="auto"/>
                              </w:rPr>
                            </w:pPr>
                          </w:p>
                        </w:tc>
                        <w:tc>
                          <w:tcPr>
                            <w:tcW w:w="3382" w:type="dxa"/>
                            <w:gridSpan w:val="2"/>
                            <w:tcBorders>
                              <w:top w:val="single" w:sz="2" w:space="0" w:color="EC1B22"/>
                              <w:bottom w:val="single" w:sz="2" w:space="0" w:color="EC1B22"/>
                              <w:right w:val="single" w:sz="2" w:space="0" w:color="EC1B22"/>
                            </w:tcBorders>
                          </w:tcPr>
                          <w:p w14:paraId="07444251" w14:textId="77777777" w:rsidR="00000000" w:rsidRDefault="00A450E1">
                            <w:pPr>
                              <w:pStyle w:val="Default"/>
                              <w:rPr>
                                <w:rFonts w:cs="Times New Roman"/>
                                <w:color w:val="auto"/>
                              </w:rPr>
                            </w:pPr>
                          </w:p>
                        </w:tc>
                      </w:tr>
                      <w:tr w:rsidR="00000000" w14:paraId="1E4F55A5" w14:textId="77777777">
                        <w:tblPrEx>
                          <w:tblCellMar>
                            <w:top w:w="0" w:type="dxa"/>
                            <w:bottom w:w="0" w:type="dxa"/>
                          </w:tblCellMar>
                        </w:tblPrEx>
                        <w:trPr>
                          <w:gridAfter w:val="1"/>
                          <w:wAfter w:w="15" w:type="dxa"/>
                          <w:trHeight w:val="420"/>
                        </w:trPr>
                        <w:tc>
                          <w:tcPr>
                            <w:tcW w:w="1937" w:type="dxa"/>
                            <w:gridSpan w:val="3"/>
                            <w:tcBorders>
                              <w:top w:val="single" w:sz="2" w:space="0" w:color="EC1B22"/>
                              <w:left w:val="single" w:sz="2" w:space="0" w:color="EC1B22"/>
                              <w:bottom w:val="single" w:sz="2" w:space="0" w:color="EC1B22"/>
                              <w:right w:val="single" w:sz="2" w:space="0" w:color="EC1B22"/>
                            </w:tcBorders>
                          </w:tcPr>
                          <w:p w14:paraId="77FDBA19" w14:textId="77777777" w:rsidR="00000000" w:rsidRDefault="00A450E1">
                            <w:pPr>
                              <w:pStyle w:val="Default"/>
                              <w:rPr>
                                <w:rFonts w:ascii="DIN" w:hAnsi="DIN" w:cs="DIN"/>
                                <w:sz w:val="17"/>
                                <w:szCs w:val="17"/>
                              </w:rPr>
                            </w:pPr>
                            <w:r>
                              <w:rPr>
                                <w:rFonts w:ascii="DIN" w:hAnsi="DIN" w:cs="DIN"/>
                                <w:sz w:val="17"/>
                                <w:szCs w:val="17"/>
                              </w:rPr>
                              <w:t xml:space="preserve">Colour Rhythm </w:t>
                            </w:r>
                          </w:p>
                        </w:tc>
                        <w:tc>
                          <w:tcPr>
                            <w:tcW w:w="3737" w:type="dxa"/>
                            <w:gridSpan w:val="7"/>
                            <w:tcBorders>
                              <w:top w:val="single" w:sz="2" w:space="0" w:color="EC1B22"/>
                              <w:left w:val="single" w:sz="2" w:space="0" w:color="EC1B22"/>
                              <w:bottom w:val="single" w:sz="2" w:space="0" w:color="EC1B22"/>
                              <w:right w:val="single" w:sz="2" w:space="0" w:color="EC1B22"/>
                            </w:tcBorders>
                          </w:tcPr>
                          <w:p w14:paraId="5BD951A8" w14:textId="77777777" w:rsidR="00000000" w:rsidRDefault="00A450E1">
                            <w:pPr>
                              <w:pStyle w:val="Default"/>
                              <w:rPr>
                                <w:rFonts w:ascii="DIN" w:hAnsi="DIN" w:cs="DIN"/>
                                <w:sz w:val="17"/>
                                <w:szCs w:val="17"/>
                              </w:rPr>
                            </w:pPr>
                            <w:r>
                              <w:rPr>
                                <w:rFonts w:ascii="DIN" w:hAnsi="DIN" w:cs="DIN"/>
                                <w:sz w:val="17"/>
                                <w:szCs w:val="17"/>
                              </w:rPr>
                              <w:t xml:space="preserve">Red Any, other than that described in section 2.4.3. </w:t>
                            </w:r>
                          </w:p>
                        </w:tc>
                        <w:tc>
                          <w:tcPr>
                            <w:tcW w:w="3382" w:type="dxa"/>
                            <w:gridSpan w:val="2"/>
                            <w:tcBorders>
                              <w:top w:val="single" w:sz="2" w:space="0" w:color="EC1B22"/>
                              <w:left w:val="single" w:sz="2" w:space="0" w:color="EC1B22"/>
                              <w:bottom w:val="single" w:sz="2" w:space="0" w:color="EC1B22"/>
                              <w:right w:val="single" w:sz="2" w:space="0" w:color="EC1B22"/>
                            </w:tcBorders>
                          </w:tcPr>
                          <w:p w14:paraId="3B1E8E8C" w14:textId="77777777" w:rsidR="00000000" w:rsidRDefault="00A450E1">
                            <w:pPr>
                              <w:pStyle w:val="Default"/>
                              <w:rPr>
                                <w:rFonts w:ascii="DIN" w:hAnsi="DIN" w:cs="DIN"/>
                                <w:sz w:val="17"/>
                                <w:szCs w:val="17"/>
                              </w:rPr>
                            </w:pPr>
                            <w:r>
                              <w:rPr>
                                <w:rFonts w:ascii="DIN" w:hAnsi="DIN" w:cs="DIN"/>
                                <w:sz w:val="17"/>
                                <w:szCs w:val="17"/>
                              </w:rPr>
                              <w:t xml:space="preserve">Green Any, other than that described in section 2.4.3. </w:t>
                            </w:r>
                          </w:p>
                        </w:tc>
                      </w:tr>
                    </w:tbl>
                  </w:txbxContent>
                </v:textbox>
                <w10:wrap type="through" anchorx="page" anchory="page"/>
              </v:shape>
            </w:pict>
          </mc:Fallback>
        </mc:AlternateContent>
      </w:r>
    </w:p>
    <w:p w14:paraId="7D8463D4" w14:textId="77777777" w:rsidR="00541A14" w:rsidRDefault="00A450E1">
      <w:pPr>
        <w:pStyle w:val="CM206"/>
        <w:spacing w:after="3250" w:line="243" w:lineRule="atLeast"/>
        <w:jc w:val="center"/>
        <w:rPr>
          <w:rFonts w:ascii="DIN" w:hAnsi="DIN" w:cs="DIN"/>
          <w:sz w:val="18"/>
          <w:szCs w:val="18"/>
        </w:rPr>
      </w:pPr>
      <w:r>
        <w:rPr>
          <w:rFonts w:ascii="DIN" w:hAnsi="DIN" w:cs="DIN"/>
          <w:b/>
          <w:bCs/>
          <w:sz w:val="18"/>
          <w:szCs w:val="18"/>
        </w:rPr>
        <w:t xml:space="preserve">2.4.3 </w:t>
      </w:r>
      <w:r>
        <w:rPr>
          <w:rFonts w:ascii="DIN" w:hAnsi="DIN" w:cs="DIN"/>
          <w:sz w:val="18"/>
          <w:szCs w:val="18"/>
        </w:rPr>
        <w:t xml:space="preserve">At the point where a channel divides, when proceeding in the “conventional direction of buoyage,” a preferred channel may be indicated by a modified Port or Starboard lateral mark as follows: </w:t>
      </w:r>
    </w:p>
    <w:p w14:paraId="5AF6B1A7"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98176" behindDoc="0" locked="0" layoutInCell="0" allowOverlap="1" wp14:anchorId="74CE24FA" wp14:editId="236D6E2D">
                <wp:simplePos x="0" y="0"/>
                <wp:positionH relativeFrom="page">
                  <wp:posOffset>943610</wp:posOffset>
                </wp:positionH>
                <wp:positionV relativeFrom="page">
                  <wp:posOffset>7902575</wp:posOffset>
                </wp:positionV>
                <wp:extent cx="6258560" cy="1534160"/>
                <wp:effectExtent l="0" t="0" r="0" b="0"/>
                <wp:wrapThrough wrapText="bothSides">
                  <wp:wrapPolygon edited="0">
                    <wp:start x="0" y="0"/>
                    <wp:lineTo x="21600" y="0"/>
                    <wp:lineTo x="21600" y="21600"/>
                    <wp:lineTo x="0" y="21600"/>
                    <wp:lineTo x="0" y="0"/>
                  </wp:wrapPolygon>
                </wp:wrapThrough>
                <wp:docPr id="517"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153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937"/>
                              <w:gridCol w:w="3737"/>
                              <w:gridCol w:w="3382"/>
                            </w:tblGrid>
                            <w:tr w:rsidR="00541A14" w14:paraId="3FA7C003" w14:textId="77777777">
                              <w:trPr>
                                <w:trHeight w:val="622"/>
                              </w:trPr>
                              <w:tc>
                                <w:tcPr>
                                  <w:tcW w:w="1937" w:type="dxa"/>
                                  <w:tcBorders>
                                    <w:top w:val="single" w:sz="2" w:space="0" w:color="EC1B22"/>
                                    <w:left w:val="single" w:sz="2" w:space="0" w:color="EC1B22"/>
                                    <w:bottom w:val="single" w:sz="2" w:space="0" w:color="EC1B22"/>
                                    <w:right w:val="single" w:sz="2" w:space="0" w:color="EC1B22"/>
                                  </w:tcBorders>
                                  <w:vAlign w:val="bottom"/>
                                </w:tcPr>
                                <w:p w14:paraId="53383F24" w14:textId="77777777" w:rsidR="00541A14" w:rsidRDefault="00A450E1">
                                  <w:pPr>
                                    <w:pStyle w:val="Default"/>
                                    <w:rPr>
                                      <w:rFonts w:ascii="DIN" w:hAnsi="DIN" w:cs="DIN"/>
                                      <w:sz w:val="17"/>
                                      <w:szCs w:val="17"/>
                                    </w:rPr>
                                  </w:pPr>
                                  <w:r>
                                    <w:rPr>
                                      <w:rFonts w:ascii="DIN" w:hAnsi="DIN" w:cs="DIN"/>
                                      <w:b/>
                                      <w:bCs/>
                                      <w:sz w:val="17"/>
                                      <w:szCs w:val="17"/>
                                    </w:rPr>
                                    <w:t xml:space="preserve">Colour Shape of buoy Topmark (if any) </w:t>
                                  </w:r>
                                </w:p>
                              </w:tc>
                              <w:tc>
                                <w:tcPr>
                                  <w:tcW w:w="3737" w:type="dxa"/>
                                  <w:tcBorders>
                                    <w:top w:val="single" w:sz="2" w:space="0" w:color="EC1B22"/>
                                    <w:left w:val="single" w:sz="2" w:space="0" w:color="EC1B22"/>
                                    <w:bottom w:val="single" w:sz="2" w:space="0" w:color="EC1B22"/>
                                    <w:right w:val="single" w:sz="2" w:space="0" w:color="EC1B22"/>
                                  </w:tcBorders>
                                  <w:vAlign w:val="center"/>
                                </w:tcPr>
                                <w:p w14:paraId="2FDB201F" w14:textId="77777777" w:rsidR="00541A14" w:rsidRDefault="00A450E1">
                                  <w:pPr>
                                    <w:pStyle w:val="Default"/>
                                    <w:rPr>
                                      <w:rFonts w:ascii="DIN" w:hAnsi="DIN" w:cs="DIN"/>
                                      <w:sz w:val="17"/>
                                      <w:szCs w:val="17"/>
                                    </w:rPr>
                                  </w:pPr>
                                  <w:r>
                                    <w:rPr>
                                      <w:rFonts w:ascii="DIN" w:hAnsi="DIN" w:cs="DIN"/>
                                      <w:b/>
                                      <w:bCs/>
                                      <w:color w:val="FFFFFF"/>
                                      <w:sz w:val="18"/>
                                      <w:szCs w:val="18"/>
                                    </w:rPr>
                                    <w:t xml:space="preserve">2.4.3.1 Preferred channel to Starboard </w:t>
                                  </w:r>
                                  <w:r>
                                    <w:rPr>
                                      <w:rFonts w:ascii="DIN" w:hAnsi="DIN" w:cs="DIN"/>
                                      <w:sz w:val="17"/>
                                      <w:szCs w:val="17"/>
                                    </w:rPr>
                                    <w:t xml:space="preserve">Red with one broad green horizontal band Cylindrical (can), pillar or spar Single red cylinder (can) </w:t>
                                  </w:r>
                                </w:p>
                              </w:tc>
                              <w:tc>
                                <w:tcPr>
                                  <w:tcW w:w="3382" w:type="dxa"/>
                                  <w:tcBorders>
                                    <w:top w:val="single" w:sz="2" w:space="0" w:color="EC1B22"/>
                                    <w:left w:val="single" w:sz="2" w:space="0" w:color="EC1B22"/>
                                    <w:bottom w:val="single" w:sz="2" w:space="0" w:color="EC1B22"/>
                                    <w:right w:val="single" w:sz="2" w:space="0" w:color="EC1B22"/>
                                  </w:tcBorders>
                                  <w:vAlign w:val="center"/>
                                </w:tcPr>
                                <w:p w14:paraId="046C0927" w14:textId="77777777" w:rsidR="00541A14" w:rsidRDefault="00A450E1">
                                  <w:pPr>
                                    <w:pStyle w:val="Default"/>
                                    <w:rPr>
                                      <w:rFonts w:ascii="DIN" w:hAnsi="DIN" w:cs="DIN"/>
                                      <w:sz w:val="17"/>
                                      <w:szCs w:val="17"/>
                                    </w:rPr>
                                  </w:pPr>
                                  <w:r>
                                    <w:rPr>
                                      <w:rFonts w:ascii="DIN" w:hAnsi="DIN" w:cs="DIN"/>
                                      <w:b/>
                                      <w:bCs/>
                                      <w:color w:val="FFFFFF"/>
                                      <w:sz w:val="18"/>
                                      <w:szCs w:val="18"/>
                                    </w:rPr>
                                    <w:t xml:space="preserve">2.4.3.2 Preferred channel to Port </w:t>
                                  </w:r>
                                  <w:r>
                                    <w:rPr>
                                      <w:rFonts w:ascii="DIN" w:hAnsi="DIN" w:cs="DIN"/>
                                      <w:sz w:val="17"/>
                                      <w:szCs w:val="17"/>
                                    </w:rPr>
                                    <w:t xml:space="preserve">Green with one broad red horizontal band Conical, pillar or spar Single green cone, point upward </w:t>
                                  </w:r>
                                </w:p>
                              </w:tc>
                            </w:tr>
                            <w:tr w:rsidR="00541A14" w14:paraId="3CED44A3" w14:textId="77777777">
                              <w:trPr>
                                <w:trHeight w:val="162"/>
                              </w:trPr>
                              <w:tc>
                                <w:tcPr>
                                  <w:tcW w:w="1937" w:type="dxa"/>
                                  <w:tcBorders>
                                    <w:top w:val="single" w:sz="2" w:space="0" w:color="EC1B22"/>
                                    <w:left w:val="single" w:sz="2" w:space="0" w:color="EC1B22"/>
                                    <w:bottom w:val="single" w:sz="2" w:space="0" w:color="EC1B22"/>
                                  </w:tcBorders>
                                  <w:vAlign w:val="center"/>
                                </w:tcPr>
                                <w:p w14:paraId="217DF853" w14:textId="77777777" w:rsidR="00541A14" w:rsidRDefault="00A450E1">
                                  <w:pPr>
                                    <w:pStyle w:val="Default"/>
                                    <w:rPr>
                                      <w:rFonts w:ascii="DIN" w:hAnsi="DIN" w:cs="DIN"/>
                                      <w:sz w:val="17"/>
                                      <w:szCs w:val="17"/>
                                    </w:rPr>
                                  </w:pPr>
                                  <w:r>
                                    <w:rPr>
                                      <w:rFonts w:ascii="DIN" w:hAnsi="DIN" w:cs="DIN"/>
                                      <w:b/>
                                      <w:bCs/>
                                      <w:sz w:val="17"/>
                                      <w:szCs w:val="17"/>
                                    </w:rPr>
                                    <w:t xml:space="preserve">Light (when fitted) </w:t>
                                  </w:r>
                                </w:p>
                              </w:tc>
                              <w:tc>
                                <w:tcPr>
                                  <w:tcW w:w="3737" w:type="dxa"/>
                                  <w:tcBorders>
                                    <w:top w:val="single" w:sz="2" w:space="0" w:color="EC1B22"/>
                                    <w:bottom w:val="single" w:sz="2" w:space="0" w:color="EC1B22"/>
                                  </w:tcBorders>
                                </w:tcPr>
                                <w:p w14:paraId="78AC5BB2" w14:textId="77777777" w:rsidR="00541A14" w:rsidRDefault="00541A14">
                                  <w:pPr>
                                    <w:pStyle w:val="Default"/>
                                    <w:rPr>
                                      <w:rFonts w:cs="Times New Roman"/>
                                      <w:color w:val="auto"/>
                                    </w:rPr>
                                  </w:pPr>
                                </w:p>
                              </w:tc>
                              <w:tc>
                                <w:tcPr>
                                  <w:tcW w:w="3382" w:type="dxa"/>
                                  <w:tcBorders>
                                    <w:top w:val="single" w:sz="2" w:space="0" w:color="EC1B22"/>
                                    <w:bottom w:val="single" w:sz="2" w:space="0" w:color="EC1B22"/>
                                    <w:right w:val="single" w:sz="2" w:space="0" w:color="EC1B22"/>
                                  </w:tcBorders>
                                </w:tcPr>
                                <w:p w14:paraId="0746A9D0" w14:textId="77777777" w:rsidR="00541A14" w:rsidRDefault="00541A14">
                                  <w:pPr>
                                    <w:pStyle w:val="Default"/>
                                    <w:rPr>
                                      <w:rFonts w:cs="Times New Roman"/>
                                      <w:color w:val="auto"/>
                                    </w:rPr>
                                  </w:pPr>
                                </w:p>
                              </w:tc>
                            </w:tr>
                            <w:tr w:rsidR="00541A14" w14:paraId="7FB27BAE" w14:textId="77777777">
                              <w:trPr>
                                <w:trHeight w:val="308"/>
                              </w:trPr>
                              <w:tc>
                                <w:tcPr>
                                  <w:tcW w:w="1937" w:type="dxa"/>
                                  <w:tcBorders>
                                    <w:top w:val="single" w:sz="2" w:space="0" w:color="EC1B22"/>
                                    <w:left w:val="single" w:sz="2" w:space="0" w:color="EC1B22"/>
                                    <w:bottom w:val="single" w:sz="2" w:space="0" w:color="EC1B22"/>
                                    <w:right w:val="single" w:sz="2" w:space="0" w:color="EC1B22"/>
                                  </w:tcBorders>
                                </w:tcPr>
                                <w:p w14:paraId="756F0444" w14:textId="77777777" w:rsidR="00541A14" w:rsidRDefault="00A450E1">
                                  <w:pPr>
                                    <w:pStyle w:val="Default"/>
                                    <w:rPr>
                                      <w:rFonts w:ascii="DIN" w:hAnsi="DIN" w:cs="DIN"/>
                                      <w:sz w:val="17"/>
                                      <w:szCs w:val="17"/>
                                    </w:rPr>
                                  </w:pPr>
                                  <w:r>
                                    <w:rPr>
                                      <w:rFonts w:ascii="DIN" w:hAnsi="DIN" w:cs="DIN"/>
                                      <w:sz w:val="17"/>
                                      <w:szCs w:val="17"/>
                                    </w:rPr>
                                    <w:t xml:space="preserve">Colour Rhythm </w:t>
                                  </w:r>
                                </w:p>
                              </w:tc>
                              <w:tc>
                                <w:tcPr>
                                  <w:tcW w:w="3737" w:type="dxa"/>
                                  <w:tcBorders>
                                    <w:top w:val="single" w:sz="2" w:space="0" w:color="EC1B22"/>
                                    <w:left w:val="single" w:sz="2" w:space="0" w:color="EC1B22"/>
                                    <w:bottom w:val="single" w:sz="2" w:space="0" w:color="EC1B22"/>
                                    <w:right w:val="single" w:sz="2" w:space="0" w:color="EC1B22"/>
                                  </w:tcBorders>
                                </w:tcPr>
                                <w:p w14:paraId="3F03A9DA" w14:textId="77777777" w:rsidR="00541A14" w:rsidRDefault="00A450E1">
                                  <w:pPr>
                                    <w:pStyle w:val="Default"/>
                                    <w:rPr>
                                      <w:rFonts w:ascii="DIN" w:hAnsi="DIN" w:cs="DIN"/>
                                      <w:sz w:val="17"/>
                                      <w:szCs w:val="17"/>
                                    </w:rPr>
                                  </w:pPr>
                                  <w:r>
                                    <w:rPr>
                                      <w:rFonts w:ascii="DIN" w:hAnsi="DIN" w:cs="DIN"/>
                                      <w:sz w:val="17"/>
                                      <w:szCs w:val="17"/>
                                    </w:rPr>
                                    <w:t xml:space="preserve">Red Composite group flashing (2 + 1) </w:t>
                                  </w:r>
                                </w:p>
                              </w:tc>
                              <w:tc>
                                <w:tcPr>
                                  <w:tcW w:w="3382" w:type="dxa"/>
                                  <w:tcBorders>
                                    <w:top w:val="single" w:sz="2" w:space="0" w:color="EC1B22"/>
                                    <w:left w:val="single" w:sz="2" w:space="0" w:color="EC1B22"/>
                                    <w:bottom w:val="single" w:sz="2" w:space="0" w:color="EC1B22"/>
                                    <w:right w:val="single" w:sz="2" w:space="0" w:color="EC1B22"/>
                                  </w:tcBorders>
                                </w:tcPr>
                                <w:p w14:paraId="0A97E17F" w14:textId="77777777" w:rsidR="00541A14" w:rsidRDefault="00A450E1">
                                  <w:pPr>
                                    <w:pStyle w:val="Default"/>
                                    <w:rPr>
                                      <w:rFonts w:ascii="DIN" w:hAnsi="DIN" w:cs="DIN"/>
                                      <w:sz w:val="17"/>
                                      <w:szCs w:val="17"/>
                                    </w:rPr>
                                  </w:pPr>
                                  <w:r>
                                    <w:rPr>
                                      <w:rFonts w:ascii="DIN" w:hAnsi="DIN" w:cs="DIN"/>
                                      <w:sz w:val="17"/>
                                      <w:szCs w:val="17"/>
                                    </w:rPr>
                                    <w:t xml:space="preserve">Green Composite group flashing (2 + 1) </w:t>
                                  </w:r>
                                </w:p>
                              </w:tc>
                            </w:tr>
                          </w:tbl>
                          <w:p w14:paraId="463E5CA6"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65" type="#_x0000_t202" style="position:absolute;margin-left:74.3pt;margin-top:622.25pt;width:492.8pt;height:120.8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33"/>
                        <w:gridCol w:w="492"/>
                        <w:gridCol w:w="20"/>
                        <w:gridCol w:w="2297"/>
                        <w:gridCol w:w="5"/>
                        <w:gridCol w:w="5"/>
                        <w:gridCol w:w="12"/>
                        <w:gridCol w:w="47"/>
                        <w:gridCol w:w="1355"/>
                        <w:gridCol w:w="10"/>
                        <w:gridCol w:w="3372"/>
                        <w:gridCol w:w="23"/>
                      </w:tblGrid>
                      <w:tr w:rsidR="00000000" w14:paraId="3FA7C003" w14:textId="77777777">
                        <w:tblPrEx>
                          <w:tblCellMar>
                            <w:top w:w="0" w:type="dxa"/>
                            <w:bottom w:w="0" w:type="dxa"/>
                          </w:tblCellMar>
                        </w:tblPrEx>
                        <w:trPr>
                          <w:gridAfter w:val="1"/>
                          <w:wAfter w:w="15" w:type="dxa"/>
                          <w:trHeight w:val="622"/>
                        </w:trPr>
                        <w:tc>
                          <w:tcPr>
                            <w:tcW w:w="1937" w:type="dxa"/>
                            <w:gridSpan w:val="3"/>
                            <w:tcBorders>
                              <w:top w:val="single" w:sz="2" w:space="0" w:color="EC1B22"/>
                              <w:left w:val="single" w:sz="2" w:space="0" w:color="EC1B22"/>
                              <w:bottom w:val="single" w:sz="2" w:space="0" w:color="EC1B22"/>
                              <w:right w:val="single" w:sz="2" w:space="0" w:color="EC1B22"/>
                            </w:tcBorders>
                            <w:vAlign w:val="bottom"/>
                          </w:tcPr>
                          <w:p w14:paraId="53383F24" w14:textId="77777777" w:rsidR="00000000" w:rsidRDefault="00A450E1">
                            <w:pPr>
                              <w:pStyle w:val="Default"/>
                              <w:rPr>
                                <w:rFonts w:ascii="DIN" w:hAnsi="DIN" w:cs="DIN"/>
                                <w:sz w:val="17"/>
                                <w:szCs w:val="17"/>
                              </w:rPr>
                            </w:pPr>
                            <w:r>
                              <w:rPr>
                                <w:rFonts w:ascii="DIN" w:hAnsi="DIN" w:cs="DIN"/>
                                <w:b/>
                                <w:bCs/>
                                <w:sz w:val="17"/>
                                <w:szCs w:val="17"/>
                              </w:rPr>
                              <w:t xml:space="preserve">Colour Shape of buoy Topmark (if any) </w:t>
                            </w:r>
                          </w:p>
                        </w:tc>
                        <w:tc>
                          <w:tcPr>
                            <w:tcW w:w="3737" w:type="dxa"/>
                            <w:gridSpan w:val="7"/>
                            <w:tcBorders>
                              <w:top w:val="single" w:sz="2" w:space="0" w:color="EC1B22"/>
                              <w:left w:val="single" w:sz="2" w:space="0" w:color="EC1B22"/>
                              <w:bottom w:val="single" w:sz="2" w:space="0" w:color="EC1B22"/>
                              <w:right w:val="single" w:sz="2" w:space="0" w:color="EC1B22"/>
                            </w:tcBorders>
                            <w:vAlign w:val="center"/>
                          </w:tcPr>
                          <w:p w14:paraId="2FDB201F" w14:textId="77777777" w:rsidR="00000000" w:rsidRDefault="00A450E1">
                            <w:pPr>
                              <w:pStyle w:val="Default"/>
                              <w:rPr>
                                <w:rFonts w:ascii="DIN" w:hAnsi="DIN" w:cs="DIN"/>
                                <w:sz w:val="17"/>
                                <w:szCs w:val="17"/>
                              </w:rPr>
                            </w:pPr>
                            <w:r>
                              <w:rPr>
                                <w:rFonts w:ascii="DIN" w:hAnsi="DIN" w:cs="DIN"/>
                                <w:b/>
                                <w:bCs/>
                                <w:color w:val="FFFFFF"/>
                                <w:sz w:val="18"/>
                                <w:szCs w:val="18"/>
                              </w:rPr>
                              <w:t xml:space="preserve">2.4.3.1 Preferred channel to Starboard </w:t>
                            </w:r>
                            <w:r>
                              <w:rPr>
                                <w:rFonts w:ascii="DIN" w:hAnsi="DIN" w:cs="DIN"/>
                                <w:sz w:val="17"/>
                                <w:szCs w:val="17"/>
                              </w:rPr>
                              <w:t xml:space="preserve">Red with one broad green horizontal band Cylindrical (can), pillar or spar Single </w:t>
                            </w:r>
                            <w:r>
                              <w:rPr>
                                <w:rFonts w:ascii="DIN" w:hAnsi="DIN" w:cs="DIN"/>
                                <w:sz w:val="17"/>
                                <w:szCs w:val="17"/>
                              </w:rPr>
                              <w:t xml:space="preserve">red cylinder (can) </w:t>
                            </w:r>
                          </w:p>
                        </w:tc>
                        <w:tc>
                          <w:tcPr>
                            <w:tcW w:w="3382" w:type="dxa"/>
                            <w:gridSpan w:val="2"/>
                            <w:tcBorders>
                              <w:top w:val="single" w:sz="2" w:space="0" w:color="EC1B22"/>
                              <w:left w:val="single" w:sz="2" w:space="0" w:color="EC1B22"/>
                              <w:bottom w:val="single" w:sz="2" w:space="0" w:color="EC1B22"/>
                              <w:right w:val="single" w:sz="2" w:space="0" w:color="EC1B22"/>
                            </w:tcBorders>
                            <w:vAlign w:val="center"/>
                          </w:tcPr>
                          <w:p w14:paraId="046C0927" w14:textId="77777777" w:rsidR="00000000" w:rsidRDefault="00A450E1">
                            <w:pPr>
                              <w:pStyle w:val="Default"/>
                              <w:rPr>
                                <w:rFonts w:ascii="DIN" w:hAnsi="DIN" w:cs="DIN"/>
                                <w:sz w:val="17"/>
                                <w:szCs w:val="17"/>
                              </w:rPr>
                            </w:pPr>
                            <w:r>
                              <w:rPr>
                                <w:rFonts w:ascii="DIN" w:hAnsi="DIN" w:cs="DIN"/>
                                <w:b/>
                                <w:bCs/>
                                <w:color w:val="FFFFFF"/>
                                <w:sz w:val="18"/>
                                <w:szCs w:val="18"/>
                              </w:rPr>
                              <w:t xml:space="preserve">2.4.3.2 Preferred channel to Port </w:t>
                            </w:r>
                            <w:r>
                              <w:rPr>
                                <w:rFonts w:ascii="DIN" w:hAnsi="DIN" w:cs="DIN"/>
                                <w:sz w:val="17"/>
                                <w:szCs w:val="17"/>
                              </w:rPr>
                              <w:t xml:space="preserve">Green with one broad red horizontal band Conical, pillar or spar Single green cone, point upward </w:t>
                            </w:r>
                          </w:p>
                        </w:tc>
                      </w:tr>
                      <w:tr w:rsidR="00000000" w14:paraId="3CED44A3" w14:textId="77777777">
                        <w:tblPrEx>
                          <w:tblCellMar>
                            <w:top w:w="0" w:type="dxa"/>
                            <w:bottom w:w="0" w:type="dxa"/>
                          </w:tblCellMar>
                        </w:tblPrEx>
                        <w:trPr>
                          <w:gridAfter w:val="1"/>
                          <w:wAfter w:w="15" w:type="dxa"/>
                          <w:trHeight w:val="162"/>
                        </w:trPr>
                        <w:tc>
                          <w:tcPr>
                            <w:tcW w:w="1937" w:type="dxa"/>
                            <w:gridSpan w:val="3"/>
                            <w:tcBorders>
                              <w:top w:val="single" w:sz="2" w:space="0" w:color="EC1B22"/>
                              <w:left w:val="single" w:sz="2" w:space="0" w:color="EC1B22"/>
                              <w:bottom w:val="single" w:sz="2" w:space="0" w:color="EC1B22"/>
                            </w:tcBorders>
                            <w:vAlign w:val="center"/>
                          </w:tcPr>
                          <w:p w14:paraId="217DF853" w14:textId="77777777" w:rsidR="00000000" w:rsidRDefault="00A450E1">
                            <w:pPr>
                              <w:pStyle w:val="Default"/>
                              <w:rPr>
                                <w:rFonts w:ascii="DIN" w:hAnsi="DIN" w:cs="DIN"/>
                                <w:sz w:val="17"/>
                                <w:szCs w:val="17"/>
                              </w:rPr>
                            </w:pPr>
                            <w:r>
                              <w:rPr>
                                <w:rFonts w:ascii="DIN" w:hAnsi="DIN" w:cs="DIN"/>
                                <w:b/>
                                <w:bCs/>
                                <w:sz w:val="17"/>
                                <w:szCs w:val="17"/>
                              </w:rPr>
                              <w:t xml:space="preserve">Light (when fitted) </w:t>
                            </w:r>
                          </w:p>
                        </w:tc>
                        <w:tc>
                          <w:tcPr>
                            <w:tcW w:w="3737" w:type="dxa"/>
                            <w:gridSpan w:val="7"/>
                            <w:tcBorders>
                              <w:top w:val="single" w:sz="2" w:space="0" w:color="EC1B22"/>
                              <w:bottom w:val="single" w:sz="2" w:space="0" w:color="EC1B22"/>
                            </w:tcBorders>
                          </w:tcPr>
                          <w:p w14:paraId="78AC5BB2" w14:textId="77777777" w:rsidR="00000000" w:rsidRDefault="00A450E1">
                            <w:pPr>
                              <w:pStyle w:val="Default"/>
                              <w:rPr>
                                <w:rFonts w:cs="Times New Roman"/>
                                <w:color w:val="auto"/>
                              </w:rPr>
                            </w:pPr>
                          </w:p>
                        </w:tc>
                        <w:tc>
                          <w:tcPr>
                            <w:tcW w:w="3382" w:type="dxa"/>
                            <w:gridSpan w:val="2"/>
                            <w:tcBorders>
                              <w:top w:val="single" w:sz="2" w:space="0" w:color="EC1B22"/>
                              <w:bottom w:val="single" w:sz="2" w:space="0" w:color="EC1B22"/>
                              <w:right w:val="single" w:sz="2" w:space="0" w:color="EC1B22"/>
                            </w:tcBorders>
                          </w:tcPr>
                          <w:p w14:paraId="0746A9D0" w14:textId="77777777" w:rsidR="00000000" w:rsidRDefault="00A450E1">
                            <w:pPr>
                              <w:pStyle w:val="Default"/>
                              <w:rPr>
                                <w:rFonts w:cs="Times New Roman"/>
                                <w:color w:val="auto"/>
                              </w:rPr>
                            </w:pPr>
                          </w:p>
                        </w:tc>
                      </w:tr>
                      <w:tr w:rsidR="00000000" w14:paraId="7FB27BAE" w14:textId="77777777">
                        <w:tblPrEx>
                          <w:tblCellMar>
                            <w:top w:w="0" w:type="dxa"/>
                            <w:bottom w:w="0" w:type="dxa"/>
                          </w:tblCellMar>
                        </w:tblPrEx>
                        <w:trPr>
                          <w:gridAfter w:val="1"/>
                          <w:wAfter w:w="15" w:type="dxa"/>
                          <w:trHeight w:val="308"/>
                        </w:trPr>
                        <w:tc>
                          <w:tcPr>
                            <w:tcW w:w="1937" w:type="dxa"/>
                            <w:gridSpan w:val="3"/>
                            <w:tcBorders>
                              <w:top w:val="single" w:sz="2" w:space="0" w:color="EC1B22"/>
                              <w:left w:val="single" w:sz="2" w:space="0" w:color="EC1B22"/>
                              <w:bottom w:val="single" w:sz="2" w:space="0" w:color="EC1B22"/>
                              <w:right w:val="single" w:sz="2" w:space="0" w:color="EC1B22"/>
                            </w:tcBorders>
                          </w:tcPr>
                          <w:p w14:paraId="756F0444" w14:textId="77777777" w:rsidR="00000000" w:rsidRDefault="00A450E1">
                            <w:pPr>
                              <w:pStyle w:val="Default"/>
                              <w:rPr>
                                <w:rFonts w:ascii="DIN" w:hAnsi="DIN" w:cs="DIN"/>
                                <w:sz w:val="17"/>
                                <w:szCs w:val="17"/>
                              </w:rPr>
                            </w:pPr>
                            <w:r>
                              <w:rPr>
                                <w:rFonts w:ascii="DIN" w:hAnsi="DIN" w:cs="DIN"/>
                                <w:sz w:val="17"/>
                                <w:szCs w:val="17"/>
                              </w:rPr>
                              <w:t xml:space="preserve">Colour Rhythm </w:t>
                            </w:r>
                          </w:p>
                        </w:tc>
                        <w:tc>
                          <w:tcPr>
                            <w:tcW w:w="3737" w:type="dxa"/>
                            <w:gridSpan w:val="7"/>
                            <w:tcBorders>
                              <w:top w:val="single" w:sz="2" w:space="0" w:color="EC1B22"/>
                              <w:left w:val="single" w:sz="2" w:space="0" w:color="EC1B22"/>
                              <w:bottom w:val="single" w:sz="2" w:space="0" w:color="EC1B22"/>
                              <w:right w:val="single" w:sz="2" w:space="0" w:color="EC1B22"/>
                            </w:tcBorders>
                          </w:tcPr>
                          <w:p w14:paraId="3F03A9DA" w14:textId="77777777" w:rsidR="00000000" w:rsidRDefault="00A450E1">
                            <w:pPr>
                              <w:pStyle w:val="Default"/>
                              <w:rPr>
                                <w:rFonts w:ascii="DIN" w:hAnsi="DIN" w:cs="DIN"/>
                                <w:sz w:val="17"/>
                                <w:szCs w:val="17"/>
                              </w:rPr>
                            </w:pPr>
                            <w:r>
                              <w:rPr>
                                <w:rFonts w:ascii="DIN" w:hAnsi="DIN" w:cs="DIN"/>
                                <w:sz w:val="17"/>
                                <w:szCs w:val="17"/>
                              </w:rPr>
                              <w:t xml:space="preserve">Red Composite group flashing (2 + 1) </w:t>
                            </w:r>
                          </w:p>
                        </w:tc>
                        <w:tc>
                          <w:tcPr>
                            <w:tcW w:w="3382" w:type="dxa"/>
                            <w:gridSpan w:val="2"/>
                            <w:tcBorders>
                              <w:top w:val="single" w:sz="2" w:space="0" w:color="EC1B22"/>
                              <w:left w:val="single" w:sz="2" w:space="0" w:color="EC1B22"/>
                              <w:bottom w:val="single" w:sz="2" w:space="0" w:color="EC1B22"/>
                              <w:right w:val="single" w:sz="2" w:space="0" w:color="EC1B22"/>
                            </w:tcBorders>
                          </w:tcPr>
                          <w:p w14:paraId="0A97E17F" w14:textId="77777777" w:rsidR="00000000" w:rsidRDefault="00A450E1">
                            <w:pPr>
                              <w:pStyle w:val="Default"/>
                              <w:rPr>
                                <w:rFonts w:ascii="DIN" w:hAnsi="DIN" w:cs="DIN"/>
                                <w:sz w:val="17"/>
                                <w:szCs w:val="17"/>
                              </w:rPr>
                            </w:pPr>
                            <w:r>
                              <w:rPr>
                                <w:rFonts w:ascii="DIN" w:hAnsi="DIN" w:cs="DIN"/>
                                <w:sz w:val="17"/>
                                <w:szCs w:val="17"/>
                              </w:rPr>
                              <w:t xml:space="preserve">Green Composite group flashing (2 + 1) </w:t>
                            </w:r>
                          </w:p>
                        </w:tc>
                      </w:tr>
                    </w:tbl>
                  </w:txbxContent>
                </v:textbox>
                <w10:wrap type="through" anchorx="page" anchory="page"/>
              </v:shape>
            </w:pict>
          </mc:Fallback>
        </mc:AlternateContent>
      </w:r>
    </w:p>
    <w:p w14:paraId="450A3467" w14:textId="77777777" w:rsidR="00541A14" w:rsidRDefault="00DD420F">
      <w:pPr>
        <w:pStyle w:val="Default"/>
        <w:framePr w:w="1316" w:wrap="auto" w:vAnchor="page" w:hAnchor="page" w:x="5682" w:y="15206"/>
        <w:spacing w:after="120"/>
        <w:rPr>
          <w:rFonts w:cs="Times New Roman"/>
          <w:color w:val="auto"/>
        </w:rPr>
      </w:pPr>
      <w:r>
        <w:rPr>
          <w:rFonts w:cs="Times New Roman"/>
          <w:noProof/>
          <w:color w:val="auto"/>
        </w:rPr>
        <w:drawing>
          <wp:inline distT="0" distB="0" distL="0" distR="0" wp14:anchorId="382888CB" wp14:editId="0614A26D">
            <wp:extent cx="11430" cy="1143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33891A00" w14:textId="77777777" w:rsidR="00541A14" w:rsidRDefault="00A450E1">
      <w:pPr>
        <w:pStyle w:val="CM12"/>
        <w:jc w:val="both"/>
        <w:rPr>
          <w:sz w:val="15"/>
          <w:szCs w:val="15"/>
        </w:rPr>
      </w:pPr>
      <w:r>
        <w:rPr>
          <w:sz w:val="15"/>
          <w:szCs w:val="15"/>
        </w:rPr>
        <w:t xml:space="preserve">Maritime Buoyage System </w:t>
      </w:r>
    </w:p>
    <w:p w14:paraId="2DB74FE3" w14:textId="77777777" w:rsidR="00541A14" w:rsidRDefault="00A450E1">
      <w:pPr>
        <w:pStyle w:val="CM172"/>
        <w:spacing w:after="202"/>
        <w:jc w:val="both"/>
        <w:rPr>
          <w:color w:val="EC1B22"/>
          <w:sz w:val="15"/>
          <w:szCs w:val="15"/>
        </w:rPr>
      </w:pPr>
      <w:r>
        <w:rPr>
          <w:color w:val="EC1B22"/>
          <w:sz w:val="15"/>
          <w:szCs w:val="15"/>
        </w:rPr>
        <w:t xml:space="preserve">Marks </w:t>
      </w:r>
    </w:p>
    <w:p w14:paraId="6C8081CB" w14:textId="77777777" w:rsidR="00541A14" w:rsidRDefault="00A450E1">
      <w:pPr>
        <w:pStyle w:val="CM162"/>
        <w:spacing w:after="552"/>
        <w:ind w:left="4827"/>
        <w:rPr>
          <w:color w:val="6B6D6F"/>
          <w:sz w:val="47"/>
          <w:szCs w:val="47"/>
        </w:rPr>
      </w:pPr>
      <w:r>
        <w:rPr>
          <w:color w:val="6B6D6F"/>
          <w:sz w:val="47"/>
          <w:szCs w:val="47"/>
        </w:rPr>
        <w:t xml:space="preserve">10 </w:t>
      </w:r>
    </w:p>
    <w:p w14:paraId="190029C8" w14:textId="77777777" w:rsidR="00541A14" w:rsidRDefault="00DD420F">
      <w:pPr>
        <w:pStyle w:val="Default"/>
        <w:framePr w:w="10730" w:wrap="auto" w:vAnchor="page" w:hAnchor="page" w:x="608" w:y="16318"/>
        <w:rPr>
          <w:rFonts w:cs="Times New Roman"/>
          <w:color w:val="6B6D6F"/>
          <w:sz w:val="47"/>
          <w:szCs w:val="47"/>
        </w:rPr>
      </w:pPr>
      <w:r>
        <w:rPr>
          <w:rFonts w:cs="Times New Roman"/>
          <w:noProof/>
          <w:color w:val="6B6D6F"/>
          <w:sz w:val="47"/>
          <w:szCs w:val="47"/>
        </w:rPr>
        <w:drawing>
          <wp:inline distT="0" distB="0" distL="0" distR="0" wp14:anchorId="60A7D86F" wp14:editId="2226F3F1">
            <wp:extent cx="7553960" cy="39179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364F99D3" w14:textId="77777777" w:rsidR="00541A14" w:rsidRDefault="00A450E1">
      <w:pPr>
        <w:pStyle w:val="CM186"/>
        <w:pageBreakBefore/>
        <w:spacing w:after="3180"/>
        <w:jc w:val="center"/>
        <w:rPr>
          <w:rFonts w:ascii="DIN" w:hAnsi="DIN" w:cs="DIN"/>
          <w:color w:val="EC1B22"/>
          <w:sz w:val="18"/>
          <w:szCs w:val="18"/>
        </w:rPr>
      </w:pPr>
      <w:r>
        <w:rPr>
          <w:rFonts w:ascii="DIN" w:hAnsi="DIN" w:cs="DIN"/>
          <w:b/>
          <w:bCs/>
          <w:color w:val="EC1B22"/>
          <w:sz w:val="18"/>
          <w:szCs w:val="18"/>
        </w:rPr>
        <w:t xml:space="preserve">2.5 Description of Lateral Marks used in Region B </w:t>
      </w:r>
    </w:p>
    <w:p w14:paraId="26CD0806"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699200" behindDoc="0" locked="0" layoutInCell="0" allowOverlap="1" wp14:anchorId="4B692151" wp14:editId="1B30062E">
                <wp:simplePos x="0" y="0"/>
                <wp:positionH relativeFrom="page">
                  <wp:posOffset>850265</wp:posOffset>
                </wp:positionH>
                <wp:positionV relativeFrom="page">
                  <wp:posOffset>3302000</wp:posOffset>
                </wp:positionV>
                <wp:extent cx="6277610" cy="1725930"/>
                <wp:effectExtent l="0" t="0" r="0" b="0"/>
                <wp:wrapThrough wrapText="bothSides">
                  <wp:wrapPolygon edited="0">
                    <wp:start x="0" y="0"/>
                    <wp:lineTo x="21600" y="0"/>
                    <wp:lineTo x="21600" y="21600"/>
                    <wp:lineTo x="0" y="21600"/>
                    <wp:lineTo x="0" y="0"/>
                  </wp:wrapPolygon>
                </wp:wrapThrough>
                <wp:docPr id="51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1725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947"/>
                              <w:gridCol w:w="3747"/>
                              <w:gridCol w:w="3392"/>
                            </w:tblGrid>
                            <w:tr w:rsidR="00541A14" w14:paraId="07D25B9D" w14:textId="77777777">
                              <w:trPr>
                                <w:trHeight w:val="625"/>
                              </w:trPr>
                              <w:tc>
                                <w:tcPr>
                                  <w:tcW w:w="1947" w:type="dxa"/>
                                  <w:tcBorders>
                                    <w:top w:val="single" w:sz="2" w:space="0" w:color="EC1B22"/>
                                    <w:left w:val="single" w:sz="2" w:space="0" w:color="EC1B22"/>
                                    <w:bottom w:val="single" w:sz="2" w:space="0" w:color="EC1B22"/>
                                    <w:right w:val="single" w:sz="2" w:space="0" w:color="EC1B22"/>
                                  </w:tcBorders>
                                  <w:vAlign w:val="bottom"/>
                                </w:tcPr>
                                <w:p w14:paraId="136B1EBD" w14:textId="77777777" w:rsidR="00541A14" w:rsidRDefault="00A450E1">
                                  <w:pPr>
                                    <w:pStyle w:val="Default"/>
                                    <w:rPr>
                                      <w:rFonts w:ascii="DIN" w:hAnsi="DIN" w:cs="DIN"/>
                                      <w:sz w:val="17"/>
                                      <w:szCs w:val="17"/>
                                    </w:rPr>
                                  </w:pPr>
                                  <w:r>
                                    <w:rPr>
                                      <w:rFonts w:ascii="DIN" w:hAnsi="DIN" w:cs="DIN"/>
                                      <w:b/>
                                      <w:bCs/>
                                      <w:sz w:val="17"/>
                                      <w:szCs w:val="17"/>
                                    </w:rPr>
                                    <w:t xml:space="preserve">Colour Shape of buoy Topmark (if any) </w:t>
                                  </w:r>
                                </w:p>
                              </w:tc>
                              <w:tc>
                                <w:tcPr>
                                  <w:tcW w:w="3747" w:type="dxa"/>
                                  <w:tcBorders>
                                    <w:top w:val="single" w:sz="2" w:space="0" w:color="EC1B22"/>
                                    <w:left w:val="single" w:sz="2" w:space="0" w:color="EC1B22"/>
                                    <w:bottom w:val="single" w:sz="2" w:space="0" w:color="EC1B22"/>
                                    <w:right w:val="single" w:sz="2" w:space="0" w:color="EC1B22"/>
                                  </w:tcBorders>
                                </w:tcPr>
                                <w:p w14:paraId="0F86F6EE" w14:textId="77777777" w:rsidR="00541A14" w:rsidRDefault="00A450E1">
                                  <w:pPr>
                                    <w:pStyle w:val="Default"/>
                                    <w:rPr>
                                      <w:rFonts w:ascii="DIN" w:hAnsi="DIN" w:cs="DIN"/>
                                      <w:sz w:val="17"/>
                                      <w:szCs w:val="17"/>
                                    </w:rPr>
                                  </w:pPr>
                                  <w:r>
                                    <w:rPr>
                                      <w:rFonts w:ascii="DIN" w:hAnsi="DIN" w:cs="DIN"/>
                                      <w:b/>
                                      <w:bCs/>
                                      <w:color w:val="FFFFFF"/>
                                      <w:sz w:val="18"/>
                                      <w:szCs w:val="18"/>
                                    </w:rPr>
                                    <w:t xml:space="preserve">2.5.1 Port hand Marks </w:t>
                                  </w:r>
                                  <w:r>
                                    <w:rPr>
                                      <w:rFonts w:ascii="DIN" w:hAnsi="DIN" w:cs="DIN"/>
                                      <w:sz w:val="17"/>
                                      <w:szCs w:val="17"/>
                                    </w:rPr>
                                    <w:t xml:space="preserve">Green Cylindrical (can), pillar or spar Single green cylinder (can) </w:t>
                                  </w:r>
                                </w:p>
                              </w:tc>
                              <w:tc>
                                <w:tcPr>
                                  <w:tcW w:w="3392" w:type="dxa"/>
                                  <w:tcBorders>
                                    <w:top w:val="single" w:sz="2" w:space="0" w:color="EC1B22"/>
                                    <w:left w:val="single" w:sz="2" w:space="0" w:color="EC1B22"/>
                                    <w:bottom w:val="single" w:sz="2" w:space="0" w:color="EC1B22"/>
                                    <w:right w:val="single" w:sz="2" w:space="0" w:color="EC1B22"/>
                                  </w:tcBorders>
                                </w:tcPr>
                                <w:p w14:paraId="47BBB9C3" w14:textId="77777777" w:rsidR="00541A14" w:rsidRDefault="00A450E1">
                                  <w:pPr>
                                    <w:pStyle w:val="Default"/>
                                    <w:rPr>
                                      <w:rFonts w:ascii="DIN" w:hAnsi="DIN" w:cs="DIN"/>
                                      <w:sz w:val="17"/>
                                      <w:szCs w:val="17"/>
                                    </w:rPr>
                                  </w:pPr>
                                  <w:r>
                                    <w:rPr>
                                      <w:rFonts w:ascii="DIN" w:hAnsi="DIN" w:cs="DIN"/>
                                      <w:b/>
                                      <w:bCs/>
                                      <w:color w:val="FFFFFF"/>
                                      <w:sz w:val="18"/>
                                      <w:szCs w:val="18"/>
                                    </w:rPr>
                                    <w:t xml:space="preserve">2.5.2 Starboard hand Marks </w:t>
                                  </w:r>
                                  <w:r>
                                    <w:rPr>
                                      <w:rFonts w:ascii="DIN" w:hAnsi="DIN" w:cs="DIN"/>
                                      <w:sz w:val="17"/>
                                      <w:szCs w:val="17"/>
                                    </w:rPr>
                                    <w:t xml:space="preserve">Red Conical, pillar or spar Single red cone, point upward </w:t>
                                  </w:r>
                                </w:p>
                              </w:tc>
                            </w:tr>
                            <w:tr w:rsidR="00541A14" w14:paraId="1DB79DE8" w14:textId="77777777">
                              <w:trPr>
                                <w:trHeight w:val="161"/>
                              </w:trPr>
                              <w:tc>
                                <w:tcPr>
                                  <w:tcW w:w="1947" w:type="dxa"/>
                                  <w:tcBorders>
                                    <w:top w:val="single" w:sz="2" w:space="0" w:color="EC1B22"/>
                                    <w:left w:val="single" w:sz="2" w:space="0" w:color="EC1B22"/>
                                    <w:bottom w:val="single" w:sz="2" w:space="0" w:color="EC1B22"/>
                                  </w:tcBorders>
                                  <w:vAlign w:val="center"/>
                                </w:tcPr>
                                <w:p w14:paraId="2C114D7C" w14:textId="77777777" w:rsidR="00541A14" w:rsidRDefault="00A450E1">
                                  <w:pPr>
                                    <w:pStyle w:val="Default"/>
                                    <w:rPr>
                                      <w:rFonts w:ascii="DIN" w:hAnsi="DIN" w:cs="DIN"/>
                                      <w:sz w:val="17"/>
                                      <w:szCs w:val="17"/>
                                    </w:rPr>
                                  </w:pPr>
                                  <w:r>
                                    <w:rPr>
                                      <w:rFonts w:ascii="DIN" w:hAnsi="DIN" w:cs="DIN"/>
                                      <w:b/>
                                      <w:bCs/>
                                      <w:sz w:val="17"/>
                                      <w:szCs w:val="17"/>
                                    </w:rPr>
                                    <w:t xml:space="preserve">Light (when fitted) </w:t>
                                  </w:r>
                                </w:p>
                              </w:tc>
                              <w:tc>
                                <w:tcPr>
                                  <w:tcW w:w="3747" w:type="dxa"/>
                                  <w:tcBorders>
                                    <w:top w:val="single" w:sz="2" w:space="0" w:color="EC1B22"/>
                                    <w:bottom w:val="single" w:sz="2" w:space="0" w:color="EC1B22"/>
                                  </w:tcBorders>
                                </w:tcPr>
                                <w:p w14:paraId="2ED65169" w14:textId="77777777" w:rsidR="00541A14" w:rsidRDefault="00541A14">
                                  <w:pPr>
                                    <w:pStyle w:val="Default"/>
                                    <w:rPr>
                                      <w:rFonts w:cs="Times New Roman"/>
                                      <w:color w:val="auto"/>
                                    </w:rPr>
                                  </w:pPr>
                                </w:p>
                              </w:tc>
                              <w:tc>
                                <w:tcPr>
                                  <w:tcW w:w="3392" w:type="dxa"/>
                                  <w:tcBorders>
                                    <w:top w:val="single" w:sz="2" w:space="0" w:color="EC1B22"/>
                                    <w:bottom w:val="single" w:sz="2" w:space="0" w:color="EC1B22"/>
                                    <w:right w:val="single" w:sz="2" w:space="0" w:color="EC1B22"/>
                                  </w:tcBorders>
                                </w:tcPr>
                                <w:p w14:paraId="6EFDE7EF" w14:textId="77777777" w:rsidR="00541A14" w:rsidRDefault="00541A14">
                                  <w:pPr>
                                    <w:pStyle w:val="Default"/>
                                    <w:rPr>
                                      <w:rFonts w:cs="Times New Roman"/>
                                      <w:color w:val="auto"/>
                                    </w:rPr>
                                  </w:pPr>
                                </w:p>
                              </w:tc>
                            </w:tr>
                            <w:tr w:rsidR="00541A14" w14:paraId="1715BF48" w14:textId="77777777">
                              <w:trPr>
                                <w:trHeight w:val="425"/>
                              </w:trPr>
                              <w:tc>
                                <w:tcPr>
                                  <w:tcW w:w="1947" w:type="dxa"/>
                                  <w:tcBorders>
                                    <w:top w:val="single" w:sz="2" w:space="0" w:color="EC1B22"/>
                                    <w:left w:val="single" w:sz="2" w:space="0" w:color="EC1B22"/>
                                    <w:bottom w:val="single" w:sz="2" w:space="0" w:color="EC1B22"/>
                                    <w:right w:val="single" w:sz="2" w:space="0" w:color="EC1B22"/>
                                  </w:tcBorders>
                                </w:tcPr>
                                <w:p w14:paraId="28319E48" w14:textId="77777777" w:rsidR="00541A14" w:rsidRDefault="00A450E1">
                                  <w:pPr>
                                    <w:pStyle w:val="Default"/>
                                    <w:rPr>
                                      <w:rFonts w:ascii="DIN" w:hAnsi="DIN" w:cs="DIN"/>
                                      <w:sz w:val="17"/>
                                      <w:szCs w:val="17"/>
                                    </w:rPr>
                                  </w:pPr>
                                  <w:r>
                                    <w:rPr>
                                      <w:rFonts w:ascii="DIN" w:hAnsi="DIN" w:cs="DIN"/>
                                      <w:sz w:val="17"/>
                                      <w:szCs w:val="17"/>
                                    </w:rPr>
                                    <w:t xml:space="preserve">Colour Rhythm </w:t>
                                  </w:r>
                                </w:p>
                              </w:tc>
                              <w:tc>
                                <w:tcPr>
                                  <w:tcW w:w="3747" w:type="dxa"/>
                                  <w:tcBorders>
                                    <w:top w:val="single" w:sz="2" w:space="0" w:color="EC1B22"/>
                                    <w:left w:val="single" w:sz="2" w:space="0" w:color="EC1B22"/>
                                    <w:bottom w:val="single" w:sz="2" w:space="0" w:color="EC1B22"/>
                                    <w:right w:val="single" w:sz="2" w:space="0" w:color="EC1B22"/>
                                  </w:tcBorders>
                                </w:tcPr>
                                <w:p w14:paraId="1291F132" w14:textId="77777777" w:rsidR="00541A14" w:rsidRDefault="00A450E1">
                                  <w:pPr>
                                    <w:pStyle w:val="Default"/>
                                    <w:rPr>
                                      <w:rFonts w:ascii="DIN" w:hAnsi="DIN" w:cs="DIN"/>
                                      <w:sz w:val="17"/>
                                      <w:szCs w:val="17"/>
                                    </w:rPr>
                                  </w:pPr>
                                  <w:r>
                                    <w:rPr>
                                      <w:rFonts w:ascii="DIN" w:hAnsi="DIN" w:cs="DIN"/>
                                      <w:sz w:val="17"/>
                                      <w:szCs w:val="17"/>
                                    </w:rPr>
                                    <w:t xml:space="preserve">Green Any, other than that described in section 2.5.3. </w:t>
                                  </w:r>
                                </w:p>
                              </w:tc>
                              <w:tc>
                                <w:tcPr>
                                  <w:tcW w:w="3392" w:type="dxa"/>
                                  <w:tcBorders>
                                    <w:top w:val="single" w:sz="2" w:space="0" w:color="EC1B22"/>
                                    <w:left w:val="single" w:sz="2" w:space="0" w:color="EC1B22"/>
                                    <w:bottom w:val="single" w:sz="2" w:space="0" w:color="EC1B22"/>
                                    <w:right w:val="single" w:sz="2" w:space="0" w:color="EC1B22"/>
                                  </w:tcBorders>
                                </w:tcPr>
                                <w:p w14:paraId="03DED81F" w14:textId="77777777" w:rsidR="00541A14" w:rsidRDefault="00A450E1">
                                  <w:pPr>
                                    <w:pStyle w:val="Default"/>
                                    <w:rPr>
                                      <w:rFonts w:ascii="DIN" w:hAnsi="DIN" w:cs="DIN"/>
                                      <w:sz w:val="17"/>
                                      <w:szCs w:val="17"/>
                                    </w:rPr>
                                  </w:pPr>
                                  <w:r>
                                    <w:rPr>
                                      <w:rFonts w:ascii="DIN" w:hAnsi="DIN" w:cs="DIN"/>
                                      <w:sz w:val="17"/>
                                      <w:szCs w:val="17"/>
                                    </w:rPr>
                                    <w:t xml:space="preserve">Red Any, other than that described In section 2.5.3. </w:t>
                                  </w:r>
                                </w:p>
                              </w:tc>
                            </w:tr>
                          </w:tbl>
                          <w:p w14:paraId="6633EBE3"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66" type="#_x0000_t202" style="position:absolute;margin-left:66.95pt;margin-top:260pt;width:494.3pt;height:135.9pt;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33"/>
                        <w:gridCol w:w="492"/>
                        <w:gridCol w:w="20"/>
                        <w:gridCol w:w="2297"/>
                        <w:gridCol w:w="5"/>
                        <w:gridCol w:w="5"/>
                        <w:gridCol w:w="12"/>
                        <w:gridCol w:w="47"/>
                        <w:gridCol w:w="1355"/>
                        <w:gridCol w:w="10"/>
                        <w:gridCol w:w="3372"/>
                        <w:gridCol w:w="23"/>
                      </w:tblGrid>
                      <w:tr w:rsidR="00000000" w14:paraId="07D25B9D" w14:textId="77777777">
                        <w:tblPrEx>
                          <w:tblCellMar>
                            <w:top w:w="0" w:type="dxa"/>
                            <w:bottom w:w="0" w:type="dxa"/>
                          </w:tblCellMar>
                        </w:tblPrEx>
                        <w:trPr>
                          <w:trHeight w:val="625"/>
                        </w:trPr>
                        <w:tc>
                          <w:tcPr>
                            <w:tcW w:w="1947" w:type="dxa"/>
                            <w:gridSpan w:val="3"/>
                            <w:tcBorders>
                              <w:top w:val="single" w:sz="2" w:space="0" w:color="EC1B22"/>
                              <w:left w:val="single" w:sz="2" w:space="0" w:color="EC1B22"/>
                              <w:bottom w:val="single" w:sz="2" w:space="0" w:color="EC1B22"/>
                              <w:right w:val="single" w:sz="2" w:space="0" w:color="EC1B22"/>
                            </w:tcBorders>
                            <w:vAlign w:val="bottom"/>
                          </w:tcPr>
                          <w:p w14:paraId="136B1EBD" w14:textId="77777777" w:rsidR="00000000" w:rsidRDefault="00A450E1">
                            <w:pPr>
                              <w:pStyle w:val="Default"/>
                              <w:rPr>
                                <w:rFonts w:ascii="DIN" w:hAnsi="DIN" w:cs="DIN"/>
                                <w:sz w:val="17"/>
                                <w:szCs w:val="17"/>
                              </w:rPr>
                            </w:pPr>
                            <w:r>
                              <w:rPr>
                                <w:rFonts w:ascii="DIN" w:hAnsi="DIN" w:cs="DIN"/>
                                <w:b/>
                                <w:bCs/>
                                <w:sz w:val="17"/>
                                <w:szCs w:val="17"/>
                              </w:rPr>
                              <w:t xml:space="preserve">Colour Shape of buoy Topmark (if any) </w:t>
                            </w:r>
                          </w:p>
                        </w:tc>
                        <w:tc>
                          <w:tcPr>
                            <w:tcW w:w="3747" w:type="dxa"/>
                            <w:gridSpan w:val="8"/>
                            <w:tcBorders>
                              <w:top w:val="single" w:sz="2" w:space="0" w:color="EC1B22"/>
                              <w:left w:val="single" w:sz="2" w:space="0" w:color="EC1B22"/>
                              <w:bottom w:val="single" w:sz="2" w:space="0" w:color="EC1B22"/>
                              <w:right w:val="single" w:sz="2" w:space="0" w:color="EC1B22"/>
                            </w:tcBorders>
                          </w:tcPr>
                          <w:p w14:paraId="0F86F6EE" w14:textId="77777777" w:rsidR="00000000" w:rsidRDefault="00A450E1">
                            <w:pPr>
                              <w:pStyle w:val="Default"/>
                              <w:rPr>
                                <w:rFonts w:ascii="DIN" w:hAnsi="DIN" w:cs="DIN"/>
                                <w:sz w:val="17"/>
                                <w:szCs w:val="17"/>
                              </w:rPr>
                            </w:pPr>
                            <w:r>
                              <w:rPr>
                                <w:rFonts w:ascii="DIN" w:hAnsi="DIN" w:cs="DIN"/>
                                <w:b/>
                                <w:bCs/>
                                <w:color w:val="FFFFFF"/>
                                <w:sz w:val="18"/>
                                <w:szCs w:val="18"/>
                              </w:rPr>
                              <w:t xml:space="preserve">2.5.1 Port hand Marks </w:t>
                            </w:r>
                            <w:r>
                              <w:rPr>
                                <w:rFonts w:ascii="DIN" w:hAnsi="DIN" w:cs="DIN"/>
                                <w:sz w:val="17"/>
                                <w:szCs w:val="17"/>
                              </w:rPr>
                              <w:t xml:space="preserve">Green Cylindrical (can), pillar or spar Single green cylinder (can) </w:t>
                            </w:r>
                          </w:p>
                        </w:tc>
                        <w:tc>
                          <w:tcPr>
                            <w:tcW w:w="3392" w:type="dxa"/>
                            <w:gridSpan w:val="2"/>
                            <w:tcBorders>
                              <w:top w:val="single" w:sz="2" w:space="0" w:color="EC1B22"/>
                              <w:left w:val="single" w:sz="2" w:space="0" w:color="EC1B22"/>
                              <w:bottom w:val="single" w:sz="2" w:space="0" w:color="EC1B22"/>
                              <w:right w:val="single" w:sz="2" w:space="0" w:color="EC1B22"/>
                            </w:tcBorders>
                          </w:tcPr>
                          <w:p w14:paraId="47BBB9C3" w14:textId="77777777" w:rsidR="00000000" w:rsidRDefault="00A450E1">
                            <w:pPr>
                              <w:pStyle w:val="Default"/>
                              <w:rPr>
                                <w:rFonts w:ascii="DIN" w:hAnsi="DIN" w:cs="DIN"/>
                                <w:sz w:val="17"/>
                                <w:szCs w:val="17"/>
                              </w:rPr>
                            </w:pPr>
                            <w:r>
                              <w:rPr>
                                <w:rFonts w:ascii="DIN" w:hAnsi="DIN" w:cs="DIN"/>
                                <w:b/>
                                <w:bCs/>
                                <w:color w:val="FFFFFF"/>
                                <w:sz w:val="18"/>
                                <w:szCs w:val="18"/>
                              </w:rPr>
                              <w:t xml:space="preserve">2.5.2 Starboard hand Marks </w:t>
                            </w:r>
                            <w:r>
                              <w:rPr>
                                <w:rFonts w:ascii="DIN" w:hAnsi="DIN" w:cs="DIN"/>
                                <w:sz w:val="17"/>
                                <w:szCs w:val="17"/>
                              </w:rPr>
                              <w:t xml:space="preserve">Red Conical, pillar or spar Single red cone, point upward </w:t>
                            </w:r>
                          </w:p>
                        </w:tc>
                      </w:tr>
                      <w:tr w:rsidR="00000000" w14:paraId="1DB79DE8" w14:textId="77777777">
                        <w:tblPrEx>
                          <w:tblCellMar>
                            <w:top w:w="0" w:type="dxa"/>
                            <w:bottom w:w="0" w:type="dxa"/>
                          </w:tblCellMar>
                        </w:tblPrEx>
                        <w:trPr>
                          <w:trHeight w:val="161"/>
                        </w:trPr>
                        <w:tc>
                          <w:tcPr>
                            <w:tcW w:w="1947" w:type="dxa"/>
                            <w:gridSpan w:val="3"/>
                            <w:tcBorders>
                              <w:top w:val="single" w:sz="2" w:space="0" w:color="EC1B22"/>
                              <w:left w:val="single" w:sz="2" w:space="0" w:color="EC1B22"/>
                              <w:bottom w:val="single" w:sz="2" w:space="0" w:color="EC1B22"/>
                            </w:tcBorders>
                            <w:vAlign w:val="center"/>
                          </w:tcPr>
                          <w:p w14:paraId="2C114D7C" w14:textId="77777777" w:rsidR="00000000" w:rsidRDefault="00A450E1">
                            <w:pPr>
                              <w:pStyle w:val="Default"/>
                              <w:rPr>
                                <w:rFonts w:ascii="DIN" w:hAnsi="DIN" w:cs="DIN"/>
                                <w:sz w:val="17"/>
                                <w:szCs w:val="17"/>
                              </w:rPr>
                            </w:pPr>
                            <w:r>
                              <w:rPr>
                                <w:rFonts w:ascii="DIN" w:hAnsi="DIN" w:cs="DIN"/>
                                <w:b/>
                                <w:bCs/>
                                <w:sz w:val="17"/>
                                <w:szCs w:val="17"/>
                              </w:rPr>
                              <w:t xml:space="preserve">Light (when fitted) </w:t>
                            </w:r>
                          </w:p>
                        </w:tc>
                        <w:tc>
                          <w:tcPr>
                            <w:tcW w:w="3747" w:type="dxa"/>
                            <w:gridSpan w:val="8"/>
                            <w:tcBorders>
                              <w:top w:val="single" w:sz="2" w:space="0" w:color="EC1B22"/>
                              <w:bottom w:val="single" w:sz="2" w:space="0" w:color="EC1B22"/>
                            </w:tcBorders>
                          </w:tcPr>
                          <w:p w14:paraId="2ED65169" w14:textId="77777777" w:rsidR="00000000" w:rsidRDefault="00A450E1">
                            <w:pPr>
                              <w:pStyle w:val="Default"/>
                              <w:rPr>
                                <w:rFonts w:cs="Times New Roman"/>
                                <w:color w:val="auto"/>
                              </w:rPr>
                            </w:pPr>
                          </w:p>
                        </w:tc>
                        <w:tc>
                          <w:tcPr>
                            <w:tcW w:w="3392" w:type="dxa"/>
                            <w:gridSpan w:val="2"/>
                            <w:tcBorders>
                              <w:top w:val="single" w:sz="2" w:space="0" w:color="EC1B22"/>
                              <w:bottom w:val="single" w:sz="2" w:space="0" w:color="EC1B22"/>
                              <w:right w:val="single" w:sz="2" w:space="0" w:color="EC1B22"/>
                            </w:tcBorders>
                          </w:tcPr>
                          <w:p w14:paraId="6EFDE7EF" w14:textId="77777777" w:rsidR="00000000" w:rsidRDefault="00A450E1">
                            <w:pPr>
                              <w:pStyle w:val="Default"/>
                              <w:rPr>
                                <w:rFonts w:cs="Times New Roman"/>
                                <w:color w:val="auto"/>
                              </w:rPr>
                            </w:pPr>
                          </w:p>
                        </w:tc>
                      </w:tr>
                      <w:tr w:rsidR="00000000" w14:paraId="1715BF48" w14:textId="77777777">
                        <w:tblPrEx>
                          <w:tblCellMar>
                            <w:top w:w="0" w:type="dxa"/>
                            <w:bottom w:w="0" w:type="dxa"/>
                          </w:tblCellMar>
                        </w:tblPrEx>
                        <w:trPr>
                          <w:trHeight w:val="425"/>
                        </w:trPr>
                        <w:tc>
                          <w:tcPr>
                            <w:tcW w:w="1947" w:type="dxa"/>
                            <w:gridSpan w:val="3"/>
                            <w:tcBorders>
                              <w:top w:val="single" w:sz="2" w:space="0" w:color="EC1B22"/>
                              <w:left w:val="single" w:sz="2" w:space="0" w:color="EC1B22"/>
                              <w:bottom w:val="single" w:sz="2" w:space="0" w:color="EC1B22"/>
                              <w:right w:val="single" w:sz="2" w:space="0" w:color="EC1B22"/>
                            </w:tcBorders>
                          </w:tcPr>
                          <w:p w14:paraId="28319E48" w14:textId="77777777" w:rsidR="00000000" w:rsidRDefault="00A450E1">
                            <w:pPr>
                              <w:pStyle w:val="Default"/>
                              <w:rPr>
                                <w:rFonts w:ascii="DIN" w:hAnsi="DIN" w:cs="DIN"/>
                                <w:sz w:val="17"/>
                                <w:szCs w:val="17"/>
                              </w:rPr>
                            </w:pPr>
                            <w:r>
                              <w:rPr>
                                <w:rFonts w:ascii="DIN" w:hAnsi="DIN" w:cs="DIN"/>
                                <w:sz w:val="17"/>
                                <w:szCs w:val="17"/>
                              </w:rPr>
                              <w:t xml:space="preserve">Colour Rhythm </w:t>
                            </w:r>
                          </w:p>
                        </w:tc>
                        <w:tc>
                          <w:tcPr>
                            <w:tcW w:w="3747" w:type="dxa"/>
                            <w:gridSpan w:val="8"/>
                            <w:tcBorders>
                              <w:top w:val="single" w:sz="2" w:space="0" w:color="EC1B22"/>
                              <w:left w:val="single" w:sz="2" w:space="0" w:color="EC1B22"/>
                              <w:bottom w:val="single" w:sz="2" w:space="0" w:color="EC1B22"/>
                              <w:right w:val="single" w:sz="2" w:space="0" w:color="EC1B22"/>
                            </w:tcBorders>
                          </w:tcPr>
                          <w:p w14:paraId="1291F132" w14:textId="77777777" w:rsidR="00000000" w:rsidRDefault="00A450E1">
                            <w:pPr>
                              <w:pStyle w:val="Default"/>
                              <w:rPr>
                                <w:rFonts w:ascii="DIN" w:hAnsi="DIN" w:cs="DIN"/>
                                <w:sz w:val="17"/>
                                <w:szCs w:val="17"/>
                              </w:rPr>
                            </w:pPr>
                            <w:r>
                              <w:rPr>
                                <w:rFonts w:ascii="DIN" w:hAnsi="DIN" w:cs="DIN"/>
                                <w:sz w:val="17"/>
                                <w:szCs w:val="17"/>
                              </w:rPr>
                              <w:t xml:space="preserve">Green Any, other than that described in section 2.5.3. </w:t>
                            </w:r>
                          </w:p>
                        </w:tc>
                        <w:tc>
                          <w:tcPr>
                            <w:tcW w:w="3392" w:type="dxa"/>
                            <w:gridSpan w:val="2"/>
                            <w:tcBorders>
                              <w:top w:val="single" w:sz="2" w:space="0" w:color="EC1B22"/>
                              <w:left w:val="single" w:sz="2" w:space="0" w:color="EC1B22"/>
                              <w:bottom w:val="single" w:sz="2" w:space="0" w:color="EC1B22"/>
                              <w:right w:val="single" w:sz="2" w:space="0" w:color="EC1B22"/>
                            </w:tcBorders>
                          </w:tcPr>
                          <w:p w14:paraId="03DED81F" w14:textId="77777777" w:rsidR="00000000" w:rsidRDefault="00A450E1">
                            <w:pPr>
                              <w:pStyle w:val="Default"/>
                              <w:rPr>
                                <w:rFonts w:ascii="DIN" w:hAnsi="DIN" w:cs="DIN"/>
                                <w:sz w:val="17"/>
                                <w:szCs w:val="17"/>
                              </w:rPr>
                            </w:pPr>
                            <w:r>
                              <w:rPr>
                                <w:rFonts w:ascii="DIN" w:hAnsi="DIN" w:cs="DIN"/>
                                <w:sz w:val="17"/>
                                <w:szCs w:val="17"/>
                              </w:rPr>
                              <w:t xml:space="preserve">Red Any, other than that described In section 2.5.3. </w:t>
                            </w:r>
                          </w:p>
                        </w:tc>
                      </w:tr>
                    </w:tbl>
                  </w:txbxContent>
                </v:textbox>
                <w10:wrap type="through" anchorx="page" anchory="page"/>
              </v:shape>
            </w:pict>
          </mc:Fallback>
        </mc:AlternateContent>
      </w:r>
    </w:p>
    <w:p w14:paraId="22B995E3" w14:textId="77777777" w:rsidR="00541A14" w:rsidRDefault="00A450E1">
      <w:pPr>
        <w:pStyle w:val="CM206"/>
        <w:spacing w:after="3250" w:line="251" w:lineRule="atLeast"/>
        <w:jc w:val="both"/>
        <w:rPr>
          <w:rFonts w:ascii="DIN" w:hAnsi="DIN" w:cs="DIN"/>
          <w:sz w:val="18"/>
          <w:szCs w:val="18"/>
        </w:rPr>
      </w:pPr>
      <w:r>
        <w:rPr>
          <w:rFonts w:ascii="DIN" w:hAnsi="DIN" w:cs="DIN"/>
          <w:b/>
          <w:bCs/>
          <w:sz w:val="18"/>
          <w:szCs w:val="18"/>
        </w:rPr>
        <w:t xml:space="preserve">2.5.3 </w:t>
      </w:r>
      <w:r>
        <w:rPr>
          <w:rFonts w:ascii="DIN" w:hAnsi="DIN" w:cs="DIN"/>
          <w:sz w:val="18"/>
          <w:szCs w:val="18"/>
        </w:rPr>
        <w:t xml:space="preserve">At the point where a channel divides, when proceeding in the “conventional direction of buoyage,” a preferred channel may be indicated by a modified Port or Starboard lateral mark as follows: </w:t>
      </w:r>
    </w:p>
    <w:p w14:paraId="44B7F8C9"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700224" behindDoc="0" locked="0" layoutInCell="0" allowOverlap="1" wp14:anchorId="1C69DFD1" wp14:editId="24BC04E2">
                <wp:simplePos x="0" y="0"/>
                <wp:positionH relativeFrom="page">
                  <wp:posOffset>850265</wp:posOffset>
                </wp:positionH>
                <wp:positionV relativeFrom="page">
                  <wp:posOffset>7849235</wp:posOffset>
                </wp:positionV>
                <wp:extent cx="6277610" cy="1539240"/>
                <wp:effectExtent l="0" t="0" r="0" b="0"/>
                <wp:wrapThrough wrapText="bothSides">
                  <wp:wrapPolygon edited="0">
                    <wp:start x="0" y="0"/>
                    <wp:lineTo x="21600" y="0"/>
                    <wp:lineTo x="21600" y="21600"/>
                    <wp:lineTo x="0" y="21600"/>
                    <wp:lineTo x="0" y="0"/>
                  </wp:wrapPolygon>
                </wp:wrapThrough>
                <wp:docPr id="515"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7610" cy="153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947"/>
                              <w:gridCol w:w="3747"/>
                              <w:gridCol w:w="3392"/>
                            </w:tblGrid>
                            <w:tr w:rsidR="00541A14" w14:paraId="3A3C1AC7" w14:textId="77777777">
                              <w:trPr>
                                <w:trHeight w:val="627"/>
                              </w:trPr>
                              <w:tc>
                                <w:tcPr>
                                  <w:tcW w:w="1947" w:type="dxa"/>
                                  <w:tcBorders>
                                    <w:top w:val="single" w:sz="2" w:space="0" w:color="EC1B22"/>
                                    <w:left w:val="single" w:sz="2" w:space="0" w:color="EC1B22"/>
                                    <w:bottom w:val="single" w:sz="2" w:space="0" w:color="EC1B22"/>
                                    <w:right w:val="single" w:sz="2" w:space="0" w:color="EC1B22"/>
                                  </w:tcBorders>
                                  <w:vAlign w:val="bottom"/>
                                </w:tcPr>
                                <w:p w14:paraId="20FD99BF" w14:textId="77777777" w:rsidR="00541A14" w:rsidRDefault="00A450E1">
                                  <w:pPr>
                                    <w:pStyle w:val="Default"/>
                                    <w:rPr>
                                      <w:rFonts w:ascii="DIN" w:hAnsi="DIN" w:cs="DIN"/>
                                      <w:sz w:val="17"/>
                                      <w:szCs w:val="17"/>
                                    </w:rPr>
                                  </w:pPr>
                                  <w:r>
                                    <w:rPr>
                                      <w:rFonts w:ascii="DIN" w:hAnsi="DIN" w:cs="DIN"/>
                                      <w:b/>
                                      <w:bCs/>
                                      <w:sz w:val="17"/>
                                      <w:szCs w:val="17"/>
                                    </w:rPr>
                                    <w:t xml:space="preserve">Colour Shape of buoy Topmark (if any) </w:t>
                                  </w:r>
                                </w:p>
                              </w:tc>
                              <w:tc>
                                <w:tcPr>
                                  <w:tcW w:w="3747" w:type="dxa"/>
                                  <w:tcBorders>
                                    <w:top w:val="single" w:sz="2" w:space="0" w:color="EC1B22"/>
                                    <w:left w:val="single" w:sz="2" w:space="0" w:color="EC1B22"/>
                                    <w:bottom w:val="single" w:sz="2" w:space="0" w:color="EC1B22"/>
                                    <w:right w:val="single" w:sz="2" w:space="0" w:color="EC1B22"/>
                                  </w:tcBorders>
                                  <w:vAlign w:val="center"/>
                                </w:tcPr>
                                <w:p w14:paraId="3BFFF80C" w14:textId="77777777" w:rsidR="00541A14" w:rsidRDefault="00A450E1">
                                  <w:pPr>
                                    <w:pStyle w:val="Default"/>
                                    <w:rPr>
                                      <w:rFonts w:ascii="DIN" w:hAnsi="DIN" w:cs="DIN"/>
                                      <w:sz w:val="17"/>
                                      <w:szCs w:val="17"/>
                                    </w:rPr>
                                  </w:pPr>
                                  <w:r>
                                    <w:rPr>
                                      <w:rFonts w:ascii="DIN" w:hAnsi="DIN" w:cs="DIN"/>
                                      <w:b/>
                                      <w:bCs/>
                                      <w:color w:val="FFFFFF"/>
                                      <w:sz w:val="18"/>
                                      <w:szCs w:val="18"/>
                                    </w:rPr>
                                    <w:t xml:space="preserve">2.5.3.1 Preferred channel to Starboard </w:t>
                                  </w:r>
                                  <w:r>
                                    <w:rPr>
                                      <w:rFonts w:ascii="DIN" w:hAnsi="DIN" w:cs="DIN"/>
                                      <w:sz w:val="17"/>
                                      <w:szCs w:val="17"/>
                                    </w:rPr>
                                    <w:t xml:space="preserve">Green with one broad red horizontal band Cylindrical (can), pillar or spar Single green cylinder (can) </w:t>
                                  </w:r>
                                </w:p>
                              </w:tc>
                              <w:tc>
                                <w:tcPr>
                                  <w:tcW w:w="3392" w:type="dxa"/>
                                  <w:tcBorders>
                                    <w:top w:val="single" w:sz="2" w:space="0" w:color="EC1B22"/>
                                    <w:left w:val="single" w:sz="2" w:space="0" w:color="EC1B22"/>
                                    <w:bottom w:val="single" w:sz="2" w:space="0" w:color="EC1B22"/>
                                    <w:right w:val="single" w:sz="2" w:space="0" w:color="EC1B22"/>
                                  </w:tcBorders>
                                  <w:vAlign w:val="center"/>
                                </w:tcPr>
                                <w:p w14:paraId="65DBBF05" w14:textId="77777777" w:rsidR="00541A14" w:rsidRDefault="00A450E1">
                                  <w:pPr>
                                    <w:pStyle w:val="Default"/>
                                    <w:rPr>
                                      <w:rFonts w:ascii="DIN" w:hAnsi="DIN" w:cs="DIN"/>
                                      <w:sz w:val="17"/>
                                      <w:szCs w:val="17"/>
                                    </w:rPr>
                                  </w:pPr>
                                  <w:r>
                                    <w:rPr>
                                      <w:rFonts w:ascii="DIN" w:hAnsi="DIN" w:cs="DIN"/>
                                      <w:b/>
                                      <w:bCs/>
                                      <w:color w:val="FFFFFF"/>
                                      <w:sz w:val="18"/>
                                      <w:szCs w:val="18"/>
                                    </w:rPr>
                                    <w:t xml:space="preserve">2.5.3.2 Preferred channel to Port </w:t>
                                  </w:r>
                                  <w:r>
                                    <w:rPr>
                                      <w:rFonts w:ascii="DIN" w:hAnsi="DIN" w:cs="DIN"/>
                                      <w:sz w:val="17"/>
                                      <w:szCs w:val="17"/>
                                    </w:rPr>
                                    <w:t xml:space="preserve">Red with one broad green horizontal band Conical, pillar or spar Single red cone, point upward </w:t>
                                  </w:r>
                                </w:p>
                              </w:tc>
                            </w:tr>
                            <w:tr w:rsidR="00541A14" w14:paraId="5F875E30" w14:textId="77777777">
                              <w:trPr>
                                <w:trHeight w:val="162"/>
                              </w:trPr>
                              <w:tc>
                                <w:tcPr>
                                  <w:tcW w:w="1947" w:type="dxa"/>
                                  <w:tcBorders>
                                    <w:top w:val="single" w:sz="2" w:space="0" w:color="EC1B22"/>
                                    <w:left w:val="single" w:sz="2" w:space="0" w:color="EC1B22"/>
                                    <w:bottom w:val="single" w:sz="2" w:space="0" w:color="EC1B22"/>
                                  </w:tcBorders>
                                  <w:vAlign w:val="center"/>
                                </w:tcPr>
                                <w:p w14:paraId="2EDC16B7" w14:textId="77777777" w:rsidR="00541A14" w:rsidRDefault="00A450E1">
                                  <w:pPr>
                                    <w:pStyle w:val="Default"/>
                                    <w:rPr>
                                      <w:rFonts w:ascii="DIN" w:hAnsi="DIN" w:cs="DIN"/>
                                      <w:sz w:val="17"/>
                                      <w:szCs w:val="17"/>
                                    </w:rPr>
                                  </w:pPr>
                                  <w:r>
                                    <w:rPr>
                                      <w:rFonts w:ascii="DIN" w:hAnsi="DIN" w:cs="DIN"/>
                                      <w:b/>
                                      <w:bCs/>
                                      <w:sz w:val="17"/>
                                      <w:szCs w:val="17"/>
                                    </w:rPr>
                                    <w:t xml:space="preserve">Light (when fitted) </w:t>
                                  </w:r>
                                </w:p>
                              </w:tc>
                              <w:tc>
                                <w:tcPr>
                                  <w:tcW w:w="3747" w:type="dxa"/>
                                  <w:tcBorders>
                                    <w:top w:val="single" w:sz="2" w:space="0" w:color="EC1B22"/>
                                    <w:bottom w:val="single" w:sz="2" w:space="0" w:color="EC1B22"/>
                                  </w:tcBorders>
                                </w:tcPr>
                                <w:p w14:paraId="4C603CD4" w14:textId="77777777" w:rsidR="00541A14" w:rsidRDefault="00541A14">
                                  <w:pPr>
                                    <w:pStyle w:val="Default"/>
                                    <w:rPr>
                                      <w:rFonts w:cs="Times New Roman"/>
                                      <w:color w:val="auto"/>
                                    </w:rPr>
                                  </w:pPr>
                                </w:p>
                              </w:tc>
                              <w:tc>
                                <w:tcPr>
                                  <w:tcW w:w="3392" w:type="dxa"/>
                                  <w:tcBorders>
                                    <w:top w:val="single" w:sz="2" w:space="0" w:color="EC1B22"/>
                                    <w:bottom w:val="single" w:sz="2" w:space="0" w:color="EC1B22"/>
                                    <w:right w:val="single" w:sz="2" w:space="0" w:color="EC1B22"/>
                                  </w:tcBorders>
                                </w:tcPr>
                                <w:p w14:paraId="230A5C65" w14:textId="77777777" w:rsidR="00541A14" w:rsidRDefault="00541A14">
                                  <w:pPr>
                                    <w:pStyle w:val="Default"/>
                                    <w:rPr>
                                      <w:rFonts w:cs="Times New Roman"/>
                                      <w:color w:val="auto"/>
                                    </w:rPr>
                                  </w:pPr>
                                </w:p>
                              </w:tc>
                            </w:tr>
                            <w:tr w:rsidR="00541A14" w14:paraId="1B3B44D0" w14:textId="77777777">
                              <w:trPr>
                                <w:trHeight w:val="307"/>
                              </w:trPr>
                              <w:tc>
                                <w:tcPr>
                                  <w:tcW w:w="1947" w:type="dxa"/>
                                  <w:tcBorders>
                                    <w:top w:val="single" w:sz="2" w:space="0" w:color="EC1B22"/>
                                    <w:left w:val="single" w:sz="2" w:space="0" w:color="EC1B22"/>
                                    <w:bottom w:val="single" w:sz="2" w:space="0" w:color="EC1B22"/>
                                    <w:right w:val="single" w:sz="2" w:space="0" w:color="EC1B22"/>
                                  </w:tcBorders>
                                </w:tcPr>
                                <w:p w14:paraId="67354CEC" w14:textId="77777777" w:rsidR="00541A14" w:rsidRDefault="00A450E1">
                                  <w:pPr>
                                    <w:pStyle w:val="Default"/>
                                    <w:rPr>
                                      <w:rFonts w:ascii="DIN" w:hAnsi="DIN" w:cs="DIN"/>
                                      <w:sz w:val="17"/>
                                      <w:szCs w:val="17"/>
                                    </w:rPr>
                                  </w:pPr>
                                  <w:r>
                                    <w:rPr>
                                      <w:rFonts w:ascii="DIN" w:hAnsi="DIN" w:cs="DIN"/>
                                      <w:sz w:val="17"/>
                                      <w:szCs w:val="17"/>
                                    </w:rPr>
                                    <w:t xml:space="preserve">Colour Rhythm </w:t>
                                  </w:r>
                                </w:p>
                              </w:tc>
                              <w:tc>
                                <w:tcPr>
                                  <w:tcW w:w="3747" w:type="dxa"/>
                                  <w:tcBorders>
                                    <w:top w:val="single" w:sz="2" w:space="0" w:color="EC1B22"/>
                                    <w:left w:val="single" w:sz="2" w:space="0" w:color="EC1B22"/>
                                    <w:bottom w:val="single" w:sz="2" w:space="0" w:color="EC1B22"/>
                                    <w:right w:val="single" w:sz="2" w:space="0" w:color="EC1B22"/>
                                  </w:tcBorders>
                                </w:tcPr>
                                <w:p w14:paraId="02D4F2BF" w14:textId="77777777" w:rsidR="00541A14" w:rsidRDefault="00A450E1">
                                  <w:pPr>
                                    <w:pStyle w:val="Default"/>
                                    <w:rPr>
                                      <w:rFonts w:ascii="DIN" w:hAnsi="DIN" w:cs="DIN"/>
                                      <w:sz w:val="17"/>
                                      <w:szCs w:val="17"/>
                                    </w:rPr>
                                  </w:pPr>
                                  <w:r>
                                    <w:rPr>
                                      <w:rFonts w:ascii="DIN" w:hAnsi="DIN" w:cs="DIN"/>
                                      <w:sz w:val="17"/>
                                      <w:szCs w:val="17"/>
                                    </w:rPr>
                                    <w:t xml:space="preserve">Green Composite group flashing (2 + 1) </w:t>
                                  </w:r>
                                </w:p>
                              </w:tc>
                              <w:tc>
                                <w:tcPr>
                                  <w:tcW w:w="3392" w:type="dxa"/>
                                  <w:tcBorders>
                                    <w:top w:val="single" w:sz="2" w:space="0" w:color="EC1B22"/>
                                    <w:left w:val="single" w:sz="2" w:space="0" w:color="EC1B22"/>
                                    <w:bottom w:val="single" w:sz="2" w:space="0" w:color="EC1B22"/>
                                    <w:right w:val="single" w:sz="2" w:space="0" w:color="EC1B22"/>
                                  </w:tcBorders>
                                </w:tcPr>
                                <w:p w14:paraId="3E714A46" w14:textId="77777777" w:rsidR="00541A14" w:rsidRDefault="00A450E1">
                                  <w:pPr>
                                    <w:pStyle w:val="Default"/>
                                    <w:rPr>
                                      <w:rFonts w:ascii="DIN" w:hAnsi="DIN" w:cs="DIN"/>
                                      <w:sz w:val="17"/>
                                      <w:szCs w:val="17"/>
                                    </w:rPr>
                                  </w:pPr>
                                  <w:r>
                                    <w:rPr>
                                      <w:rFonts w:ascii="DIN" w:hAnsi="DIN" w:cs="DIN"/>
                                      <w:sz w:val="17"/>
                                      <w:szCs w:val="17"/>
                                    </w:rPr>
                                    <w:t xml:space="preserve">Red Composite group flashing (2 + 1) </w:t>
                                  </w:r>
                                </w:p>
                              </w:tc>
                            </w:tr>
                          </w:tbl>
                          <w:p w14:paraId="5BF9011B"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67" type="#_x0000_t202" style="position:absolute;margin-left:66.95pt;margin-top:618.05pt;width:494.3pt;height:121.2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33"/>
                        <w:gridCol w:w="492"/>
                        <w:gridCol w:w="20"/>
                        <w:gridCol w:w="2297"/>
                        <w:gridCol w:w="5"/>
                        <w:gridCol w:w="5"/>
                        <w:gridCol w:w="12"/>
                        <w:gridCol w:w="47"/>
                        <w:gridCol w:w="1355"/>
                        <w:gridCol w:w="10"/>
                        <w:gridCol w:w="3372"/>
                        <w:gridCol w:w="23"/>
                      </w:tblGrid>
                      <w:tr w:rsidR="00000000" w14:paraId="3A3C1AC7" w14:textId="77777777">
                        <w:tblPrEx>
                          <w:tblCellMar>
                            <w:top w:w="0" w:type="dxa"/>
                            <w:bottom w:w="0" w:type="dxa"/>
                          </w:tblCellMar>
                        </w:tblPrEx>
                        <w:trPr>
                          <w:trHeight w:val="627"/>
                        </w:trPr>
                        <w:tc>
                          <w:tcPr>
                            <w:tcW w:w="1947" w:type="dxa"/>
                            <w:gridSpan w:val="3"/>
                            <w:tcBorders>
                              <w:top w:val="single" w:sz="2" w:space="0" w:color="EC1B22"/>
                              <w:left w:val="single" w:sz="2" w:space="0" w:color="EC1B22"/>
                              <w:bottom w:val="single" w:sz="2" w:space="0" w:color="EC1B22"/>
                              <w:right w:val="single" w:sz="2" w:space="0" w:color="EC1B22"/>
                            </w:tcBorders>
                            <w:vAlign w:val="bottom"/>
                          </w:tcPr>
                          <w:p w14:paraId="20FD99BF" w14:textId="77777777" w:rsidR="00000000" w:rsidRDefault="00A450E1">
                            <w:pPr>
                              <w:pStyle w:val="Default"/>
                              <w:rPr>
                                <w:rFonts w:ascii="DIN" w:hAnsi="DIN" w:cs="DIN"/>
                                <w:sz w:val="17"/>
                                <w:szCs w:val="17"/>
                              </w:rPr>
                            </w:pPr>
                            <w:r>
                              <w:rPr>
                                <w:rFonts w:ascii="DIN" w:hAnsi="DIN" w:cs="DIN"/>
                                <w:b/>
                                <w:bCs/>
                                <w:sz w:val="17"/>
                                <w:szCs w:val="17"/>
                              </w:rPr>
                              <w:t xml:space="preserve">Colour Shape of buoy Topmark (if any) </w:t>
                            </w:r>
                          </w:p>
                        </w:tc>
                        <w:tc>
                          <w:tcPr>
                            <w:tcW w:w="3747" w:type="dxa"/>
                            <w:gridSpan w:val="8"/>
                            <w:tcBorders>
                              <w:top w:val="single" w:sz="2" w:space="0" w:color="EC1B22"/>
                              <w:left w:val="single" w:sz="2" w:space="0" w:color="EC1B22"/>
                              <w:bottom w:val="single" w:sz="2" w:space="0" w:color="EC1B22"/>
                              <w:right w:val="single" w:sz="2" w:space="0" w:color="EC1B22"/>
                            </w:tcBorders>
                            <w:vAlign w:val="center"/>
                          </w:tcPr>
                          <w:p w14:paraId="3BFFF80C" w14:textId="77777777" w:rsidR="00000000" w:rsidRDefault="00A450E1">
                            <w:pPr>
                              <w:pStyle w:val="Default"/>
                              <w:rPr>
                                <w:rFonts w:ascii="DIN" w:hAnsi="DIN" w:cs="DIN"/>
                                <w:sz w:val="17"/>
                                <w:szCs w:val="17"/>
                              </w:rPr>
                            </w:pPr>
                            <w:r>
                              <w:rPr>
                                <w:rFonts w:ascii="DIN" w:hAnsi="DIN" w:cs="DIN"/>
                                <w:b/>
                                <w:bCs/>
                                <w:color w:val="FFFFFF"/>
                                <w:sz w:val="18"/>
                                <w:szCs w:val="18"/>
                              </w:rPr>
                              <w:t xml:space="preserve">2.5.3.1 Preferred channel to Starboard </w:t>
                            </w:r>
                            <w:r>
                              <w:rPr>
                                <w:rFonts w:ascii="DIN" w:hAnsi="DIN" w:cs="DIN"/>
                                <w:sz w:val="17"/>
                                <w:szCs w:val="17"/>
                              </w:rPr>
                              <w:t xml:space="preserve">Green with one broad red horizontal band Cylindrical (can), pillar or spar Single </w:t>
                            </w:r>
                            <w:r>
                              <w:rPr>
                                <w:rFonts w:ascii="DIN" w:hAnsi="DIN" w:cs="DIN"/>
                                <w:sz w:val="17"/>
                                <w:szCs w:val="17"/>
                              </w:rPr>
                              <w:t xml:space="preserve">green cylinder (can) </w:t>
                            </w:r>
                          </w:p>
                        </w:tc>
                        <w:tc>
                          <w:tcPr>
                            <w:tcW w:w="3392" w:type="dxa"/>
                            <w:gridSpan w:val="2"/>
                            <w:tcBorders>
                              <w:top w:val="single" w:sz="2" w:space="0" w:color="EC1B22"/>
                              <w:left w:val="single" w:sz="2" w:space="0" w:color="EC1B22"/>
                              <w:bottom w:val="single" w:sz="2" w:space="0" w:color="EC1B22"/>
                              <w:right w:val="single" w:sz="2" w:space="0" w:color="EC1B22"/>
                            </w:tcBorders>
                            <w:vAlign w:val="center"/>
                          </w:tcPr>
                          <w:p w14:paraId="65DBBF05" w14:textId="77777777" w:rsidR="00000000" w:rsidRDefault="00A450E1">
                            <w:pPr>
                              <w:pStyle w:val="Default"/>
                              <w:rPr>
                                <w:rFonts w:ascii="DIN" w:hAnsi="DIN" w:cs="DIN"/>
                                <w:sz w:val="17"/>
                                <w:szCs w:val="17"/>
                              </w:rPr>
                            </w:pPr>
                            <w:r>
                              <w:rPr>
                                <w:rFonts w:ascii="DIN" w:hAnsi="DIN" w:cs="DIN"/>
                                <w:b/>
                                <w:bCs/>
                                <w:color w:val="FFFFFF"/>
                                <w:sz w:val="18"/>
                                <w:szCs w:val="18"/>
                              </w:rPr>
                              <w:t xml:space="preserve">2.5.3.2 Preferred channel to Port </w:t>
                            </w:r>
                            <w:r>
                              <w:rPr>
                                <w:rFonts w:ascii="DIN" w:hAnsi="DIN" w:cs="DIN"/>
                                <w:sz w:val="17"/>
                                <w:szCs w:val="17"/>
                              </w:rPr>
                              <w:t xml:space="preserve">Red with one broad green horizontal band Conical, pillar or spar Single red cone, point upward </w:t>
                            </w:r>
                          </w:p>
                        </w:tc>
                      </w:tr>
                      <w:tr w:rsidR="00000000" w14:paraId="5F875E30" w14:textId="77777777">
                        <w:tblPrEx>
                          <w:tblCellMar>
                            <w:top w:w="0" w:type="dxa"/>
                            <w:bottom w:w="0" w:type="dxa"/>
                          </w:tblCellMar>
                        </w:tblPrEx>
                        <w:trPr>
                          <w:trHeight w:val="162"/>
                        </w:trPr>
                        <w:tc>
                          <w:tcPr>
                            <w:tcW w:w="1947" w:type="dxa"/>
                            <w:gridSpan w:val="3"/>
                            <w:tcBorders>
                              <w:top w:val="single" w:sz="2" w:space="0" w:color="EC1B22"/>
                              <w:left w:val="single" w:sz="2" w:space="0" w:color="EC1B22"/>
                              <w:bottom w:val="single" w:sz="2" w:space="0" w:color="EC1B22"/>
                            </w:tcBorders>
                            <w:vAlign w:val="center"/>
                          </w:tcPr>
                          <w:p w14:paraId="2EDC16B7" w14:textId="77777777" w:rsidR="00000000" w:rsidRDefault="00A450E1">
                            <w:pPr>
                              <w:pStyle w:val="Default"/>
                              <w:rPr>
                                <w:rFonts w:ascii="DIN" w:hAnsi="DIN" w:cs="DIN"/>
                                <w:sz w:val="17"/>
                                <w:szCs w:val="17"/>
                              </w:rPr>
                            </w:pPr>
                            <w:r>
                              <w:rPr>
                                <w:rFonts w:ascii="DIN" w:hAnsi="DIN" w:cs="DIN"/>
                                <w:b/>
                                <w:bCs/>
                                <w:sz w:val="17"/>
                                <w:szCs w:val="17"/>
                              </w:rPr>
                              <w:t xml:space="preserve">Light (when fitted) </w:t>
                            </w:r>
                          </w:p>
                        </w:tc>
                        <w:tc>
                          <w:tcPr>
                            <w:tcW w:w="3747" w:type="dxa"/>
                            <w:gridSpan w:val="8"/>
                            <w:tcBorders>
                              <w:top w:val="single" w:sz="2" w:space="0" w:color="EC1B22"/>
                              <w:bottom w:val="single" w:sz="2" w:space="0" w:color="EC1B22"/>
                            </w:tcBorders>
                          </w:tcPr>
                          <w:p w14:paraId="4C603CD4" w14:textId="77777777" w:rsidR="00000000" w:rsidRDefault="00A450E1">
                            <w:pPr>
                              <w:pStyle w:val="Default"/>
                              <w:rPr>
                                <w:rFonts w:cs="Times New Roman"/>
                                <w:color w:val="auto"/>
                              </w:rPr>
                            </w:pPr>
                          </w:p>
                        </w:tc>
                        <w:tc>
                          <w:tcPr>
                            <w:tcW w:w="3392" w:type="dxa"/>
                            <w:gridSpan w:val="2"/>
                            <w:tcBorders>
                              <w:top w:val="single" w:sz="2" w:space="0" w:color="EC1B22"/>
                              <w:bottom w:val="single" w:sz="2" w:space="0" w:color="EC1B22"/>
                              <w:right w:val="single" w:sz="2" w:space="0" w:color="EC1B22"/>
                            </w:tcBorders>
                          </w:tcPr>
                          <w:p w14:paraId="230A5C65" w14:textId="77777777" w:rsidR="00000000" w:rsidRDefault="00A450E1">
                            <w:pPr>
                              <w:pStyle w:val="Default"/>
                              <w:rPr>
                                <w:rFonts w:cs="Times New Roman"/>
                                <w:color w:val="auto"/>
                              </w:rPr>
                            </w:pPr>
                          </w:p>
                        </w:tc>
                      </w:tr>
                      <w:tr w:rsidR="00000000" w14:paraId="1B3B44D0" w14:textId="77777777">
                        <w:tblPrEx>
                          <w:tblCellMar>
                            <w:top w:w="0" w:type="dxa"/>
                            <w:bottom w:w="0" w:type="dxa"/>
                          </w:tblCellMar>
                        </w:tblPrEx>
                        <w:trPr>
                          <w:trHeight w:val="307"/>
                        </w:trPr>
                        <w:tc>
                          <w:tcPr>
                            <w:tcW w:w="1947" w:type="dxa"/>
                            <w:gridSpan w:val="3"/>
                            <w:tcBorders>
                              <w:top w:val="single" w:sz="2" w:space="0" w:color="EC1B22"/>
                              <w:left w:val="single" w:sz="2" w:space="0" w:color="EC1B22"/>
                              <w:bottom w:val="single" w:sz="2" w:space="0" w:color="EC1B22"/>
                              <w:right w:val="single" w:sz="2" w:space="0" w:color="EC1B22"/>
                            </w:tcBorders>
                          </w:tcPr>
                          <w:p w14:paraId="67354CEC" w14:textId="77777777" w:rsidR="00000000" w:rsidRDefault="00A450E1">
                            <w:pPr>
                              <w:pStyle w:val="Default"/>
                              <w:rPr>
                                <w:rFonts w:ascii="DIN" w:hAnsi="DIN" w:cs="DIN"/>
                                <w:sz w:val="17"/>
                                <w:szCs w:val="17"/>
                              </w:rPr>
                            </w:pPr>
                            <w:r>
                              <w:rPr>
                                <w:rFonts w:ascii="DIN" w:hAnsi="DIN" w:cs="DIN"/>
                                <w:sz w:val="17"/>
                                <w:szCs w:val="17"/>
                              </w:rPr>
                              <w:t xml:space="preserve">Colour Rhythm </w:t>
                            </w:r>
                          </w:p>
                        </w:tc>
                        <w:tc>
                          <w:tcPr>
                            <w:tcW w:w="3747" w:type="dxa"/>
                            <w:gridSpan w:val="8"/>
                            <w:tcBorders>
                              <w:top w:val="single" w:sz="2" w:space="0" w:color="EC1B22"/>
                              <w:left w:val="single" w:sz="2" w:space="0" w:color="EC1B22"/>
                              <w:bottom w:val="single" w:sz="2" w:space="0" w:color="EC1B22"/>
                              <w:right w:val="single" w:sz="2" w:space="0" w:color="EC1B22"/>
                            </w:tcBorders>
                          </w:tcPr>
                          <w:p w14:paraId="02D4F2BF" w14:textId="77777777" w:rsidR="00000000" w:rsidRDefault="00A450E1">
                            <w:pPr>
                              <w:pStyle w:val="Default"/>
                              <w:rPr>
                                <w:rFonts w:ascii="DIN" w:hAnsi="DIN" w:cs="DIN"/>
                                <w:sz w:val="17"/>
                                <w:szCs w:val="17"/>
                              </w:rPr>
                            </w:pPr>
                            <w:r>
                              <w:rPr>
                                <w:rFonts w:ascii="DIN" w:hAnsi="DIN" w:cs="DIN"/>
                                <w:sz w:val="17"/>
                                <w:szCs w:val="17"/>
                              </w:rPr>
                              <w:t xml:space="preserve">Green Composite group flashing (2 + 1) </w:t>
                            </w:r>
                          </w:p>
                        </w:tc>
                        <w:tc>
                          <w:tcPr>
                            <w:tcW w:w="3392" w:type="dxa"/>
                            <w:gridSpan w:val="2"/>
                            <w:tcBorders>
                              <w:top w:val="single" w:sz="2" w:space="0" w:color="EC1B22"/>
                              <w:left w:val="single" w:sz="2" w:space="0" w:color="EC1B22"/>
                              <w:bottom w:val="single" w:sz="2" w:space="0" w:color="EC1B22"/>
                              <w:right w:val="single" w:sz="2" w:space="0" w:color="EC1B22"/>
                            </w:tcBorders>
                          </w:tcPr>
                          <w:p w14:paraId="3E714A46" w14:textId="77777777" w:rsidR="00000000" w:rsidRDefault="00A450E1">
                            <w:pPr>
                              <w:pStyle w:val="Default"/>
                              <w:rPr>
                                <w:rFonts w:ascii="DIN" w:hAnsi="DIN" w:cs="DIN"/>
                                <w:sz w:val="17"/>
                                <w:szCs w:val="17"/>
                              </w:rPr>
                            </w:pPr>
                            <w:r>
                              <w:rPr>
                                <w:rFonts w:ascii="DIN" w:hAnsi="DIN" w:cs="DIN"/>
                                <w:sz w:val="17"/>
                                <w:szCs w:val="17"/>
                              </w:rPr>
                              <w:t xml:space="preserve">Red Composite group flashing (2 + 1) </w:t>
                            </w:r>
                          </w:p>
                        </w:tc>
                      </w:tr>
                    </w:tbl>
                  </w:txbxContent>
                </v:textbox>
                <w10:wrap type="through" anchorx="page" anchory="page"/>
              </v:shape>
            </w:pict>
          </mc:Fallback>
        </mc:AlternateContent>
      </w:r>
    </w:p>
    <w:p w14:paraId="60D01042" w14:textId="77777777" w:rsidR="00541A14" w:rsidRDefault="00DD420F">
      <w:pPr>
        <w:pStyle w:val="Default"/>
        <w:framePr w:w="1318" w:wrap="auto" w:vAnchor="page" w:hAnchor="page" w:x="5572" w:y="15183"/>
        <w:spacing w:after="340"/>
        <w:rPr>
          <w:rFonts w:cs="Times New Roman"/>
          <w:color w:val="auto"/>
        </w:rPr>
      </w:pPr>
      <w:r>
        <w:rPr>
          <w:rFonts w:cs="Times New Roman"/>
          <w:noProof/>
          <w:color w:val="auto"/>
        </w:rPr>
        <w:drawing>
          <wp:inline distT="0" distB="0" distL="0" distR="0" wp14:anchorId="5C140F2B" wp14:editId="0896BFE3">
            <wp:extent cx="11430" cy="1143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290C9AA1" w14:textId="77777777" w:rsidR="00541A14" w:rsidRDefault="00DD420F">
      <w:pPr>
        <w:pStyle w:val="CM195"/>
        <w:spacing w:after="353"/>
        <w:rPr>
          <w:sz w:val="15"/>
          <w:szCs w:val="15"/>
        </w:rPr>
      </w:pPr>
      <w:r>
        <w:rPr>
          <w:noProof/>
        </w:rPr>
        <w:drawing>
          <wp:inline distT="0" distB="0" distL="0" distR="0" wp14:anchorId="1A4C2416" wp14:editId="76111171">
            <wp:extent cx="306705" cy="227330"/>
            <wp:effectExtent l="0" t="0" r="0" b="127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306705" cy="227330"/>
                    </a:xfrm>
                    <a:prstGeom prst="rect">
                      <a:avLst/>
                    </a:prstGeom>
                    <a:noFill/>
                    <a:ln>
                      <a:noFill/>
                    </a:ln>
                  </pic:spPr>
                </pic:pic>
              </a:graphicData>
            </a:graphic>
          </wp:inline>
        </w:drawing>
      </w:r>
      <w:r w:rsidR="00A450E1">
        <w:rPr>
          <w:sz w:val="15"/>
          <w:szCs w:val="15"/>
        </w:rPr>
        <w:t xml:space="preserve">International Association </w:t>
      </w:r>
    </w:p>
    <w:p w14:paraId="6394E67B" w14:textId="77777777" w:rsidR="00541A14" w:rsidRDefault="00A450E1">
      <w:pPr>
        <w:pStyle w:val="CM162"/>
        <w:spacing w:after="552"/>
        <w:ind w:left="1567"/>
        <w:rPr>
          <w:sz w:val="15"/>
          <w:szCs w:val="15"/>
        </w:rPr>
      </w:pPr>
      <w:r>
        <w:rPr>
          <w:sz w:val="15"/>
          <w:szCs w:val="15"/>
        </w:rPr>
        <w:t xml:space="preserve">of Marine Aids to Navigation and Lighthouse Authorities </w:t>
      </w:r>
    </w:p>
    <w:p w14:paraId="625AEE46" w14:textId="77777777" w:rsidR="00541A14" w:rsidRDefault="00DD420F">
      <w:pPr>
        <w:pStyle w:val="Default"/>
        <w:framePr w:w="12686" w:wrap="auto" w:vAnchor="page" w:hAnchor="page" w:x="24" w:y="16106"/>
        <w:rPr>
          <w:rFonts w:cs="Times New Roman"/>
          <w:color w:val="auto"/>
          <w:sz w:val="15"/>
          <w:szCs w:val="15"/>
        </w:rPr>
      </w:pPr>
      <w:r>
        <w:rPr>
          <w:rFonts w:cs="Times New Roman"/>
          <w:noProof/>
          <w:color w:val="auto"/>
          <w:sz w:val="15"/>
          <w:szCs w:val="15"/>
        </w:rPr>
        <w:drawing>
          <wp:inline distT="0" distB="0" distL="0" distR="0" wp14:anchorId="07D717C3" wp14:editId="61B7431E">
            <wp:extent cx="7542530" cy="420370"/>
            <wp:effectExtent l="0" t="0" r="1270" b="1143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5573DB5B" w14:textId="77777777" w:rsidR="00541A14" w:rsidRDefault="00DD420F">
      <w:pPr>
        <w:pStyle w:val="Default"/>
        <w:pageBreakBefore/>
        <w:framePr w:w="12709" w:wrap="auto" w:vAnchor="page" w:hAnchor="page" w:x="101" w:y="15107"/>
        <w:rPr>
          <w:rFonts w:cs="Times New Roman"/>
          <w:color w:val="auto"/>
          <w:sz w:val="15"/>
          <w:szCs w:val="15"/>
        </w:rPr>
      </w:pPr>
      <w:r>
        <w:rPr>
          <w:rFonts w:cs="Times New Roman"/>
          <w:noProof/>
          <w:color w:val="auto"/>
          <w:sz w:val="15"/>
          <w:szCs w:val="15"/>
        </w:rPr>
        <w:drawing>
          <wp:inline distT="0" distB="0" distL="0" distR="0" wp14:anchorId="4E96C757" wp14:editId="096A2E99">
            <wp:extent cx="7553960" cy="39179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58B3096C" w14:textId="77777777" w:rsidR="00541A14" w:rsidRDefault="00DD420F">
      <w:pPr>
        <w:pStyle w:val="Default"/>
        <w:pageBreakBefore/>
        <w:framePr w:w="10739" w:wrap="auto" w:vAnchor="page" w:hAnchor="page" w:x="1434" w:y="16318"/>
        <w:rPr>
          <w:rFonts w:cs="Times New Roman"/>
          <w:color w:val="auto"/>
          <w:sz w:val="15"/>
          <w:szCs w:val="15"/>
        </w:rPr>
      </w:pPr>
      <w:r>
        <w:rPr>
          <w:rFonts w:cs="Times New Roman"/>
          <w:noProof/>
          <w:color w:val="auto"/>
          <w:sz w:val="15"/>
          <w:szCs w:val="15"/>
        </w:rPr>
        <w:drawing>
          <wp:inline distT="0" distB="0" distL="0" distR="0" wp14:anchorId="498A5CD4" wp14:editId="5C180229">
            <wp:extent cx="7542530" cy="391795"/>
            <wp:effectExtent l="0" t="0" r="127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677D6C7E" w14:textId="77777777" w:rsidR="00541A14" w:rsidRDefault="00DD420F">
      <w:pPr>
        <w:pStyle w:val="Default"/>
        <w:pageBreakBefore/>
        <w:framePr w:w="10031" w:wrap="auto" w:vAnchor="page" w:hAnchor="page" w:x="1290" w:y="2185"/>
        <w:spacing w:after="280"/>
        <w:rPr>
          <w:rFonts w:cs="Times New Roman"/>
          <w:color w:val="auto"/>
          <w:sz w:val="15"/>
          <w:szCs w:val="15"/>
        </w:rPr>
      </w:pPr>
      <w:r>
        <w:rPr>
          <w:rFonts w:cs="Times New Roman"/>
          <w:noProof/>
          <w:color w:val="auto"/>
          <w:sz w:val="15"/>
          <w:szCs w:val="15"/>
        </w:rPr>
        <w:drawing>
          <wp:inline distT="0" distB="0" distL="0" distR="0" wp14:anchorId="2017D43C" wp14:editId="4D35C681">
            <wp:extent cx="5741670" cy="544639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5741670" cy="5446395"/>
                    </a:xfrm>
                    <a:prstGeom prst="rect">
                      <a:avLst/>
                    </a:prstGeom>
                    <a:noFill/>
                    <a:ln>
                      <a:noFill/>
                    </a:ln>
                  </pic:spPr>
                </pic:pic>
              </a:graphicData>
            </a:graphic>
          </wp:inline>
        </w:drawing>
      </w:r>
    </w:p>
    <w:p w14:paraId="51B80C11"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701248" behindDoc="0" locked="0" layoutInCell="0" allowOverlap="1" wp14:anchorId="230D325C" wp14:editId="4C51B1B0">
                <wp:simplePos x="0" y="0"/>
                <wp:positionH relativeFrom="page">
                  <wp:posOffset>928370</wp:posOffset>
                </wp:positionH>
                <wp:positionV relativeFrom="page">
                  <wp:posOffset>6922770</wp:posOffset>
                </wp:positionV>
                <wp:extent cx="6252210" cy="2187575"/>
                <wp:effectExtent l="0" t="0" r="0" b="0"/>
                <wp:wrapThrough wrapText="bothSides">
                  <wp:wrapPolygon edited="0">
                    <wp:start x="0" y="0"/>
                    <wp:lineTo x="21600" y="0"/>
                    <wp:lineTo x="21600" y="21600"/>
                    <wp:lineTo x="0" y="21600"/>
                    <wp:lineTo x="0" y="0"/>
                  </wp:wrapPolygon>
                </wp:wrapThrough>
                <wp:docPr id="51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2210" cy="2187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937"/>
                              <w:gridCol w:w="3732"/>
                              <w:gridCol w:w="3377"/>
                            </w:tblGrid>
                            <w:tr w:rsidR="00541A14" w14:paraId="038B2BC3" w14:textId="77777777">
                              <w:trPr>
                                <w:trHeight w:val="883"/>
                              </w:trPr>
                              <w:tc>
                                <w:tcPr>
                                  <w:tcW w:w="1937" w:type="dxa"/>
                                  <w:tcBorders>
                                    <w:top w:val="single" w:sz="2" w:space="0" w:color="EC1B22"/>
                                    <w:left w:val="single" w:sz="2" w:space="0" w:color="EC1B22"/>
                                    <w:bottom w:val="single" w:sz="2" w:space="0" w:color="EC1B22"/>
                                    <w:right w:val="single" w:sz="2" w:space="0" w:color="EC1B22"/>
                                  </w:tcBorders>
                                  <w:vAlign w:val="bottom"/>
                                </w:tcPr>
                                <w:p w14:paraId="5DE5A082" w14:textId="77777777" w:rsidR="00541A14" w:rsidRDefault="00A450E1">
                                  <w:pPr>
                                    <w:pStyle w:val="Default"/>
                                    <w:rPr>
                                      <w:rFonts w:ascii="DIN" w:hAnsi="DIN" w:cs="DIN"/>
                                      <w:sz w:val="17"/>
                                      <w:szCs w:val="17"/>
                                    </w:rPr>
                                  </w:pPr>
                                  <w:r>
                                    <w:rPr>
                                      <w:rFonts w:ascii="DIN" w:hAnsi="DIN" w:cs="DIN"/>
                                      <w:b/>
                                      <w:bCs/>
                                      <w:sz w:val="17"/>
                                      <w:szCs w:val="17"/>
                                    </w:rPr>
                                    <w:t xml:space="preserve">Topmark </w:t>
                                  </w:r>
                                  <w:r>
                                    <w:rPr>
                                      <w:rFonts w:ascii="DIN" w:hAnsi="DIN" w:cs="DIN"/>
                                      <w:b/>
                                      <w:bCs/>
                                      <w:sz w:val="8"/>
                                      <w:szCs w:val="8"/>
                                    </w:rPr>
                                    <w:t xml:space="preserve">(a) </w:t>
                                  </w:r>
                                  <w:r>
                                    <w:rPr>
                                      <w:rFonts w:ascii="DIN" w:hAnsi="DIN" w:cs="DIN"/>
                                      <w:b/>
                                      <w:bCs/>
                                      <w:sz w:val="17"/>
                                      <w:szCs w:val="17"/>
                                    </w:rPr>
                                    <w:t xml:space="preserve">Colour Shape of buoys </w:t>
                                  </w:r>
                                </w:p>
                              </w:tc>
                              <w:tc>
                                <w:tcPr>
                                  <w:tcW w:w="3732" w:type="dxa"/>
                                  <w:tcBorders>
                                    <w:top w:val="single" w:sz="2" w:space="0" w:color="EC1B22"/>
                                    <w:left w:val="single" w:sz="2" w:space="0" w:color="EC1B22"/>
                                    <w:bottom w:val="single" w:sz="2" w:space="0" w:color="EC1B22"/>
                                    <w:right w:val="single" w:sz="2" w:space="0" w:color="EC1B22"/>
                                  </w:tcBorders>
                                </w:tcPr>
                                <w:p w14:paraId="4D4B7D9B" w14:textId="77777777" w:rsidR="00541A14" w:rsidRDefault="00A450E1">
                                  <w:pPr>
                                    <w:pStyle w:val="Default"/>
                                    <w:rPr>
                                      <w:rFonts w:ascii="DIN" w:hAnsi="DIN" w:cs="DIN"/>
                                      <w:sz w:val="17"/>
                                      <w:szCs w:val="17"/>
                                    </w:rPr>
                                  </w:pPr>
                                  <w:r>
                                    <w:rPr>
                                      <w:rFonts w:ascii="DIN" w:hAnsi="DIN" w:cs="DIN"/>
                                      <w:b/>
                                      <w:bCs/>
                                      <w:color w:val="FFFFFF"/>
                                      <w:sz w:val="17"/>
                                      <w:szCs w:val="17"/>
                                    </w:rPr>
                                    <w:t xml:space="preserve">3.3.3 South Cardinal Mark </w:t>
                                  </w:r>
                                  <w:r>
                                    <w:rPr>
                                      <w:rFonts w:ascii="DIN" w:hAnsi="DIN" w:cs="DIN"/>
                                      <w:sz w:val="17"/>
                                      <w:szCs w:val="17"/>
                                    </w:rPr>
                                    <w:t xml:space="preserve">2 black cones, one above the other, points downward Yellow above black Pillar or spar </w:t>
                                  </w:r>
                                </w:p>
                              </w:tc>
                              <w:tc>
                                <w:tcPr>
                                  <w:tcW w:w="3377" w:type="dxa"/>
                                  <w:tcBorders>
                                    <w:top w:val="single" w:sz="2" w:space="0" w:color="EC1B22"/>
                                    <w:left w:val="single" w:sz="2" w:space="0" w:color="EC1B22"/>
                                    <w:bottom w:val="single" w:sz="2" w:space="0" w:color="EC1B22"/>
                                    <w:right w:val="single" w:sz="2" w:space="0" w:color="EC1B22"/>
                                  </w:tcBorders>
                                </w:tcPr>
                                <w:p w14:paraId="641E901A" w14:textId="77777777" w:rsidR="00541A14" w:rsidRDefault="00A450E1">
                                  <w:pPr>
                                    <w:pStyle w:val="Default"/>
                                    <w:rPr>
                                      <w:rFonts w:ascii="DIN" w:hAnsi="DIN" w:cs="DIN"/>
                                      <w:sz w:val="17"/>
                                      <w:szCs w:val="17"/>
                                    </w:rPr>
                                  </w:pPr>
                                  <w:r>
                                    <w:rPr>
                                      <w:rFonts w:ascii="DIN" w:hAnsi="DIN" w:cs="DIN"/>
                                      <w:b/>
                                      <w:bCs/>
                                      <w:color w:val="FFFFFF"/>
                                      <w:sz w:val="17"/>
                                      <w:szCs w:val="17"/>
                                    </w:rPr>
                                    <w:t xml:space="preserve">3.3.4 West Cardinal Mark </w:t>
                                  </w:r>
                                  <w:r>
                                    <w:rPr>
                                      <w:rFonts w:ascii="DIN" w:hAnsi="DIN" w:cs="DIN"/>
                                      <w:sz w:val="17"/>
                                      <w:szCs w:val="17"/>
                                    </w:rPr>
                                    <w:t xml:space="preserve">2 black cones, one above the other, point to point Yellow with a single broad horizontal black band Pillar or spar </w:t>
                                  </w:r>
                                </w:p>
                              </w:tc>
                            </w:tr>
                            <w:tr w:rsidR="00541A14" w14:paraId="3461D884" w14:textId="77777777">
                              <w:trPr>
                                <w:trHeight w:val="197"/>
                              </w:trPr>
                              <w:tc>
                                <w:tcPr>
                                  <w:tcW w:w="1937" w:type="dxa"/>
                                  <w:tcBorders>
                                    <w:top w:val="single" w:sz="2" w:space="0" w:color="EC1B22"/>
                                    <w:left w:val="single" w:sz="2" w:space="0" w:color="EC1B22"/>
                                    <w:bottom w:val="single" w:sz="2" w:space="0" w:color="EC1B22"/>
                                  </w:tcBorders>
                                  <w:vAlign w:val="center"/>
                                </w:tcPr>
                                <w:p w14:paraId="0D1A840D" w14:textId="77777777" w:rsidR="00541A14" w:rsidRDefault="00A450E1">
                                  <w:pPr>
                                    <w:pStyle w:val="Default"/>
                                    <w:rPr>
                                      <w:rFonts w:ascii="DIN" w:hAnsi="DIN" w:cs="DIN"/>
                                      <w:sz w:val="17"/>
                                      <w:szCs w:val="17"/>
                                    </w:rPr>
                                  </w:pPr>
                                  <w:r>
                                    <w:rPr>
                                      <w:rFonts w:ascii="DIN" w:hAnsi="DIN" w:cs="DIN"/>
                                      <w:b/>
                                      <w:bCs/>
                                      <w:sz w:val="17"/>
                                      <w:szCs w:val="17"/>
                                    </w:rPr>
                                    <w:t xml:space="preserve">Light (when fitted) </w:t>
                                  </w:r>
                                </w:p>
                              </w:tc>
                              <w:tc>
                                <w:tcPr>
                                  <w:tcW w:w="3732" w:type="dxa"/>
                                  <w:tcBorders>
                                    <w:top w:val="single" w:sz="2" w:space="0" w:color="EC1B22"/>
                                    <w:bottom w:val="single" w:sz="2" w:space="0" w:color="EC1B22"/>
                                  </w:tcBorders>
                                </w:tcPr>
                                <w:p w14:paraId="4D48A0A4" w14:textId="77777777" w:rsidR="00541A14" w:rsidRDefault="00541A14">
                                  <w:pPr>
                                    <w:pStyle w:val="Default"/>
                                    <w:rPr>
                                      <w:rFonts w:cs="Times New Roman"/>
                                      <w:color w:val="auto"/>
                                    </w:rPr>
                                  </w:pPr>
                                </w:p>
                              </w:tc>
                              <w:tc>
                                <w:tcPr>
                                  <w:tcW w:w="3377" w:type="dxa"/>
                                  <w:tcBorders>
                                    <w:top w:val="single" w:sz="2" w:space="0" w:color="EC1B22"/>
                                    <w:bottom w:val="single" w:sz="2" w:space="0" w:color="EC1B22"/>
                                    <w:right w:val="single" w:sz="2" w:space="0" w:color="EC1B22"/>
                                  </w:tcBorders>
                                </w:tcPr>
                                <w:p w14:paraId="76479D13" w14:textId="77777777" w:rsidR="00541A14" w:rsidRDefault="00541A14">
                                  <w:pPr>
                                    <w:pStyle w:val="Default"/>
                                    <w:rPr>
                                      <w:rFonts w:cs="Times New Roman"/>
                                      <w:color w:val="auto"/>
                                    </w:rPr>
                                  </w:pPr>
                                </w:p>
                              </w:tc>
                            </w:tr>
                            <w:tr w:rsidR="00541A14" w14:paraId="51F764B6" w14:textId="77777777">
                              <w:trPr>
                                <w:trHeight w:val="433"/>
                              </w:trPr>
                              <w:tc>
                                <w:tcPr>
                                  <w:tcW w:w="1937" w:type="dxa"/>
                                  <w:tcBorders>
                                    <w:top w:val="single" w:sz="2" w:space="0" w:color="EC1B22"/>
                                    <w:left w:val="single" w:sz="2" w:space="0" w:color="EC1B22"/>
                                    <w:bottom w:val="single" w:sz="2" w:space="0" w:color="EC1B22"/>
                                    <w:right w:val="single" w:sz="2" w:space="0" w:color="EC1B22"/>
                                  </w:tcBorders>
                                </w:tcPr>
                                <w:p w14:paraId="28BC081C" w14:textId="77777777" w:rsidR="00541A14" w:rsidRDefault="00A450E1">
                                  <w:pPr>
                                    <w:pStyle w:val="Default"/>
                                    <w:rPr>
                                      <w:rFonts w:ascii="DIN" w:hAnsi="DIN" w:cs="DIN"/>
                                      <w:sz w:val="17"/>
                                      <w:szCs w:val="17"/>
                                    </w:rPr>
                                  </w:pPr>
                                  <w:r>
                                    <w:rPr>
                                      <w:rFonts w:ascii="DIN" w:hAnsi="DIN" w:cs="DIN"/>
                                      <w:sz w:val="17"/>
                                      <w:szCs w:val="17"/>
                                    </w:rPr>
                                    <w:t xml:space="preserve">Colour Rhythm </w:t>
                                  </w:r>
                                </w:p>
                              </w:tc>
                              <w:tc>
                                <w:tcPr>
                                  <w:tcW w:w="3732" w:type="dxa"/>
                                  <w:tcBorders>
                                    <w:top w:val="single" w:sz="2" w:space="0" w:color="EC1B22"/>
                                    <w:left w:val="single" w:sz="2" w:space="0" w:color="EC1B22"/>
                                    <w:bottom w:val="single" w:sz="2" w:space="0" w:color="EC1B22"/>
                                    <w:right w:val="single" w:sz="2" w:space="0" w:color="EC1B22"/>
                                  </w:tcBorders>
                                </w:tcPr>
                                <w:p w14:paraId="508FF0F0" w14:textId="77777777" w:rsidR="00541A14" w:rsidRDefault="00A450E1">
                                  <w:pPr>
                                    <w:pStyle w:val="Default"/>
                                    <w:rPr>
                                      <w:rFonts w:ascii="DIN" w:hAnsi="DIN" w:cs="DIN"/>
                                      <w:sz w:val="17"/>
                                      <w:szCs w:val="17"/>
                                    </w:rPr>
                                  </w:pPr>
                                  <w:r>
                                    <w:rPr>
                                      <w:rFonts w:ascii="DIN" w:hAnsi="DIN" w:cs="DIN"/>
                                      <w:sz w:val="17"/>
                                      <w:szCs w:val="17"/>
                                    </w:rPr>
                                    <w:t xml:space="preserve">White VQ(6) + Long flash every 10s or Q(6) + Long flash every 15s </w:t>
                                  </w:r>
                                </w:p>
                              </w:tc>
                              <w:tc>
                                <w:tcPr>
                                  <w:tcW w:w="3377" w:type="dxa"/>
                                  <w:tcBorders>
                                    <w:top w:val="single" w:sz="2" w:space="0" w:color="EC1B22"/>
                                    <w:left w:val="single" w:sz="2" w:space="0" w:color="EC1B22"/>
                                    <w:bottom w:val="single" w:sz="2" w:space="0" w:color="EC1B22"/>
                                    <w:right w:val="single" w:sz="2" w:space="0" w:color="EC1B22"/>
                                  </w:tcBorders>
                                </w:tcPr>
                                <w:p w14:paraId="3D1B0E11" w14:textId="77777777" w:rsidR="00541A14" w:rsidRDefault="00A450E1">
                                  <w:pPr>
                                    <w:pStyle w:val="Default"/>
                                    <w:rPr>
                                      <w:rFonts w:ascii="DIN" w:hAnsi="DIN" w:cs="DIN"/>
                                      <w:sz w:val="17"/>
                                      <w:szCs w:val="17"/>
                                    </w:rPr>
                                  </w:pPr>
                                  <w:r>
                                    <w:rPr>
                                      <w:rFonts w:ascii="DIN" w:hAnsi="DIN" w:cs="DIN"/>
                                      <w:sz w:val="17"/>
                                      <w:szCs w:val="17"/>
                                    </w:rPr>
                                    <w:t xml:space="preserve">White VQ(9) every 10s or Q(9) every 15s </w:t>
                                  </w:r>
                                </w:p>
                              </w:tc>
                            </w:tr>
                          </w:tbl>
                          <w:p w14:paraId="3E999F90"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68" type="#_x0000_t202" style="position:absolute;margin-left:73.1pt;margin-top:545.1pt;width:492.3pt;height:172.25pt;z-index:251701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33"/>
                        <w:gridCol w:w="492"/>
                        <w:gridCol w:w="20"/>
                        <w:gridCol w:w="2297"/>
                        <w:gridCol w:w="5"/>
                        <w:gridCol w:w="5"/>
                        <w:gridCol w:w="12"/>
                        <w:gridCol w:w="47"/>
                        <w:gridCol w:w="1355"/>
                        <w:gridCol w:w="3382"/>
                      </w:tblGrid>
                      <w:tr w:rsidR="00000000" w14:paraId="038B2BC3" w14:textId="77777777">
                        <w:tblPrEx>
                          <w:tblCellMar>
                            <w:top w:w="0" w:type="dxa"/>
                            <w:bottom w:w="0" w:type="dxa"/>
                          </w:tblCellMar>
                        </w:tblPrEx>
                        <w:trPr>
                          <w:wAfter w:w="20" w:type="dxa"/>
                          <w:trHeight w:val="883"/>
                        </w:trPr>
                        <w:tc>
                          <w:tcPr>
                            <w:tcW w:w="1937" w:type="dxa"/>
                            <w:gridSpan w:val="3"/>
                            <w:tcBorders>
                              <w:top w:val="single" w:sz="2" w:space="0" w:color="EC1B22"/>
                              <w:left w:val="single" w:sz="2" w:space="0" w:color="EC1B22"/>
                              <w:bottom w:val="single" w:sz="2" w:space="0" w:color="EC1B22"/>
                              <w:right w:val="single" w:sz="2" w:space="0" w:color="EC1B22"/>
                            </w:tcBorders>
                            <w:vAlign w:val="bottom"/>
                          </w:tcPr>
                          <w:p w14:paraId="5DE5A082" w14:textId="77777777" w:rsidR="00000000" w:rsidRDefault="00A450E1">
                            <w:pPr>
                              <w:pStyle w:val="Default"/>
                              <w:rPr>
                                <w:rFonts w:ascii="DIN" w:hAnsi="DIN" w:cs="DIN"/>
                                <w:sz w:val="17"/>
                                <w:szCs w:val="17"/>
                              </w:rPr>
                            </w:pPr>
                            <w:r>
                              <w:rPr>
                                <w:rFonts w:ascii="DIN" w:hAnsi="DIN" w:cs="DIN"/>
                                <w:b/>
                                <w:bCs/>
                                <w:sz w:val="17"/>
                                <w:szCs w:val="17"/>
                              </w:rPr>
                              <w:t xml:space="preserve">Topmark </w:t>
                            </w:r>
                            <w:r>
                              <w:rPr>
                                <w:rFonts w:ascii="DIN" w:hAnsi="DIN" w:cs="DIN"/>
                                <w:b/>
                                <w:bCs/>
                                <w:sz w:val="8"/>
                                <w:szCs w:val="8"/>
                              </w:rPr>
                              <w:t xml:space="preserve">(a) </w:t>
                            </w:r>
                            <w:r>
                              <w:rPr>
                                <w:rFonts w:ascii="DIN" w:hAnsi="DIN" w:cs="DIN"/>
                                <w:b/>
                                <w:bCs/>
                                <w:sz w:val="17"/>
                                <w:szCs w:val="17"/>
                              </w:rPr>
                              <w:t xml:space="preserve">Colour Shape of buoys </w:t>
                            </w:r>
                          </w:p>
                        </w:tc>
                        <w:tc>
                          <w:tcPr>
                            <w:tcW w:w="3732" w:type="dxa"/>
                            <w:gridSpan w:val="7"/>
                            <w:tcBorders>
                              <w:top w:val="single" w:sz="2" w:space="0" w:color="EC1B22"/>
                              <w:left w:val="single" w:sz="2" w:space="0" w:color="EC1B22"/>
                              <w:bottom w:val="single" w:sz="2" w:space="0" w:color="EC1B22"/>
                              <w:right w:val="single" w:sz="2" w:space="0" w:color="EC1B22"/>
                            </w:tcBorders>
                          </w:tcPr>
                          <w:p w14:paraId="4D4B7D9B" w14:textId="77777777" w:rsidR="00000000" w:rsidRDefault="00A450E1">
                            <w:pPr>
                              <w:pStyle w:val="Default"/>
                              <w:rPr>
                                <w:rFonts w:ascii="DIN" w:hAnsi="DIN" w:cs="DIN"/>
                                <w:sz w:val="17"/>
                                <w:szCs w:val="17"/>
                              </w:rPr>
                            </w:pPr>
                            <w:r>
                              <w:rPr>
                                <w:rFonts w:ascii="DIN" w:hAnsi="DIN" w:cs="DIN"/>
                                <w:b/>
                                <w:bCs/>
                                <w:color w:val="FFFFFF"/>
                                <w:sz w:val="17"/>
                                <w:szCs w:val="17"/>
                              </w:rPr>
                              <w:t xml:space="preserve">3.3.3 South Cardinal Mark </w:t>
                            </w:r>
                            <w:r>
                              <w:rPr>
                                <w:rFonts w:ascii="DIN" w:hAnsi="DIN" w:cs="DIN"/>
                                <w:sz w:val="17"/>
                                <w:szCs w:val="17"/>
                              </w:rPr>
                              <w:t xml:space="preserve">2 black cones, one above the other, points downward Yellow above black Pillar or spar </w:t>
                            </w:r>
                          </w:p>
                        </w:tc>
                        <w:tc>
                          <w:tcPr>
                            <w:tcW w:w="3377" w:type="dxa"/>
                            <w:tcBorders>
                              <w:top w:val="single" w:sz="2" w:space="0" w:color="EC1B22"/>
                              <w:left w:val="single" w:sz="2" w:space="0" w:color="EC1B22"/>
                              <w:bottom w:val="single" w:sz="2" w:space="0" w:color="EC1B22"/>
                              <w:right w:val="single" w:sz="2" w:space="0" w:color="EC1B22"/>
                            </w:tcBorders>
                          </w:tcPr>
                          <w:p w14:paraId="641E901A" w14:textId="77777777" w:rsidR="00000000" w:rsidRDefault="00A450E1">
                            <w:pPr>
                              <w:pStyle w:val="Default"/>
                              <w:rPr>
                                <w:rFonts w:ascii="DIN" w:hAnsi="DIN" w:cs="DIN"/>
                                <w:sz w:val="17"/>
                                <w:szCs w:val="17"/>
                              </w:rPr>
                            </w:pPr>
                            <w:r>
                              <w:rPr>
                                <w:rFonts w:ascii="DIN" w:hAnsi="DIN" w:cs="DIN"/>
                                <w:b/>
                                <w:bCs/>
                                <w:color w:val="FFFFFF"/>
                                <w:sz w:val="17"/>
                                <w:szCs w:val="17"/>
                              </w:rPr>
                              <w:t xml:space="preserve">3.3.4 West Cardinal Mark </w:t>
                            </w:r>
                            <w:r>
                              <w:rPr>
                                <w:rFonts w:ascii="DIN" w:hAnsi="DIN" w:cs="DIN"/>
                                <w:sz w:val="17"/>
                                <w:szCs w:val="17"/>
                              </w:rPr>
                              <w:t xml:space="preserve">2 black cones, one above the other, point to point Yellow with a single broad horizontal black band Pillar or spar </w:t>
                            </w:r>
                          </w:p>
                        </w:tc>
                      </w:tr>
                      <w:tr w:rsidR="00000000" w14:paraId="3461D884" w14:textId="77777777">
                        <w:tblPrEx>
                          <w:tblCellMar>
                            <w:top w:w="0" w:type="dxa"/>
                            <w:bottom w:w="0" w:type="dxa"/>
                          </w:tblCellMar>
                        </w:tblPrEx>
                        <w:trPr>
                          <w:wAfter w:w="20" w:type="dxa"/>
                          <w:trHeight w:val="197"/>
                        </w:trPr>
                        <w:tc>
                          <w:tcPr>
                            <w:tcW w:w="1937" w:type="dxa"/>
                            <w:gridSpan w:val="3"/>
                            <w:tcBorders>
                              <w:top w:val="single" w:sz="2" w:space="0" w:color="EC1B22"/>
                              <w:left w:val="single" w:sz="2" w:space="0" w:color="EC1B22"/>
                              <w:bottom w:val="single" w:sz="2" w:space="0" w:color="EC1B22"/>
                            </w:tcBorders>
                            <w:vAlign w:val="center"/>
                          </w:tcPr>
                          <w:p w14:paraId="0D1A840D" w14:textId="77777777" w:rsidR="00000000" w:rsidRDefault="00A450E1">
                            <w:pPr>
                              <w:pStyle w:val="Default"/>
                              <w:rPr>
                                <w:rFonts w:ascii="DIN" w:hAnsi="DIN" w:cs="DIN"/>
                                <w:sz w:val="17"/>
                                <w:szCs w:val="17"/>
                              </w:rPr>
                            </w:pPr>
                            <w:r>
                              <w:rPr>
                                <w:rFonts w:ascii="DIN" w:hAnsi="DIN" w:cs="DIN"/>
                                <w:b/>
                                <w:bCs/>
                                <w:sz w:val="17"/>
                                <w:szCs w:val="17"/>
                              </w:rPr>
                              <w:t xml:space="preserve">Light (when fitted) </w:t>
                            </w:r>
                          </w:p>
                        </w:tc>
                        <w:tc>
                          <w:tcPr>
                            <w:tcW w:w="3732" w:type="dxa"/>
                            <w:gridSpan w:val="7"/>
                            <w:tcBorders>
                              <w:top w:val="single" w:sz="2" w:space="0" w:color="EC1B22"/>
                              <w:bottom w:val="single" w:sz="2" w:space="0" w:color="EC1B22"/>
                            </w:tcBorders>
                          </w:tcPr>
                          <w:p w14:paraId="4D48A0A4" w14:textId="77777777" w:rsidR="00000000" w:rsidRDefault="00A450E1">
                            <w:pPr>
                              <w:pStyle w:val="Default"/>
                              <w:rPr>
                                <w:rFonts w:cs="Times New Roman"/>
                                <w:color w:val="auto"/>
                              </w:rPr>
                            </w:pPr>
                          </w:p>
                        </w:tc>
                        <w:tc>
                          <w:tcPr>
                            <w:tcW w:w="3377" w:type="dxa"/>
                            <w:tcBorders>
                              <w:top w:val="single" w:sz="2" w:space="0" w:color="EC1B22"/>
                              <w:bottom w:val="single" w:sz="2" w:space="0" w:color="EC1B22"/>
                              <w:right w:val="single" w:sz="2" w:space="0" w:color="EC1B22"/>
                            </w:tcBorders>
                          </w:tcPr>
                          <w:p w14:paraId="76479D13" w14:textId="77777777" w:rsidR="00000000" w:rsidRDefault="00A450E1">
                            <w:pPr>
                              <w:pStyle w:val="Default"/>
                              <w:rPr>
                                <w:rFonts w:cs="Times New Roman"/>
                                <w:color w:val="auto"/>
                              </w:rPr>
                            </w:pPr>
                          </w:p>
                        </w:tc>
                      </w:tr>
                      <w:tr w:rsidR="00000000" w14:paraId="51F764B6" w14:textId="77777777">
                        <w:tblPrEx>
                          <w:tblCellMar>
                            <w:top w:w="0" w:type="dxa"/>
                            <w:bottom w:w="0" w:type="dxa"/>
                          </w:tblCellMar>
                        </w:tblPrEx>
                        <w:trPr>
                          <w:wAfter w:w="20" w:type="dxa"/>
                          <w:trHeight w:val="433"/>
                        </w:trPr>
                        <w:tc>
                          <w:tcPr>
                            <w:tcW w:w="1937" w:type="dxa"/>
                            <w:gridSpan w:val="3"/>
                            <w:tcBorders>
                              <w:top w:val="single" w:sz="2" w:space="0" w:color="EC1B22"/>
                              <w:left w:val="single" w:sz="2" w:space="0" w:color="EC1B22"/>
                              <w:bottom w:val="single" w:sz="2" w:space="0" w:color="EC1B22"/>
                              <w:right w:val="single" w:sz="2" w:space="0" w:color="EC1B22"/>
                            </w:tcBorders>
                          </w:tcPr>
                          <w:p w14:paraId="28BC081C" w14:textId="77777777" w:rsidR="00000000" w:rsidRDefault="00A450E1">
                            <w:pPr>
                              <w:pStyle w:val="Default"/>
                              <w:rPr>
                                <w:rFonts w:ascii="DIN" w:hAnsi="DIN" w:cs="DIN"/>
                                <w:sz w:val="17"/>
                                <w:szCs w:val="17"/>
                              </w:rPr>
                            </w:pPr>
                            <w:r>
                              <w:rPr>
                                <w:rFonts w:ascii="DIN" w:hAnsi="DIN" w:cs="DIN"/>
                                <w:sz w:val="17"/>
                                <w:szCs w:val="17"/>
                              </w:rPr>
                              <w:t xml:space="preserve">Colour Rhythm </w:t>
                            </w:r>
                          </w:p>
                        </w:tc>
                        <w:tc>
                          <w:tcPr>
                            <w:tcW w:w="3732" w:type="dxa"/>
                            <w:gridSpan w:val="7"/>
                            <w:tcBorders>
                              <w:top w:val="single" w:sz="2" w:space="0" w:color="EC1B22"/>
                              <w:left w:val="single" w:sz="2" w:space="0" w:color="EC1B22"/>
                              <w:bottom w:val="single" w:sz="2" w:space="0" w:color="EC1B22"/>
                              <w:right w:val="single" w:sz="2" w:space="0" w:color="EC1B22"/>
                            </w:tcBorders>
                          </w:tcPr>
                          <w:p w14:paraId="508FF0F0" w14:textId="77777777" w:rsidR="00000000" w:rsidRDefault="00A450E1">
                            <w:pPr>
                              <w:pStyle w:val="Default"/>
                              <w:rPr>
                                <w:rFonts w:ascii="DIN" w:hAnsi="DIN" w:cs="DIN"/>
                                <w:sz w:val="17"/>
                                <w:szCs w:val="17"/>
                              </w:rPr>
                            </w:pPr>
                            <w:r>
                              <w:rPr>
                                <w:rFonts w:ascii="DIN" w:hAnsi="DIN" w:cs="DIN"/>
                                <w:sz w:val="17"/>
                                <w:szCs w:val="17"/>
                              </w:rPr>
                              <w:t xml:space="preserve">White VQ(6) + Long flash every 10s or Q(6) + Long flash every 15s </w:t>
                            </w:r>
                          </w:p>
                        </w:tc>
                        <w:tc>
                          <w:tcPr>
                            <w:tcW w:w="3377" w:type="dxa"/>
                            <w:tcBorders>
                              <w:top w:val="single" w:sz="2" w:space="0" w:color="EC1B22"/>
                              <w:left w:val="single" w:sz="2" w:space="0" w:color="EC1B22"/>
                              <w:bottom w:val="single" w:sz="2" w:space="0" w:color="EC1B22"/>
                              <w:right w:val="single" w:sz="2" w:space="0" w:color="EC1B22"/>
                            </w:tcBorders>
                          </w:tcPr>
                          <w:p w14:paraId="3D1B0E11" w14:textId="77777777" w:rsidR="00000000" w:rsidRDefault="00A450E1">
                            <w:pPr>
                              <w:pStyle w:val="Default"/>
                              <w:rPr>
                                <w:rFonts w:ascii="DIN" w:hAnsi="DIN" w:cs="DIN"/>
                                <w:sz w:val="17"/>
                                <w:szCs w:val="17"/>
                              </w:rPr>
                            </w:pPr>
                            <w:r>
                              <w:rPr>
                                <w:rFonts w:ascii="DIN" w:hAnsi="DIN" w:cs="DIN"/>
                                <w:sz w:val="17"/>
                                <w:szCs w:val="17"/>
                              </w:rPr>
                              <w:t xml:space="preserve">White VQ(9) every 10s or Q(9) every 15s </w:t>
                            </w:r>
                          </w:p>
                        </w:tc>
                      </w:tr>
                    </w:tbl>
                  </w:txbxContent>
                </v:textbox>
                <w10:wrap type="through" anchorx="page" anchory="page"/>
              </v:shape>
            </w:pict>
          </mc:Fallback>
        </mc:AlternateContent>
      </w:r>
    </w:p>
    <w:p w14:paraId="1CB3D067" w14:textId="77777777" w:rsidR="00541A14" w:rsidRDefault="00A450E1">
      <w:pPr>
        <w:pStyle w:val="CM162"/>
        <w:spacing w:after="552" w:line="208" w:lineRule="atLeast"/>
        <w:ind w:left="1222" w:hanging="690"/>
        <w:jc w:val="both"/>
        <w:rPr>
          <w:rFonts w:ascii="DIN" w:hAnsi="DIN" w:cs="DIN"/>
          <w:sz w:val="15"/>
          <w:szCs w:val="15"/>
        </w:rPr>
      </w:pPr>
      <w:r>
        <w:rPr>
          <w:rFonts w:ascii="DIN" w:hAnsi="DIN" w:cs="DIN"/>
          <w:b/>
          <w:bCs/>
          <w:sz w:val="17"/>
          <w:szCs w:val="17"/>
        </w:rPr>
        <w:t xml:space="preserve">Note </w:t>
      </w:r>
      <w:r>
        <w:rPr>
          <w:rFonts w:ascii="DIN" w:hAnsi="DIN" w:cs="DIN"/>
          <w:b/>
          <w:bCs/>
          <w:position w:val="9"/>
          <w:sz w:val="9"/>
          <w:szCs w:val="9"/>
          <w:vertAlign w:val="superscript"/>
        </w:rPr>
        <w:t xml:space="preserve">(a) </w:t>
      </w:r>
      <w:r>
        <w:rPr>
          <w:rFonts w:ascii="DIN" w:hAnsi="DIN" w:cs="DIN"/>
          <w:b/>
          <w:bCs/>
          <w:sz w:val="20"/>
          <w:szCs w:val="20"/>
        </w:rPr>
        <w:t xml:space="preserve">: </w:t>
      </w:r>
      <w:r>
        <w:rPr>
          <w:rFonts w:ascii="DIN" w:hAnsi="DIN" w:cs="DIN"/>
          <w:sz w:val="15"/>
          <w:szCs w:val="15"/>
        </w:rPr>
        <w:t xml:space="preserve">The double cone top-mark is a very important feature of every Cardinal mark by day, and should be used wherever practicable and be as large as possible with a clear separation between the cones. </w:t>
      </w:r>
    </w:p>
    <w:p w14:paraId="394ECC4C" w14:textId="77777777" w:rsidR="00541A14" w:rsidRDefault="00A450E1">
      <w:pPr>
        <w:pStyle w:val="CM125"/>
        <w:jc w:val="both"/>
        <w:rPr>
          <w:rFonts w:ascii="DIN" w:hAnsi="DIN" w:cs="DIN"/>
          <w:sz w:val="15"/>
          <w:szCs w:val="15"/>
        </w:rPr>
      </w:pPr>
      <w:r>
        <w:rPr>
          <w:rFonts w:ascii="DIN" w:hAnsi="DIN" w:cs="DIN"/>
          <w:sz w:val="15"/>
          <w:szCs w:val="15"/>
        </w:rPr>
        <w:t xml:space="preserve">Maritime Buoyage System </w:t>
      </w:r>
    </w:p>
    <w:p w14:paraId="1F004106" w14:textId="77777777" w:rsidR="00541A14" w:rsidRDefault="00A450E1">
      <w:pPr>
        <w:pStyle w:val="CM162"/>
        <w:spacing w:after="552" w:line="211" w:lineRule="atLeast"/>
        <w:jc w:val="both"/>
        <w:rPr>
          <w:rFonts w:ascii="DIN" w:hAnsi="DIN" w:cs="DIN"/>
          <w:color w:val="EC1B22"/>
          <w:sz w:val="15"/>
          <w:szCs w:val="15"/>
        </w:rPr>
      </w:pPr>
      <w:r>
        <w:rPr>
          <w:rFonts w:ascii="DIN" w:hAnsi="DIN" w:cs="DIN"/>
          <w:color w:val="EC1B22"/>
          <w:sz w:val="15"/>
          <w:szCs w:val="15"/>
        </w:rPr>
        <w:t xml:space="preserve">Marks </w:t>
      </w:r>
    </w:p>
    <w:p w14:paraId="67CB4C9B" w14:textId="77777777" w:rsidR="00541A14" w:rsidRDefault="00A450E1">
      <w:pPr>
        <w:pStyle w:val="CM197"/>
        <w:spacing w:after="390"/>
        <w:ind w:left="4815"/>
        <w:jc w:val="both"/>
        <w:rPr>
          <w:rFonts w:ascii="DIN" w:hAnsi="DIN" w:cs="DIN"/>
          <w:color w:val="6B6D6F"/>
          <w:sz w:val="47"/>
          <w:szCs w:val="47"/>
        </w:rPr>
      </w:pPr>
      <w:r>
        <w:rPr>
          <w:rFonts w:ascii="DIN" w:hAnsi="DIN" w:cs="DIN"/>
          <w:color w:val="6B6D6F"/>
          <w:sz w:val="47"/>
          <w:szCs w:val="47"/>
        </w:rPr>
        <w:t xml:space="preserve">14 </w:t>
      </w:r>
    </w:p>
    <w:p w14:paraId="7D46D6CF" w14:textId="77777777" w:rsidR="00541A14" w:rsidRDefault="00DD420F">
      <w:pPr>
        <w:pStyle w:val="Default"/>
        <w:framePr w:w="828" w:wrap="auto" w:vAnchor="page" w:hAnchor="page" w:x="5708" w:y="15248"/>
        <w:rPr>
          <w:rFonts w:ascii="DIN" w:hAnsi="DIN" w:cs="DIN"/>
          <w:color w:val="6B6D6F"/>
          <w:sz w:val="47"/>
          <w:szCs w:val="47"/>
        </w:rPr>
      </w:pPr>
      <w:r>
        <w:rPr>
          <w:rFonts w:ascii="DIN" w:hAnsi="DIN" w:cs="DIN"/>
          <w:noProof/>
          <w:color w:val="6B6D6F"/>
          <w:sz w:val="47"/>
          <w:szCs w:val="47"/>
        </w:rPr>
        <w:drawing>
          <wp:inline distT="0" distB="0" distL="0" distR="0" wp14:anchorId="751A849A" wp14:editId="155DF5B8">
            <wp:extent cx="11430" cy="1143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21ABB0BF" w14:textId="77777777" w:rsidR="00541A14" w:rsidRDefault="00DD420F">
      <w:pPr>
        <w:pStyle w:val="Default"/>
        <w:framePr w:w="828" w:wrap="auto" w:vAnchor="page" w:hAnchor="page" w:x="6151" w:y="15377"/>
        <w:spacing w:after="940"/>
        <w:rPr>
          <w:rFonts w:ascii="DIN" w:hAnsi="DIN" w:cs="DIN"/>
          <w:color w:val="6B6D6F"/>
          <w:sz w:val="47"/>
          <w:szCs w:val="47"/>
        </w:rPr>
      </w:pPr>
      <w:r>
        <w:rPr>
          <w:rFonts w:ascii="DIN" w:hAnsi="DIN" w:cs="DIN"/>
          <w:noProof/>
          <w:color w:val="6B6D6F"/>
          <w:sz w:val="47"/>
          <w:szCs w:val="47"/>
        </w:rPr>
        <w:drawing>
          <wp:inline distT="0" distB="0" distL="0" distR="0" wp14:anchorId="50A84B5D" wp14:editId="63601F7A">
            <wp:extent cx="11430" cy="1143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52A85871" w14:textId="77777777" w:rsidR="00541A14" w:rsidRDefault="00DD420F">
      <w:pPr>
        <w:pStyle w:val="Default"/>
        <w:framePr w:w="10730" w:wrap="auto" w:vAnchor="page" w:hAnchor="page" w:x="608" w:y="16318"/>
        <w:rPr>
          <w:rFonts w:ascii="DIN" w:hAnsi="DIN" w:cs="DIN"/>
          <w:color w:val="6B6D6F"/>
          <w:sz w:val="47"/>
          <w:szCs w:val="47"/>
        </w:rPr>
      </w:pPr>
      <w:r>
        <w:rPr>
          <w:rFonts w:ascii="DIN" w:hAnsi="DIN" w:cs="DIN"/>
          <w:noProof/>
          <w:color w:val="6B6D6F"/>
          <w:sz w:val="47"/>
          <w:szCs w:val="47"/>
        </w:rPr>
        <w:drawing>
          <wp:inline distT="0" distB="0" distL="0" distR="0" wp14:anchorId="79A46C59" wp14:editId="33DD9B27">
            <wp:extent cx="7553960" cy="39179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1F55C4B7" w14:textId="77777777" w:rsidR="00541A14" w:rsidRDefault="00DD420F">
      <w:pPr>
        <w:pStyle w:val="Default"/>
        <w:pageBreakBefore/>
        <w:framePr w:w="828" w:wrap="auto" w:vAnchor="page" w:hAnchor="page" w:x="5978" w:y="15149"/>
        <w:spacing w:after="340"/>
        <w:rPr>
          <w:rFonts w:ascii="DIN" w:hAnsi="DIN" w:cs="DIN"/>
          <w:color w:val="6B6D6F"/>
          <w:sz w:val="47"/>
          <w:szCs w:val="47"/>
        </w:rPr>
      </w:pPr>
      <w:r>
        <w:rPr>
          <w:rFonts w:ascii="DIN" w:hAnsi="DIN" w:cs="DIN"/>
          <w:noProof/>
          <w:color w:val="6B6D6F"/>
          <w:sz w:val="47"/>
          <w:szCs w:val="47"/>
        </w:rPr>
        <w:drawing>
          <wp:inline distT="0" distB="0" distL="0" distR="0" wp14:anchorId="5795F4B8" wp14:editId="2EDA109C">
            <wp:extent cx="11430" cy="1143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386855E8" w14:textId="77777777" w:rsidR="00541A14" w:rsidRDefault="00DD420F">
      <w:pPr>
        <w:pStyle w:val="CM195"/>
        <w:spacing w:after="353"/>
        <w:rPr>
          <w:rFonts w:ascii="DIN" w:hAnsi="DIN" w:cs="DIN"/>
          <w:color w:val="000000"/>
          <w:sz w:val="15"/>
          <w:szCs w:val="15"/>
        </w:rPr>
      </w:pPr>
      <w:r>
        <w:rPr>
          <w:rFonts w:ascii="DIN" w:hAnsi="DIN" w:cs="DIN"/>
          <w:noProof/>
          <w:color w:val="6B6D6F"/>
          <w:sz w:val="47"/>
          <w:szCs w:val="47"/>
        </w:rPr>
        <w:drawing>
          <wp:inline distT="0" distB="0" distL="0" distR="0" wp14:anchorId="7EBBFB5F" wp14:editId="0CA76F64">
            <wp:extent cx="318135" cy="215900"/>
            <wp:effectExtent l="0" t="0" r="12065" b="1270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318135" cy="215900"/>
                    </a:xfrm>
                    <a:prstGeom prst="rect">
                      <a:avLst/>
                    </a:prstGeom>
                    <a:noFill/>
                    <a:ln>
                      <a:noFill/>
                    </a:ln>
                  </pic:spPr>
                </pic:pic>
              </a:graphicData>
            </a:graphic>
          </wp:inline>
        </w:drawing>
      </w:r>
      <w:r w:rsidR="00A450E1">
        <w:rPr>
          <w:rFonts w:ascii="DIN" w:hAnsi="DIN" w:cs="DIN"/>
          <w:color w:val="000000"/>
          <w:sz w:val="15"/>
          <w:szCs w:val="15"/>
        </w:rPr>
        <w:t xml:space="preserve">International Association </w:t>
      </w:r>
    </w:p>
    <w:p w14:paraId="15B46C51" w14:textId="77777777" w:rsidR="00541A14" w:rsidRDefault="00A450E1">
      <w:pPr>
        <w:pStyle w:val="CM163"/>
        <w:spacing w:after="642"/>
        <w:ind w:left="1567"/>
        <w:rPr>
          <w:rFonts w:ascii="DIN" w:hAnsi="DIN" w:cs="DIN"/>
          <w:color w:val="000000"/>
          <w:sz w:val="15"/>
          <w:szCs w:val="15"/>
        </w:rPr>
      </w:pPr>
      <w:r>
        <w:rPr>
          <w:rFonts w:ascii="DIN" w:hAnsi="DIN" w:cs="DIN"/>
          <w:color w:val="000000"/>
          <w:sz w:val="15"/>
          <w:szCs w:val="15"/>
        </w:rPr>
        <w:t xml:space="preserve">of Marine Aids to Navigation and Lighthouse Authorities </w:t>
      </w:r>
    </w:p>
    <w:p w14:paraId="45AC1A65" w14:textId="77777777" w:rsidR="00541A14" w:rsidRDefault="00DD420F">
      <w:pPr>
        <w:pStyle w:val="Default"/>
        <w:framePr w:w="10739" w:wrap="auto" w:vAnchor="page" w:hAnchor="page" w:x="1434" w:y="16318"/>
        <w:rPr>
          <w:rFonts w:ascii="DIN" w:hAnsi="DIN" w:cs="DIN"/>
          <w:sz w:val="15"/>
          <w:szCs w:val="15"/>
        </w:rPr>
      </w:pPr>
      <w:r>
        <w:rPr>
          <w:rFonts w:ascii="DIN" w:hAnsi="DIN" w:cs="DIN"/>
          <w:noProof/>
          <w:sz w:val="15"/>
          <w:szCs w:val="15"/>
        </w:rPr>
        <w:drawing>
          <wp:inline distT="0" distB="0" distL="0" distR="0" wp14:anchorId="0E68F6D2" wp14:editId="6BD17F33">
            <wp:extent cx="7542530" cy="391795"/>
            <wp:effectExtent l="0" t="0" r="127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767D6CA7" w14:textId="77777777" w:rsidR="00541A14" w:rsidRDefault="00A450E1">
      <w:pPr>
        <w:pStyle w:val="CM189"/>
        <w:pageBreakBefore/>
        <w:spacing w:after="5595"/>
        <w:rPr>
          <w:rFonts w:ascii="DIN" w:hAnsi="DIN" w:cs="DIN"/>
          <w:color w:val="EC1B22"/>
          <w:sz w:val="23"/>
          <w:szCs w:val="23"/>
        </w:rPr>
      </w:pPr>
      <w:r>
        <w:rPr>
          <w:rFonts w:ascii="DIN" w:hAnsi="DIN" w:cs="DIN"/>
          <w:b/>
          <w:bCs/>
          <w:color w:val="EC1B22"/>
          <w:sz w:val="23"/>
          <w:szCs w:val="23"/>
        </w:rPr>
        <w:t xml:space="preserve">4. ISOLATED DANGER MARKS </w:t>
      </w:r>
    </w:p>
    <w:p w14:paraId="44BE4C50" w14:textId="77777777" w:rsidR="00541A14" w:rsidRDefault="00A450E1">
      <w:pPr>
        <w:pStyle w:val="CM178"/>
        <w:spacing w:after="1397" w:line="268" w:lineRule="atLeast"/>
        <w:ind w:left="302" w:hanging="303"/>
        <w:rPr>
          <w:rFonts w:ascii="DIN" w:hAnsi="DIN" w:cs="DIN"/>
          <w:color w:val="000000"/>
          <w:sz w:val="18"/>
          <w:szCs w:val="18"/>
        </w:rPr>
      </w:pPr>
      <w:r>
        <w:rPr>
          <w:rFonts w:ascii="DIN" w:hAnsi="DIN" w:cs="DIN"/>
          <w:b/>
          <w:bCs/>
          <w:color w:val="EC1B22"/>
          <w:sz w:val="18"/>
          <w:szCs w:val="18"/>
        </w:rPr>
        <w:t xml:space="preserve">4.1 Definition of Isolated Danger Marks </w:t>
      </w:r>
      <w:r>
        <w:rPr>
          <w:rFonts w:ascii="DIN" w:hAnsi="DIN" w:cs="DIN"/>
          <w:color w:val="000000"/>
          <w:sz w:val="18"/>
          <w:szCs w:val="18"/>
        </w:rPr>
        <w:t xml:space="preserve">An isolated Danger mark is a mark erected on, or moored on or above, an isolated danger which has navigable water all around it. </w:t>
      </w:r>
    </w:p>
    <w:p w14:paraId="53826676" w14:textId="77777777" w:rsidR="00541A14" w:rsidRDefault="00A450E1">
      <w:pPr>
        <w:pStyle w:val="CM173"/>
        <w:spacing w:after="340" w:line="251" w:lineRule="atLeast"/>
        <w:rPr>
          <w:rFonts w:ascii="DIN" w:hAnsi="DIN" w:cs="DIN"/>
          <w:color w:val="EC1B22"/>
          <w:sz w:val="18"/>
          <w:szCs w:val="18"/>
        </w:rPr>
      </w:pPr>
      <w:r>
        <w:rPr>
          <w:rFonts w:ascii="DIN" w:hAnsi="DIN" w:cs="DIN"/>
          <w:b/>
          <w:bCs/>
          <w:color w:val="EC1B22"/>
          <w:sz w:val="18"/>
          <w:szCs w:val="18"/>
        </w:rPr>
        <w:t xml:space="preserve">4.2 Description of Isolated Danger Marks </w:t>
      </w:r>
    </w:p>
    <w:p w14:paraId="4CA1AF0F" w14:textId="77777777" w:rsidR="00541A14" w:rsidRDefault="00A450E1">
      <w:pPr>
        <w:pStyle w:val="CM189"/>
        <w:spacing w:after="5595"/>
        <w:rPr>
          <w:rFonts w:ascii="DIN" w:hAnsi="DIN" w:cs="DIN"/>
          <w:color w:val="EC1B22"/>
          <w:sz w:val="23"/>
          <w:szCs w:val="23"/>
        </w:rPr>
      </w:pPr>
      <w:r>
        <w:rPr>
          <w:rFonts w:ascii="DIN" w:hAnsi="DIN" w:cs="DIN"/>
          <w:b/>
          <w:bCs/>
          <w:color w:val="EC1B22"/>
          <w:sz w:val="23"/>
          <w:szCs w:val="23"/>
        </w:rPr>
        <w:t xml:space="preserve">5. SAFE WATER MARKS </w:t>
      </w:r>
    </w:p>
    <w:p w14:paraId="71C5A564" w14:textId="77777777" w:rsidR="00541A14" w:rsidRDefault="00A450E1">
      <w:pPr>
        <w:pStyle w:val="CM174"/>
        <w:spacing w:after="437" w:line="268" w:lineRule="atLeast"/>
        <w:ind w:left="302"/>
        <w:rPr>
          <w:rFonts w:ascii="DIN" w:hAnsi="DIN" w:cs="DIN"/>
          <w:color w:val="000000"/>
          <w:sz w:val="18"/>
          <w:szCs w:val="18"/>
        </w:rPr>
      </w:pPr>
      <w:r>
        <w:rPr>
          <w:rFonts w:ascii="DIN" w:hAnsi="DIN" w:cs="DIN"/>
          <w:b/>
          <w:bCs/>
          <w:color w:val="EC1B22"/>
          <w:sz w:val="18"/>
          <w:szCs w:val="18"/>
        </w:rPr>
        <w:t xml:space="preserve">5.1 Definition of Safe Water Marks </w:t>
      </w:r>
      <w:r>
        <w:rPr>
          <w:rFonts w:ascii="DIN" w:hAnsi="DIN" w:cs="DIN"/>
          <w:color w:val="000000"/>
          <w:sz w:val="18"/>
          <w:szCs w:val="18"/>
        </w:rPr>
        <w:t xml:space="preserve">Safe Water marks serve to indicate that there is navigable water all round the mark. These include centre line marks and mid-channel marks. Such a mark may also be used to indicate channel entrance, port or estuary approach, or landfall. The light rhythm may also be used to indicate best point of passage under bridges. </w:t>
      </w:r>
    </w:p>
    <w:p w14:paraId="4666F074" w14:textId="77777777" w:rsidR="00541A14" w:rsidRDefault="00A450E1">
      <w:pPr>
        <w:pStyle w:val="CM173"/>
        <w:spacing w:after="340" w:line="251" w:lineRule="atLeast"/>
        <w:rPr>
          <w:rFonts w:ascii="DIN" w:hAnsi="DIN" w:cs="DIN"/>
          <w:color w:val="EC1B22"/>
          <w:sz w:val="18"/>
          <w:szCs w:val="18"/>
        </w:rPr>
      </w:pPr>
      <w:r>
        <w:rPr>
          <w:rFonts w:ascii="DIN" w:hAnsi="DIN" w:cs="DIN"/>
          <w:b/>
          <w:bCs/>
          <w:color w:val="EC1B22"/>
          <w:sz w:val="18"/>
          <w:szCs w:val="18"/>
        </w:rPr>
        <w:t xml:space="preserve">5.2 Description of Safe Water Marks </w:t>
      </w:r>
    </w:p>
    <w:p w14:paraId="7623672E"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702272" behindDoc="0" locked="0" layoutInCell="0" allowOverlap="1" wp14:anchorId="5F09A81C" wp14:editId="10831942">
                <wp:simplePos x="0" y="0"/>
                <wp:positionH relativeFrom="page">
                  <wp:posOffset>840105</wp:posOffset>
                </wp:positionH>
                <wp:positionV relativeFrom="page">
                  <wp:posOffset>6650990</wp:posOffset>
                </wp:positionV>
                <wp:extent cx="3256915" cy="2347595"/>
                <wp:effectExtent l="0" t="0" r="0" b="0"/>
                <wp:wrapThrough wrapText="bothSides">
                  <wp:wrapPolygon edited="0">
                    <wp:start x="0" y="0"/>
                    <wp:lineTo x="21600" y="0"/>
                    <wp:lineTo x="21600" y="21600"/>
                    <wp:lineTo x="0" y="21600"/>
                    <wp:lineTo x="0" y="0"/>
                  </wp:wrapPolygon>
                </wp:wrapThrough>
                <wp:docPr id="513"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6915" cy="2347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967"/>
                              <w:gridCol w:w="2362"/>
                            </w:tblGrid>
                            <w:tr w:rsidR="00541A14" w14:paraId="73608634" w14:textId="77777777">
                              <w:trPr>
                                <w:trHeight w:val="1147"/>
                              </w:trPr>
                              <w:tc>
                                <w:tcPr>
                                  <w:tcW w:w="1967" w:type="dxa"/>
                                  <w:tcBorders>
                                    <w:top w:val="single" w:sz="2" w:space="0" w:color="EC1B22"/>
                                    <w:left w:val="single" w:sz="2" w:space="0" w:color="EC1B22"/>
                                    <w:bottom w:val="single" w:sz="2" w:space="0" w:color="EC1B22"/>
                                    <w:right w:val="single" w:sz="2" w:space="0" w:color="EC1B22"/>
                                  </w:tcBorders>
                                  <w:vAlign w:val="center"/>
                                </w:tcPr>
                                <w:p w14:paraId="0B253C06" w14:textId="77777777" w:rsidR="00541A14" w:rsidRDefault="00A450E1">
                                  <w:pPr>
                                    <w:pStyle w:val="Default"/>
                                    <w:rPr>
                                      <w:rFonts w:ascii="DIN" w:hAnsi="DIN" w:cs="DIN"/>
                                      <w:sz w:val="8"/>
                                      <w:szCs w:val="8"/>
                                    </w:rPr>
                                  </w:pPr>
                                  <w:r>
                                    <w:rPr>
                                      <w:rFonts w:ascii="DIN" w:hAnsi="DIN" w:cs="DIN"/>
                                      <w:b/>
                                      <w:bCs/>
                                      <w:sz w:val="17"/>
                                      <w:szCs w:val="17"/>
                                    </w:rPr>
                                    <w:t xml:space="preserve">Colour Shape of buoy Top-mark </w:t>
                                  </w:r>
                                  <w:r>
                                    <w:rPr>
                                      <w:rFonts w:ascii="DIN" w:hAnsi="DIN" w:cs="DIN"/>
                                      <w:b/>
                                      <w:bCs/>
                                      <w:sz w:val="8"/>
                                      <w:szCs w:val="8"/>
                                    </w:rPr>
                                    <w:t xml:space="preserve">(b) </w:t>
                                  </w:r>
                                </w:p>
                              </w:tc>
                              <w:tc>
                                <w:tcPr>
                                  <w:tcW w:w="2362" w:type="dxa"/>
                                  <w:tcBorders>
                                    <w:top w:val="single" w:sz="2" w:space="0" w:color="EC1B22"/>
                                    <w:left w:val="single" w:sz="2" w:space="0" w:color="EC1B22"/>
                                    <w:bottom w:val="single" w:sz="2" w:space="0" w:color="EC1B22"/>
                                    <w:right w:val="single" w:sz="2" w:space="0" w:color="EC1B22"/>
                                  </w:tcBorders>
                                </w:tcPr>
                                <w:p w14:paraId="2E7C589F" w14:textId="77777777" w:rsidR="00541A14" w:rsidRDefault="00A450E1">
                                  <w:pPr>
                                    <w:pStyle w:val="Default"/>
                                    <w:rPr>
                                      <w:rFonts w:ascii="DIN" w:hAnsi="DIN" w:cs="DIN"/>
                                      <w:sz w:val="17"/>
                                      <w:szCs w:val="17"/>
                                    </w:rPr>
                                  </w:pPr>
                                  <w:r>
                                    <w:rPr>
                                      <w:rFonts w:ascii="DIN" w:hAnsi="DIN" w:cs="DIN"/>
                                      <w:b/>
                                      <w:bCs/>
                                      <w:color w:val="FFFFFF"/>
                                      <w:sz w:val="18"/>
                                      <w:szCs w:val="18"/>
                                    </w:rPr>
                                    <w:t xml:space="preserve">Description </w:t>
                                  </w:r>
                                  <w:r>
                                    <w:rPr>
                                      <w:rFonts w:ascii="DIN" w:hAnsi="DIN" w:cs="DIN"/>
                                      <w:sz w:val="17"/>
                                      <w:szCs w:val="17"/>
                                    </w:rPr>
                                    <w:t xml:space="preserve">Black with one or more broad horizontal red bands Optional, but not conflicting with lateral marks; pillar or spar preferred Two black spheres, one above the other </w:t>
                                  </w:r>
                                </w:p>
                              </w:tc>
                            </w:tr>
                            <w:tr w:rsidR="00541A14" w14:paraId="687A6284" w14:textId="77777777">
                              <w:trPr>
                                <w:trHeight w:val="147"/>
                              </w:trPr>
                              <w:tc>
                                <w:tcPr>
                                  <w:tcW w:w="1967" w:type="dxa"/>
                                  <w:tcBorders>
                                    <w:top w:val="single" w:sz="2" w:space="0" w:color="EC1B22"/>
                                    <w:left w:val="single" w:sz="2" w:space="0" w:color="EC1B22"/>
                                    <w:bottom w:val="single" w:sz="2" w:space="0" w:color="EC1B22"/>
                                  </w:tcBorders>
                                  <w:vAlign w:val="center"/>
                                </w:tcPr>
                                <w:p w14:paraId="59096CCE" w14:textId="77777777" w:rsidR="00541A14"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w:t>
                                  </w:r>
                                </w:p>
                              </w:tc>
                              <w:tc>
                                <w:tcPr>
                                  <w:tcW w:w="2362" w:type="dxa"/>
                                  <w:tcBorders>
                                    <w:top w:val="single" w:sz="2" w:space="0" w:color="EC1B22"/>
                                    <w:bottom w:val="single" w:sz="2" w:space="0" w:color="EC1B22"/>
                                    <w:right w:val="single" w:sz="2" w:space="0" w:color="EC1B22"/>
                                  </w:tcBorders>
                                </w:tcPr>
                                <w:p w14:paraId="599FF4AC" w14:textId="77777777" w:rsidR="00541A14" w:rsidRDefault="00541A14">
                                  <w:pPr>
                                    <w:pStyle w:val="Default"/>
                                    <w:rPr>
                                      <w:rFonts w:cs="Times New Roman"/>
                                      <w:color w:val="auto"/>
                                    </w:rPr>
                                  </w:pPr>
                                </w:p>
                              </w:tc>
                            </w:tr>
                            <w:tr w:rsidR="00541A14" w14:paraId="4B7CAAF0" w14:textId="77777777">
                              <w:trPr>
                                <w:trHeight w:val="143"/>
                              </w:trPr>
                              <w:tc>
                                <w:tcPr>
                                  <w:tcW w:w="1967" w:type="dxa"/>
                                  <w:tcBorders>
                                    <w:top w:val="single" w:sz="2" w:space="0" w:color="EC1B22"/>
                                    <w:left w:val="single" w:sz="2" w:space="0" w:color="EC1B22"/>
                                    <w:right w:val="single" w:sz="2" w:space="0" w:color="EC1B22"/>
                                  </w:tcBorders>
                                  <w:shd w:val="clear" w:color="auto" w:fill="FCE2D7"/>
                                  <w:vAlign w:val="center"/>
                                </w:tcPr>
                                <w:p w14:paraId="3A2261B5" w14:textId="77777777" w:rsidR="00541A14" w:rsidRDefault="00A450E1">
                                  <w:pPr>
                                    <w:pStyle w:val="Default"/>
                                    <w:rPr>
                                      <w:rFonts w:ascii="DIN" w:hAnsi="DIN" w:cs="DIN"/>
                                      <w:sz w:val="17"/>
                                      <w:szCs w:val="17"/>
                                    </w:rPr>
                                  </w:pPr>
                                  <w:r>
                                    <w:rPr>
                                      <w:rFonts w:ascii="DIN" w:hAnsi="DIN" w:cs="DIN"/>
                                      <w:sz w:val="17"/>
                                      <w:szCs w:val="17"/>
                                    </w:rPr>
                                    <w:t xml:space="preserve">Colour </w:t>
                                  </w:r>
                                </w:p>
                              </w:tc>
                              <w:tc>
                                <w:tcPr>
                                  <w:tcW w:w="2362" w:type="dxa"/>
                                  <w:tcBorders>
                                    <w:top w:val="single" w:sz="2" w:space="0" w:color="EC1B22"/>
                                    <w:left w:val="single" w:sz="2" w:space="0" w:color="EC1B22"/>
                                    <w:right w:val="single" w:sz="2" w:space="0" w:color="EC1B22"/>
                                  </w:tcBorders>
                                  <w:shd w:val="clear" w:color="auto" w:fill="FCE2D7"/>
                                  <w:vAlign w:val="center"/>
                                </w:tcPr>
                                <w:p w14:paraId="540B2AFA" w14:textId="77777777" w:rsidR="00541A14" w:rsidRDefault="00A450E1">
                                  <w:pPr>
                                    <w:pStyle w:val="Default"/>
                                    <w:rPr>
                                      <w:rFonts w:ascii="DIN" w:hAnsi="DIN" w:cs="DIN"/>
                                      <w:sz w:val="17"/>
                                      <w:szCs w:val="17"/>
                                    </w:rPr>
                                  </w:pPr>
                                  <w:r>
                                    <w:rPr>
                                      <w:rFonts w:ascii="DIN" w:hAnsi="DIN" w:cs="DIN"/>
                                      <w:sz w:val="17"/>
                                      <w:szCs w:val="17"/>
                                    </w:rPr>
                                    <w:t xml:space="preserve">White </w:t>
                                  </w:r>
                                </w:p>
                              </w:tc>
                            </w:tr>
                            <w:tr w:rsidR="00541A14" w14:paraId="1C10A29A" w14:textId="77777777">
                              <w:trPr>
                                <w:trHeight w:val="160"/>
                              </w:trPr>
                              <w:tc>
                                <w:tcPr>
                                  <w:tcW w:w="1967" w:type="dxa"/>
                                  <w:tcBorders>
                                    <w:left w:val="single" w:sz="2" w:space="0" w:color="EC1B22"/>
                                    <w:bottom w:val="single" w:sz="2" w:space="0" w:color="EC1B22"/>
                                    <w:right w:val="single" w:sz="2" w:space="0" w:color="EC1B22"/>
                                  </w:tcBorders>
                                  <w:vAlign w:val="center"/>
                                </w:tcPr>
                                <w:p w14:paraId="08B6852B" w14:textId="77777777" w:rsidR="00541A14" w:rsidRDefault="00A450E1">
                                  <w:pPr>
                                    <w:pStyle w:val="Default"/>
                                    <w:rPr>
                                      <w:rFonts w:ascii="DIN" w:hAnsi="DIN" w:cs="DIN"/>
                                      <w:sz w:val="17"/>
                                      <w:szCs w:val="17"/>
                                    </w:rPr>
                                  </w:pPr>
                                  <w:r>
                                    <w:rPr>
                                      <w:rFonts w:ascii="DIN" w:hAnsi="DIN" w:cs="DIN"/>
                                      <w:sz w:val="17"/>
                                      <w:szCs w:val="17"/>
                                    </w:rPr>
                                    <w:t xml:space="preserve">Rhythm </w:t>
                                  </w:r>
                                </w:p>
                              </w:tc>
                              <w:tc>
                                <w:tcPr>
                                  <w:tcW w:w="2362" w:type="dxa"/>
                                  <w:tcBorders>
                                    <w:left w:val="single" w:sz="2" w:space="0" w:color="EC1B22"/>
                                    <w:bottom w:val="single" w:sz="2" w:space="0" w:color="EC1B22"/>
                                    <w:right w:val="single" w:sz="2" w:space="0" w:color="EC1B22"/>
                                  </w:tcBorders>
                                  <w:vAlign w:val="center"/>
                                </w:tcPr>
                                <w:p w14:paraId="5D1F7D23" w14:textId="77777777" w:rsidR="00541A14" w:rsidRDefault="00A450E1">
                                  <w:pPr>
                                    <w:pStyle w:val="Default"/>
                                    <w:rPr>
                                      <w:rFonts w:ascii="DIN" w:hAnsi="DIN" w:cs="DIN"/>
                                      <w:sz w:val="17"/>
                                      <w:szCs w:val="17"/>
                                    </w:rPr>
                                  </w:pPr>
                                  <w:r>
                                    <w:rPr>
                                      <w:rFonts w:ascii="DIN" w:hAnsi="DIN" w:cs="DIN"/>
                                      <w:sz w:val="17"/>
                                      <w:szCs w:val="17"/>
                                    </w:rPr>
                                    <w:t xml:space="preserve">Group flashing (2) </w:t>
                                  </w:r>
                                </w:p>
                              </w:tc>
                            </w:tr>
                          </w:tbl>
                          <w:p w14:paraId="43120C0D"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69" type="#_x0000_t202" style="position:absolute;margin-left:66.15pt;margin-top:523.7pt;width:256.45pt;height:184.8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33"/>
                        <w:gridCol w:w="492"/>
                        <w:gridCol w:w="20"/>
                        <w:gridCol w:w="2297"/>
                        <w:gridCol w:w="5"/>
                        <w:gridCol w:w="5"/>
                        <w:gridCol w:w="12"/>
                        <w:gridCol w:w="47"/>
                      </w:tblGrid>
                      <w:tr w:rsidR="00000000" w14:paraId="73608634" w14:textId="77777777">
                        <w:tblPrEx>
                          <w:tblCellMar>
                            <w:top w:w="0" w:type="dxa"/>
                            <w:bottom w:w="0" w:type="dxa"/>
                          </w:tblCellMar>
                        </w:tblPrEx>
                        <w:trPr>
                          <w:wAfter w:w="2378" w:type="dxa"/>
                          <w:trHeight w:val="1147"/>
                        </w:trPr>
                        <w:tc>
                          <w:tcPr>
                            <w:tcW w:w="1967" w:type="dxa"/>
                            <w:gridSpan w:val="4"/>
                            <w:tcBorders>
                              <w:top w:val="single" w:sz="2" w:space="0" w:color="EC1B22"/>
                              <w:left w:val="single" w:sz="2" w:space="0" w:color="EC1B22"/>
                              <w:bottom w:val="single" w:sz="2" w:space="0" w:color="EC1B22"/>
                              <w:right w:val="single" w:sz="2" w:space="0" w:color="EC1B22"/>
                            </w:tcBorders>
                            <w:vAlign w:val="center"/>
                          </w:tcPr>
                          <w:p w14:paraId="0B253C06" w14:textId="77777777" w:rsidR="00000000" w:rsidRDefault="00A450E1">
                            <w:pPr>
                              <w:pStyle w:val="Default"/>
                              <w:rPr>
                                <w:rFonts w:ascii="DIN" w:hAnsi="DIN" w:cs="DIN"/>
                                <w:sz w:val="8"/>
                                <w:szCs w:val="8"/>
                              </w:rPr>
                            </w:pPr>
                            <w:r>
                              <w:rPr>
                                <w:rFonts w:ascii="DIN" w:hAnsi="DIN" w:cs="DIN"/>
                                <w:b/>
                                <w:bCs/>
                                <w:sz w:val="17"/>
                                <w:szCs w:val="17"/>
                              </w:rPr>
                              <w:t xml:space="preserve">Colour Shape of buoy Top-mark </w:t>
                            </w:r>
                            <w:r>
                              <w:rPr>
                                <w:rFonts w:ascii="DIN" w:hAnsi="DIN" w:cs="DIN"/>
                                <w:b/>
                                <w:bCs/>
                                <w:sz w:val="8"/>
                                <w:szCs w:val="8"/>
                              </w:rPr>
                              <w:t xml:space="preserve">(b) </w:t>
                            </w:r>
                          </w:p>
                        </w:tc>
                        <w:tc>
                          <w:tcPr>
                            <w:tcW w:w="2362" w:type="dxa"/>
                            <w:gridSpan w:val="5"/>
                            <w:tcBorders>
                              <w:top w:val="single" w:sz="2" w:space="0" w:color="EC1B22"/>
                              <w:left w:val="single" w:sz="2" w:space="0" w:color="EC1B22"/>
                              <w:bottom w:val="single" w:sz="2" w:space="0" w:color="EC1B22"/>
                              <w:right w:val="single" w:sz="2" w:space="0" w:color="EC1B22"/>
                            </w:tcBorders>
                          </w:tcPr>
                          <w:p w14:paraId="2E7C589F" w14:textId="77777777" w:rsidR="00000000" w:rsidRDefault="00A450E1">
                            <w:pPr>
                              <w:pStyle w:val="Default"/>
                              <w:rPr>
                                <w:rFonts w:ascii="DIN" w:hAnsi="DIN" w:cs="DIN"/>
                                <w:sz w:val="17"/>
                                <w:szCs w:val="17"/>
                              </w:rPr>
                            </w:pPr>
                            <w:r>
                              <w:rPr>
                                <w:rFonts w:ascii="DIN" w:hAnsi="DIN" w:cs="DIN"/>
                                <w:b/>
                                <w:bCs/>
                                <w:color w:val="FFFFFF"/>
                                <w:sz w:val="18"/>
                                <w:szCs w:val="18"/>
                              </w:rPr>
                              <w:t xml:space="preserve">Description </w:t>
                            </w:r>
                            <w:r>
                              <w:rPr>
                                <w:rFonts w:ascii="DIN" w:hAnsi="DIN" w:cs="DIN"/>
                                <w:sz w:val="17"/>
                                <w:szCs w:val="17"/>
                              </w:rPr>
                              <w:t>Black with one or more broad horizontal red bands Optional, but not conflicting with lateral marks; pillar</w:t>
                            </w:r>
                            <w:r>
                              <w:rPr>
                                <w:rFonts w:ascii="DIN" w:hAnsi="DIN" w:cs="DIN"/>
                                <w:sz w:val="17"/>
                                <w:szCs w:val="17"/>
                              </w:rPr>
                              <w:t xml:space="preserve"> or spar preferred Two black spheres, one above the other </w:t>
                            </w:r>
                          </w:p>
                        </w:tc>
                      </w:tr>
                      <w:tr w:rsidR="00000000" w14:paraId="687A6284" w14:textId="77777777">
                        <w:tblPrEx>
                          <w:tblCellMar>
                            <w:top w:w="0" w:type="dxa"/>
                            <w:bottom w:w="0" w:type="dxa"/>
                          </w:tblCellMar>
                        </w:tblPrEx>
                        <w:trPr>
                          <w:wAfter w:w="2378" w:type="dxa"/>
                          <w:trHeight w:val="147"/>
                        </w:trPr>
                        <w:tc>
                          <w:tcPr>
                            <w:tcW w:w="1967" w:type="dxa"/>
                            <w:gridSpan w:val="4"/>
                            <w:tcBorders>
                              <w:top w:val="single" w:sz="2" w:space="0" w:color="EC1B22"/>
                              <w:left w:val="single" w:sz="2" w:space="0" w:color="EC1B22"/>
                              <w:bottom w:val="single" w:sz="2" w:space="0" w:color="EC1B22"/>
                            </w:tcBorders>
                            <w:vAlign w:val="center"/>
                          </w:tcPr>
                          <w:p w14:paraId="59096CCE" w14:textId="77777777" w:rsidR="00000000"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w:t>
                            </w:r>
                          </w:p>
                        </w:tc>
                        <w:tc>
                          <w:tcPr>
                            <w:tcW w:w="2362" w:type="dxa"/>
                            <w:gridSpan w:val="5"/>
                            <w:tcBorders>
                              <w:top w:val="single" w:sz="2" w:space="0" w:color="EC1B22"/>
                              <w:bottom w:val="single" w:sz="2" w:space="0" w:color="EC1B22"/>
                              <w:right w:val="single" w:sz="2" w:space="0" w:color="EC1B22"/>
                            </w:tcBorders>
                          </w:tcPr>
                          <w:p w14:paraId="599FF4AC" w14:textId="77777777" w:rsidR="00000000" w:rsidRDefault="00A450E1">
                            <w:pPr>
                              <w:pStyle w:val="Default"/>
                              <w:rPr>
                                <w:rFonts w:cs="Times New Roman"/>
                                <w:color w:val="auto"/>
                              </w:rPr>
                            </w:pPr>
                          </w:p>
                        </w:tc>
                      </w:tr>
                      <w:tr w:rsidR="00000000" w14:paraId="4B7CAAF0" w14:textId="77777777">
                        <w:tblPrEx>
                          <w:tblCellMar>
                            <w:top w:w="0" w:type="dxa"/>
                            <w:bottom w:w="0" w:type="dxa"/>
                          </w:tblCellMar>
                        </w:tblPrEx>
                        <w:trPr>
                          <w:wAfter w:w="2378" w:type="dxa"/>
                          <w:trHeight w:val="143"/>
                        </w:trPr>
                        <w:tc>
                          <w:tcPr>
                            <w:tcW w:w="1967" w:type="dxa"/>
                            <w:gridSpan w:val="4"/>
                            <w:tcBorders>
                              <w:top w:val="single" w:sz="2" w:space="0" w:color="EC1B22"/>
                              <w:left w:val="single" w:sz="2" w:space="0" w:color="EC1B22"/>
                              <w:right w:val="single" w:sz="2" w:space="0" w:color="EC1B22"/>
                            </w:tcBorders>
                            <w:shd w:val="clear" w:color="auto" w:fill="FCE2D7"/>
                            <w:vAlign w:val="center"/>
                          </w:tcPr>
                          <w:p w14:paraId="3A2261B5" w14:textId="77777777" w:rsidR="00000000" w:rsidRDefault="00A450E1">
                            <w:pPr>
                              <w:pStyle w:val="Default"/>
                              <w:rPr>
                                <w:rFonts w:ascii="DIN" w:hAnsi="DIN" w:cs="DIN"/>
                                <w:sz w:val="17"/>
                                <w:szCs w:val="17"/>
                              </w:rPr>
                            </w:pPr>
                            <w:r>
                              <w:rPr>
                                <w:rFonts w:ascii="DIN" w:hAnsi="DIN" w:cs="DIN"/>
                                <w:sz w:val="17"/>
                                <w:szCs w:val="17"/>
                              </w:rPr>
                              <w:t xml:space="preserve">Colour </w:t>
                            </w:r>
                          </w:p>
                        </w:tc>
                        <w:tc>
                          <w:tcPr>
                            <w:tcW w:w="2362" w:type="dxa"/>
                            <w:gridSpan w:val="5"/>
                            <w:tcBorders>
                              <w:top w:val="single" w:sz="2" w:space="0" w:color="EC1B22"/>
                              <w:left w:val="single" w:sz="2" w:space="0" w:color="EC1B22"/>
                              <w:right w:val="single" w:sz="2" w:space="0" w:color="EC1B22"/>
                            </w:tcBorders>
                            <w:shd w:val="clear" w:color="auto" w:fill="FCE2D7"/>
                            <w:vAlign w:val="center"/>
                          </w:tcPr>
                          <w:p w14:paraId="540B2AFA" w14:textId="77777777" w:rsidR="00000000" w:rsidRDefault="00A450E1">
                            <w:pPr>
                              <w:pStyle w:val="Default"/>
                              <w:rPr>
                                <w:rFonts w:ascii="DIN" w:hAnsi="DIN" w:cs="DIN"/>
                                <w:sz w:val="17"/>
                                <w:szCs w:val="17"/>
                              </w:rPr>
                            </w:pPr>
                            <w:r>
                              <w:rPr>
                                <w:rFonts w:ascii="DIN" w:hAnsi="DIN" w:cs="DIN"/>
                                <w:sz w:val="17"/>
                                <w:szCs w:val="17"/>
                              </w:rPr>
                              <w:t xml:space="preserve">White </w:t>
                            </w:r>
                          </w:p>
                        </w:tc>
                      </w:tr>
                      <w:tr w:rsidR="00000000" w14:paraId="1C10A29A" w14:textId="77777777">
                        <w:tblPrEx>
                          <w:tblCellMar>
                            <w:top w:w="0" w:type="dxa"/>
                            <w:bottom w:w="0" w:type="dxa"/>
                          </w:tblCellMar>
                        </w:tblPrEx>
                        <w:trPr>
                          <w:wAfter w:w="2378" w:type="dxa"/>
                          <w:trHeight w:val="160"/>
                        </w:trPr>
                        <w:tc>
                          <w:tcPr>
                            <w:tcW w:w="1967" w:type="dxa"/>
                            <w:gridSpan w:val="4"/>
                            <w:tcBorders>
                              <w:left w:val="single" w:sz="2" w:space="0" w:color="EC1B22"/>
                              <w:bottom w:val="single" w:sz="2" w:space="0" w:color="EC1B22"/>
                              <w:right w:val="single" w:sz="2" w:space="0" w:color="EC1B22"/>
                            </w:tcBorders>
                            <w:vAlign w:val="center"/>
                          </w:tcPr>
                          <w:p w14:paraId="08B6852B" w14:textId="77777777" w:rsidR="00000000" w:rsidRDefault="00A450E1">
                            <w:pPr>
                              <w:pStyle w:val="Default"/>
                              <w:rPr>
                                <w:rFonts w:ascii="DIN" w:hAnsi="DIN" w:cs="DIN"/>
                                <w:sz w:val="17"/>
                                <w:szCs w:val="17"/>
                              </w:rPr>
                            </w:pPr>
                            <w:r>
                              <w:rPr>
                                <w:rFonts w:ascii="DIN" w:hAnsi="DIN" w:cs="DIN"/>
                                <w:sz w:val="17"/>
                                <w:szCs w:val="17"/>
                              </w:rPr>
                              <w:t xml:space="preserve">Rhythm </w:t>
                            </w:r>
                          </w:p>
                        </w:tc>
                        <w:tc>
                          <w:tcPr>
                            <w:tcW w:w="2362" w:type="dxa"/>
                            <w:gridSpan w:val="5"/>
                            <w:tcBorders>
                              <w:left w:val="single" w:sz="2" w:space="0" w:color="EC1B22"/>
                              <w:bottom w:val="single" w:sz="2" w:space="0" w:color="EC1B22"/>
                              <w:right w:val="single" w:sz="2" w:space="0" w:color="EC1B22"/>
                            </w:tcBorders>
                            <w:vAlign w:val="center"/>
                          </w:tcPr>
                          <w:p w14:paraId="5D1F7D23" w14:textId="77777777" w:rsidR="00000000" w:rsidRDefault="00A450E1">
                            <w:pPr>
                              <w:pStyle w:val="Default"/>
                              <w:rPr>
                                <w:rFonts w:ascii="DIN" w:hAnsi="DIN" w:cs="DIN"/>
                                <w:sz w:val="17"/>
                                <w:szCs w:val="17"/>
                              </w:rPr>
                            </w:pPr>
                            <w:r>
                              <w:rPr>
                                <w:rFonts w:ascii="DIN" w:hAnsi="DIN" w:cs="DIN"/>
                                <w:sz w:val="17"/>
                                <w:szCs w:val="17"/>
                              </w:rPr>
                              <w:t xml:space="preserve">Group flashing (2) </w:t>
                            </w:r>
                          </w:p>
                        </w:tc>
                      </w:tr>
                    </w:tbl>
                  </w:txbxContent>
                </v:textbox>
                <w10:wrap type="through" anchorx="page" anchory="page"/>
              </v:shape>
            </w:pict>
          </mc:Fallback>
        </mc:AlternateContent>
      </w:r>
    </w:p>
    <w:p w14:paraId="473A5622"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703296" behindDoc="0" locked="0" layoutInCell="0" allowOverlap="1" wp14:anchorId="106CBFB6" wp14:editId="37036E94">
                <wp:simplePos x="0" y="0"/>
                <wp:positionH relativeFrom="page">
                  <wp:posOffset>3931285</wp:posOffset>
                </wp:positionH>
                <wp:positionV relativeFrom="page">
                  <wp:posOffset>6650990</wp:posOffset>
                </wp:positionV>
                <wp:extent cx="3256915" cy="2279015"/>
                <wp:effectExtent l="0" t="0" r="0" b="0"/>
                <wp:wrapThrough wrapText="bothSides">
                  <wp:wrapPolygon edited="0">
                    <wp:start x="0" y="0"/>
                    <wp:lineTo x="21600" y="0"/>
                    <wp:lineTo x="21600" y="21600"/>
                    <wp:lineTo x="0" y="21600"/>
                    <wp:lineTo x="0" y="0"/>
                  </wp:wrapPolygon>
                </wp:wrapThrough>
                <wp:docPr id="51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6915" cy="2279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967"/>
                              <w:gridCol w:w="2362"/>
                            </w:tblGrid>
                            <w:tr w:rsidR="00541A14" w14:paraId="61C1376E" w14:textId="77777777">
                              <w:trPr>
                                <w:trHeight w:val="186"/>
                              </w:trPr>
                              <w:tc>
                                <w:tcPr>
                                  <w:tcW w:w="1967" w:type="dxa"/>
                                  <w:shd w:val="clear" w:color="auto" w:fill="EC1B22"/>
                                  <w:vAlign w:val="center"/>
                                </w:tcPr>
                                <w:p w14:paraId="74AE8525" w14:textId="77777777" w:rsidR="00541A14" w:rsidRDefault="00541A14">
                                  <w:pPr>
                                    <w:pStyle w:val="Default"/>
                                    <w:rPr>
                                      <w:rFonts w:cs="Times New Roman"/>
                                      <w:color w:val="auto"/>
                                    </w:rPr>
                                  </w:pPr>
                                </w:p>
                              </w:tc>
                              <w:tc>
                                <w:tcPr>
                                  <w:tcW w:w="2362" w:type="dxa"/>
                                  <w:shd w:val="clear" w:color="auto" w:fill="EC1B22"/>
                                  <w:vAlign w:val="center"/>
                                </w:tcPr>
                                <w:p w14:paraId="6636DCCB" w14:textId="77777777" w:rsidR="00541A14" w:rsidRDefault="00A450E1">
                                  <w:pPr>
                                    <w:pStyle w:val="Default"/>
                                    <w:rPr>
                                      <w:rFonts w:ascii="DIN" w:hAnsi="DIN" w:cs="DIN"/>
                                      <w:color w:val="FFFFFF"/>
                                      <w:sz w:val="18"/>
                                      <w:szCs w:val="18"/>
                                    </w:rPr>
                                  </w:pPr>
                                  <w:r>
                                    <w:rPr>
                                      <w:rFonts w:ascii="DIN" w:hAnsi="DIN" w:cs="DIN"/>
                                      <w:b/>
                                      <w:bCs/>
                                      <w:color w:val="FFFFFF"/>
                                      <w:sz w:val="18"/>
                                      <w:szCs w:val="18"/>
                                    </w:rPr>
                                    <w:t xml:space="preserve">Description </w:t>
                                  </w:r>
                                </w:p>
                              </w:tc>
                            </w:tr>
                            <w:tr w:rsidR="00541A14" w14:paraId="1592D359" w14:textId="77777777">
                              <w:trPr>
                                <w:trHeight w:val="285"/>
                              </w:trPr>
                              <w:tc>
                                <w:tcPr>
                                  <w:tcW w:w="1967" w:type="dxa"/>
                                  <w:tcBorders>
                                    <w:left w:val="single" w:sz="2" w:space="0" w:color="EC1B22"/>
                                    <w:right w:val="single" w:sz="2" w:space="0" w:color="EC1B22"/>
                                  </w:tcBorders>
                                  <w:shd w:val="clear" w:color="auto" w:fill="FCE2D7"/>
                                  <w:vAlign w:val="center"/>
                                </w:tcPr>
                                <w:p w14:paraId="4C784F14" w14:textId="77777777" w:rsidR="00541A14" w:rsidRDefault="00A450E1">
                                  <w:pPr>
                                    <w:pStyle w:val="Default"/>
                                    <w:rPr>
                                      <w:rFonts w:ascii="DIN" w:hAnsi="DIN" w:cs="DIN"/>
                                      <w:sz w:val="17"/>
                                      <w:szCs w:val="17"/>
                                    </w:rPr>
                                  </w:pPr>
                                  <w:r>
                                    <w:rPr>
                                      <w:rFonts w:ascii="DIN" w:hAnsi="DIN" w:cs="DIN"/>
                                      <w:b/>
                                      <w:bCs/>
                                      <w:sz w:val="17"/>
                                      <w:szCs w:val="17"/>
                                    </w:rPr>
                                    <w:t xml:space="preserve">Colour </w:t>
                                  </w:r>
                                </w:p>
                              </w:tc>
                              <w:tc>
                                <w:tcPr>
                                  <w:tcW w:w="2362" w:type="dxa"/>
                                  <w:tcBorders>
                                    <w:left w:val="single" w:sz="2" w:space="0" w:color="EC1B22"/>
                                    <w:right w:val="single" w:sz="2" w:space="0" w:color="EC1B22"/>
                                  </w:tcBorders>
                                  <w:shd w:val="clear" w:color="auto" w:fill="FCE2D7"/>
                                  <w:vAlign w:val="center"/>
                                </w:tcPr>
                                <w:p w14:paraId="3E7E7D1F" w14:textId="77777777" w:rsidR="00541A14" w:rsidRDefault="00A450E1">
                                  <w:pPr>
                                    <w:pStyle w:val="Default"/>
                                    <w:rPr>
                                      <w:rFonts w:ascii="DIN" w:hAnsi="DIN" w:cs="DIN"/>
                                      <w:sz w:val="17"/>
                                      <w:szCs w:val="17"/>
                                    </w:rPr>
                                  </w:pPr>
                                  <w:r>
                                    <w:rPr>
                                      <w:rFonts w:ascii="DIN" w:hAnsi="DIN" w:cs="DIN"/>
                                      <w:sz w:val="17"/>
                                      <w:szCs w:val="17"/>
                                    </w:rPr>
                                    <w:t xml:space="preserve">Red and white vertical stripes </w:t>
                                  </w:r>
                                </w:p>
                              </w:tc>
                            </w:tr>
                            <w:tr w:rsidR="00541A14" w14:paraId="7B3B4BF0" w14:textId="77777777">
                              <w:trPr>
                                <w:trHeight w:val="283"/>
                              </w:trPr>
                              <w:tc>
                                <w:tcPr>
                                  <w:tcW w:w="1967" w:type="dxa"/>
                                  <w:tcBorders>
                                    <w:left w:val="single" w:sz="2" w:space="0" w:color="EC1B22"/>
                                    <w:right w:val="single" w:sz="2" w:space="0" w:color="EC1B22"/>
                                  </w:tcBorders>
                                </w:tcPr>
                                <w:p w14:paraId="3CC2C2F1" w14:textId="77777777" w:rsidR="00541A14" w:rsidRDefault="00A450E1">
                                  <w:pPr>
                                    <w:pStyle w:val="Default"/>
                                    <w:rPr>
                                      <w:rFonts w:ascii="DIN" w:hAnsi="DIN" w:cs="DIN"/>
                                      <w:sz w:val="17"/>
                                      <w:szCs w:val="17"/>
                                    </w:rPr>
                                  </w:pPr>
                                  <w:r>
                                    <w:rPr>
                                      <w:rFonts w:ascii="DIN" w:hAnsi="DIN" w:cs="DIN"/>
                                      <w:b/>
                                      <w:bCs/>
                                      <w:sz w:val="17"/>
                                      <w:szCs w:val="17"/>
                                    </w:rPr>
                                    <w:t xml:space="preserve">Shape of buoy </w:t>
                                  </w:r>
                                </w:p>
                              </w:tc>
                              <w:tc>
                                <w:tcPr>
                                  <w:tcW w:w="2362" w:type="dxa"/>
                                  <w:tcBorders>
                                    <w:left w:val="single" w:sz="2" w:space="0" w:color="EC1B22"/>
                                    <w:right w:val="single" w:sz="2" w:space="0" w:color="EC1B22"/>
                                  </w:tcBorders>
                                  <w:vAlign w:val="center"/>
                                </w:tcPr>
                                <w:p w14:paraId="16BD6794" w14:textId="77777777" w:rsidR="00541A14" w:rsidRDefault="00A450E1">
                                  <w:pPr>
                                    <w:pStyle w:val="Default"/>
                                    <w:rPr>
                                      <w:rFonts w:ascii="DIN" w:hAnsi="DIN" w:cs="DIN"/>
                                      <w:sz w:val="17"/>
                                      <w:szCs w:val="17"/>
                                    </w:rPr>
                                  </w:pPr>
                                  <w:r>
                                    <w:rPr>
                                      <w:rFonts w:ascii="DIN" w:hAnsi="DIN" w:cs="DIN"/>
                                      <w:sz w:val="17"/>
                                      <w:szCs w:val="17"/>
                                    </w:rPr>
                                    <w:t xml:space="preserve">Spherical; pillar or spar with spherical topmark </w:t>
                                  </w:r>
                                </w:p>
                              </w:tc>
                            </w:tr>
                            <w:tr w:rsidR="00541A14" w14:paraId="43D4A7BE" w14:textId="77777777">
                              <w:trPr>
                                <w:trHeight w:val="161"/>
                              </w:trPr>
                              <w:tc>
                                <w:tcPr>
                                  <w:tcW w:w="1967" w:type="dxa"/>
                                  <w:tcBorders>
                                    <w:left w:val="single" w:sz="2" w:space="0" w:color="EC1B22"/>
                                    <w:bottom w:val="single" w:sz="2" w:space="0" w:color="EC1B22"/>
                                    <w:right w:val="single" w:sz="2" w:space="0" w:color="EC1B22"/>
                                  </w:tcBorders>
                                  <w:shd w:val="clear" w:color="auto" w:fill="FCE2D7"/>
                                  <w:vAlign w:val="center"/>
                                </w:tcPr>
                                <w:p w14:paraId="2CDD38B7" w14:textId="77777777" w:rsidR="00541A14" w:rsidRDefault="00A450E1">
                                  <w:pPr>
                                    <w:pStyle w:val="Default"/>
                                    <w:rPr>
                                      <w:rFonts w:ascii="DIN" w:hAnsi="DIN" w:cs="DIN"/>
                                      <w:sz w:val="17"/>
                                      <w:szCs w:val="17"/>
                                    </w:rPr>
                                  </w:pPr>
                                  <w:r>
                                    <w:rPr>
                                      <w:rFonts w:ascii="DIN" w:hAnsi="DIN" w:cs="DIN"/>
                                      <w:b/>
                                      <w:bCs/>
                                      <w:sz w:val="17"/>
                                      <w:szCs w:val="17"/>
                                    </w:rPr>
                                    <w:t xml:space="preserve">Top-mark </w:t>
                                  </w:r>
                                  <w:r>
                                    <w:rPr>
                                      <w:rFonts w:ascii="DIN" w:hAnsi="DIN" w:cs="DIN"/>
                                      <w:sz w:val="17"/>
                                      <w:szCs w:val="17"/>
                                    </w:rPr>
                                    <w:t xml:space="preserve">(if any) </w:t>
                                  </w:r>
                                </w:p>
                              </w:tc>
                              <w:tc>
                                <w:tcPr>
                                  <w:tcW w:w="2362" w:type="dxa"/>
                                  <w:tcBorders>
                                    <w:left w:val="single" w:sz="2" w:space="0" w:color="EC1B22"/>
                                    <w:bottom w:val="single" w:sz="2" w:space="0" w:color="EC1B22"/>
                                    <w:right w:val="single" w:sz="2" w:space="0" w:color="EC1B22"/>
                                  </w:tcBorders>
                                  <w:shd w:val="clear" w:color="auto" w:fill="FCE2D7"/>
                                  <w:vAlign w:val="center"/>
                                </w:tcPr>
                                <w:p w14:paraId="3DD58824" w14:textId="77777777" w:rsidR="00541A14" w:rsidRDefault="00A450E1">
                                  <w:pPr>
                                    <w:pStyle w:val="Default"/>
                                    <w:rPr>
                                      <w:rFonts w:ascii="DIN" w:hAnsi="DIN" w:cs="DIN"/>
                                      <w:sz w:val="17"/>
                                      <w:szCs w:val="17"/>
                                    </w:rPr>
                                  </w:pPr>
                                  <w:r>
                                    <w:rPr>
                                      <w:rFonts w:ascii="DIN" w:hAnsi="DIN" w:cs="DIN"/>
                                      <w:sz w:val="17"/>
                                      <w:szCs w:val="17"/>
                                    </w:rPr>
                                    <w:t xml:space="preserve">Single red sphere </w:t>
                                  </w:r>
                                </w:p>
                              </w:tc>
                            </w:tr>
                            <w:tr w:rsidR="00541A14" w14:paraId="07B4886D" w14:textId="77777777">
                              <w:trPr>
                                <w:trHeight w:val="220"/>
                              </w:trPr>
                              <w:tc>
                                <w:tcPr>
                                  <w:tcW w:w="1967" w:type="dxa"/>
                                  <w:tcBorders>
                                    <w:top w:val="single" w:sz="2" w:space="0" w:color="EC1B22"/>
                                    <w:left w:val="single" w:sz="2" w:space="0" w:color="EC1B22"/>
                                    <w:bottom w:val="single" w:sz="2" w:space="0" w:color="EC1B22"/>
                                  </w:tcBorders>
                                  <w:vAlign w:val="center"/>
                                </w:tcPr>
                                <w:p w14:paraId="5033F59F" w14:textId="77777777" w:rsidR="00541A14"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w:t>
                                  </w:r>
                                </w:p>
                              </w:tc>
                              <w:tc>
                                <w:tcPr>
                                  <w:tcW w:w="2362" w:type="dxa"/>
                                  <w:tcBorders>
                                    <w:top w:val="single" w:sz="2" w:space="0" w:color="EC1B22"/>
                                    <w:bottom w:val="single" w:sz="2" w:space="0" w:color="EC1B22"/>
                                    <w:right w:val="single" w:sz="2" w:space="0" w:color="EC1B22"/>
                                  </w:tcBorders>
                                </w:tcPr>
                                <w:p w14:paraId="7462A72E" w14:textId="77777777" w:rsidR="00541A14" w:rsidRDefault="00541A14">
                                  <w:pPr>
                                    <w:pStyle w:val="Default"/>
                                    <w:rPr>
                                      <w:rFonts w:cs="Times New Roman"/>
                                      <w:color w:val="auto"/>
                                    </w:rPr>
                                  </w:pPr>
                                </w:p>
                              </w:tc>
                            </w:tr>
                            <w:tr w:rsidR="00541A14" w14:paraId="4777F0C9" w14:textId="77777777">
                              <w:trPr>
                                <w:trHeight w:val="461"/>
                              </w:trPr>
                              <w:tc>
                                <w:tcPr>
                                  <w:tcW w:w="1967" w:type="dxa"/>
                                  <w:tcBorders>
                                    <w:top w:val="single" w:sz="2" w:space="0" w:color="EC1B22"/>
                                    <w:left w:val="single" w:sz="2" w:space="0" w:color="EC1B22"/>
                                    <w:bottom w:val="single" w:sz="2" w:space="0" w:color="EC1B22"/>
                                    <w:right w:val="single" w:sz="2" w:space="0" w:color="EC1B22"/>
                                  </w:tcBorders>
                                </w:tcPr>
                                <w:p w14:paraId="33E262B0" w14:textId="77777777" w:rsidR="00541A14" w:rsidRDefault="00A450E1">
                                  <w:pPr>
                                    <w:pStyle w:val="Default"/>
                                    <w:rPr>
                                      <w:rFonts w:ascii="DIN" w:hAnsi="DIN" w:cs="DIN"/>
                                      <w:sz w:val="17"/>
                                      <w:szCs w:val="17"/>
                                    </w:rPr>
                                  </w:pPr>
                                  <w:r>
                                    <w:rPr>
                                      <w:rFonts w:ascii="DIN" w:hAnsi="DIN" w:cs="DIN"/>
                                      <w:sz w:val="17"/>
                                      <w:szCs w:val="17"/>
                                    </w:rPr>
                                    <w:t xml:space="preserve">Colour Rhythm </w:t>
                                  </w:r>
                                </w:p>
                              </w:tc>
                              <w:tc>
                                <w:tcPr>
                                  <w:tcW w:w="2362" w:type="dxa"/>
                                  <w:tcBorders>
                                    <w:top w:val="single" w:sz="2" w:space="0" w:color="EC1B22"/>
                                    <w:left w:val="single" w:sz="2" w:space="0" w:color="EC1B22"/>
                                    <w:bottom w:val="single" w:sz="2" w:space="0" w:color="EC1B22"/>
                                    <w:right w:val="single" w:sz="2" w:space="0" w:color="EC1B22"/>
                                  </w:tcBorders>
                                </w:tcPr>
                                <w:p w14:paraId="0EF0D068" w14:textId="77777777" w:rsidR="00541A14" w:rsidRDefault="00A450E1">
                                  <w:pPr>
                                    <w:pStyle w:val="Default"/>
                                    <w:rPr>
                                      <w:rFonts w:ascii="DIN" w:hAnsi="DIN" w:cs="DIN"/>
                                      <w:sz w:val="17"/>
                                      <w:szCs w:val="17"/>
                                    </w:rPr>
                                  </w:pPr>
                                  <w:r>
                                    <w:rPr>
                                      <w:rFonts w:ascii="DIN" w:hAnsi="DIN" w:cs="DIN"/>
                                      <w:sz w:val="17"/>
                                      <w:szCs w:val="17"/>
                                    </w:rPr>
                                    <w:t xml:space="preserve">White Isophase, occulting, one long flash every 10s or Morse “A” </w:t>
                                  </w:r>
                                </w:p>
                              </w:tc>
                            </w:tr>
                          </w:tbl>
                          <w:p w14:paraId="0F8D481D"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70" type="#_x0000_t202" style="position:absolute;margin-left:309.55pt;margin-top:523.7pt;width:256.45pt;height:179.45pt;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33"/>
                        <w:gridCol w:w="492"/>
                        <w:gridCol w:w="20"/>
                        <w:gridCol w:w="2297"/>
                        <w:gridCol w:w="5"/>
                        <w:gridCol w:w="5"/>
                        <w:gridCol w:w="12"/>
                        <w:gridCol w:w="47"/>
                      </w:tblGrid>
                      <w:tr w:rsidR="00000000" w14:paraId="61C1376E" w14:textId="77777777">
                        <w:tblPrEx>
                          <w:tblCellMar>
                            <w:top w:w="0" w:type="dxa"/>
                            <w:bottom w:w="0" w:type="dxa"/>
                          </w:tblCellMar>
                        </w:tblPrEx>
                        <w:trPr>
                          <w:wAfter w:w="2378" w:type="dxa"/>
                          <w:trHeight w:val="186"/>
                        </w:trPr>
                        <w:tc>
                          <w:tcPr>
                            <w:tcW w:w="1967" w:type="dxa"/>
                            <w:gridSpan w:val="4"/>
                            <w:shd w:val="clear" w:color="auto" w:fill="EC1B22"/>
                            <w:vAlign w:val="center"/>
                          </w:tcPr>
                          <w:p w14:paraId="74AE8525" w14:textId="77777777" w:rsidR="00000000" w:rsidRDefault="00A450E1">
                            <w:pPr>
                              <w:pStyle w:val="Default"/>
                              <w:rPr>
                                <w:rFonts w:cs="Times New Roman"/>
                                <w:color w:val="auto"/>
                              </w:rPr>
                            </w:pPr>
                          </w:p>
                        </w:tc>
                        <w:tc>
                          <w:tcPr>
                            <w:tcW w:w="2362" w:type="dxa"/>
                            <w:gridSpan w:val="5"/>
                            <w:shd w:val="clear" w:color="auto" w:fill="EC1B22"/>
                            <w:vAlign w:val="center"/>
                          </w:tcPr>
                          <w:p w14:paraId="6636DCCB" w14:textId="77777777" w:rsidR="00000000" w:rsidRDefault="00A450E1">
                            <w:pPr>
                              <w:pStyle w:val="Default"/>
                              <w:rPr>
                                <w:rFonts w:ascii="DIN" w:hAnsi="DIN" w:cs="DIN"/>
                                <w:color w:val="FFFFFF"/>
                                <w:sz w:val="18"/>
                                <w:szCs w:val="18"/>
                              </w:rPr>
                            </w:pPr>
                            <w:r>
                              <w:rPr>
                                <w:rFonts w:ascii="DIN" w:hAnsi="DIN" w:cs="DIN"/>
                                <w:b/>
                                <w:bCs/>
                                <w:color w:val="FFFFFF"/>
                                <w:sz w:val="18"/>
                                <w:szCs w:val="18"/>
                              </w:rPr>
                              <w:t xml:space="preserve">Description </w:t>
                            </w:r>
                          </w:p>
                        </w:tc>
                      </w:tr>
                      <w:tr w:rsidR="00000000" w14:paraId="1592D359" w14:textId="77777777">
                        <w:tblPrEx>
                          <w:tblCellMar>
                            <w:top w:w="0" w:type="dxa"/>
                            <w:bottom w:w="0" w:type="dxa"/>
                          </w:tblCellMar>
                        </w:tblPrEx>
                        <w:trPr>
                          <w:wAfter w:w="2378" w:type="dxa"/>
                          <w:trHeight w:val="285"/>
                        </w:trPr>
                        <w:tc>
                          <w:tcPr>
                            <w:tcW w:w="1967" w:type="dxa"/>
                            <w:gridSpan w:val="4"/>
                            <w:tcBorders>
                              <w:left w:val="single" w:sz="2" w:space="0" w:color="EC1B22"/>
                              <w:right w:val="single" w:sz="2" w:space="0" w:color="EC1B22"/>
                            </w:tcBorders>
                            <w:shd w:val="clear" w:color="auto" w:fill="FCE2D7"/>
                            <w:vAlign w:val="center"/>
                          </w:tcPr>
                          <w:p w14:paraId="4C784F14" w14:textId="77777777" w:rsidR="00000000" w:rsidRDefault="00A450E1">
                            <w:pPr>
                              <w:pStyle w:val="Default"/>
                              <w:rPr>
                                <w:rFonts w:ascii="DIN" w:hAnsi="DIN" w:cs="DIN"/>
                                <w:sz w:val="17"/>
                                <w:szCs w:val="17"/>
                              </w:rPr>
                            </w:pPr>
                            <w:r>
                              <w:rPr>
                                <w:rFonts w:ascii="DIN" w:hAnsi="DIN" w:cs="DIN"/>
                                <w:b/>
                                <w:bCs/>
                                <w:sz w:val="17"/>
                                <w:szCs w:val="17"/>
                              </w:rPr>
                              <w:t xml:space="preserve">Colour </w:t>
                            </w:r>
                          </w:p>
                        </w:tc>
                        <w:tc>
                          <w:tcPr>
                            <w:tcW w:w="2362" w:type="dxa"/>
                            <w:gridSpan w:val="5"/>
                            <w:tcBorders>
                              <w:left w:val="single" w:sz="2" w:space="0" w:color="EC1B22"/>
                              <w:right w:val="single" w:sz="2" w:space="0" w:color="EC1B22"/>
                            </w:tcBorders>
                            <w:shd w:val="clear" w:color="auto" w:fill="FCE2D7"/>
                            <w:vAlign w:val="center"/>
                          </w:tcPr>
                          <w:p w14:paraId="3E7E7D1F" w14:textId="77777777" w:rsidR="00000000" w:rsidRDefault="00A450E1">
                            <w:pPr>
                              <w:pStyle w:val="Default"/>
                              <w:rPr>
                                <w:rFonts w:ascii="DIN" w:hAnsi="DIN" w:cs="DIN"/>
                                <w:sz w:val="17"/>
                                <w:szCs w:val="17"/>
                              </w:rPr>
                            </w:pPr>
                            <w:r>
                              <w:rPr>
                                <w:rFonts w:ascii="DIN" w:hAnsi="DIN" w:cs="DIN"/>
                                <w:sz w:val="17"/>
                                <w:szCs w:val="17"/>
                              </w:rPr>
                              <w:t xml:space="preserve">Red and white vertical stripes </w:t>
                            </w:r>
                          </w:p>
                        </w:tc>
                      </w:tr>
                      <w:tr w:rsidR="00000000" w14:paraId="7B3B4BF0" w14:textId="77777777">
                        <w:tblPrEx>
                          <w:tblCellMar>
                            <w:top w:w="0" w:type="dxa"/>
                            <w:bottom w:w="0" w:type="dxa"/>
                          </w:tblCellMar>
                        </w:tblPrEx>
                        <w:trPr>
                          <w:wAfter w:w="2378" w:type="dxa"/>
                          <w:trHeight w:val="283"/>
                        </w:trPr>
                        <w:tc>
                          <w:tcPr>
                            <w:tcW w:w="1967" w:type="dxa"/>
                            <w:gridSpan w:val="4"/>
                            <w:tcBorders>
                              <w:left w:val="single" w:sz="2" w:space="0" w:color="EC1B22"/>
                              <w:right w:val="single" w:sz="2" w:space="0" w:color="EC1B22"/>
                            </w:tcBorders>
                          </w:tcPr>
                          <w:p w14:paraId="3CC2C2F1" w14:textId="77777777" w:rsidR="00000000" w:rsidRDefault="00A450E1">
                            <w:pPr>
                              <w:pStyle w:val="Default"/>
                              <w:rPr>
                                <w:rFonts w:ascii="DIN" w:hAnsi="DIN" w:cs="DIN"/>
                                <w:sz w:val="17"/>
                                <w:szCs w:val="17"/>
                              </w:rPr>
                            </w:pPr>
                            <w:r>
                              <w:rPr>
                                <w:rFonts w:ascii="DIN" w:hAnsi="DIN" w:cs="DIN"/>
                                <w:b/>
                                <w:bCs/>
                                <w:sz w:val="17"/>
                                <w:szCs w:val="17"/>
                              </w:rPr>
                              <w:t xml:space="preserve">Shape of buoy </w:t>
                            </w:r>
                          </w:p>
                        </w:tc>
                        <w:tc>
                          <w:tcPr>
                            <w:tcW w:w="2362" w:type="dxa"/>
                            <w:gridSpan w:val="5"/>
                            <w:tcBorders>
                              <w:left w:val="single" w:sz="2" w:space="0" w:color="EC1B22"/>
                              <w:right w:val="single" w:sz="2" w:space="0" w:color="EC1B22"/>
                            </w:tcBorders>
                            <w:vAlign w:val="center"/>
                          </w:tcPr>
                          <w:p w14:paraId="16BD6794" w14:textId="77777777" w:rsidR="00000000" w:rsidRDefault="00A450E1">
                            <w:pPr>
                              <w:pStyle w:val="Default"/>
                              <w:rPr>
                                <w:rFonts w:ascii="DIN" w:hAnsi="DIN" w:cs="DIN"/>
                                <w:sz w:val="17"/>
                                <w:szCs w:val="17"/>
                              </w:rPr>
                            </w:pPr>
                            <w:r>
                              <w:rPr>
                                <w:rFonts w:ascii="DIN" w:hAnsi="DIN" w:cs="DIN"/>
                                <w:sz w:val="17"/>
                                <w:szCs w:val="17"/>
                              </w:rPr>
                              <w:t xml:space="preserve">Spherical; pillar or spar with spherical topmark </w:t>
                            </w:r>
                          </w:p>
                        </w:tc>
                      </w:tr>
                      <w:tr w:rsidR="00000000" w14:paraId="43D4A7BE" w14:textId="77777777">
                        <w:tblPrEx>
                          <w:tblCellMar>
                            <w:top w:w="0" w:type="dxa"/>
                            <w:bottom w:w="0" w:type="dxa"/>
                          </w:tblCellMar>
                        </w:tblPrEx>
                        <w:trPr>
                          <w:wAfter w:w="2378" w:type="dxa"/>
                          <w:trHeight w:val="161"/>
                        </w:trPr>
                        <w:tc>
                          <w:tcPr>
                            <w:tcW w:w="1967" w:type="dxa"/>
                            <w:gridSpan w:val="4"/>
                            <w:tcBorders>
                              <w:left w:val="single" w:sz="2" w:space="0" w:color="EC1B22"/>
                              <w:bottom w:val="single" w:sz="2" w:space="0" w:color="EC1B22"/>
                              <w:right w:val="single" w:sz="2" w:space="0" w:color="EC1B22"/>
                            </w:tcBorders>
                            <w:shd w:val="clear" w:color="auto" w:fill="FCE2D7"/>
                            <w:vAlign w:val="center"/>
                          </w:tcPr>
                          <w:p w14:paraId="2CDD38B7" w14:textId="77777777" w:rsidR="00000000" w:rsidRDefault="00A450E1">
                            <w:pPr>
                              <w:pStyle w:val="Default"/>
                              <w:rPr>
                                <w:rFonts w:ascii="DIN" w:hAnsi="DIN" w:cs="DIN"/>
                                <w:sz w:val="17"/>
                                <w:szCs w:val="17"/>
                              </w:rPr>
                            </w:pPr>
                            <w:r>
                              <w:rPr>
                                <w:rFonts w:ascii="DIN" w:hAnsi="DIN" w:cs="DIN"/>
                                <w:b/>
                                <w:bCs/>
                                <w:sz w:val="17"/>
                                <w:szCs w:val="17"/>
                              </w:rPr>
                              <w:t xml:space="preserve">Top-mark </w:t>
                            </w:r>
                            <w:r>
                              <w:rPr>
                                <w:rFonts w:ascii="DIN" w:hAnsi="DIN" w:cs="DIN"/>
                                <w:sz w:val="17"/>
                                <w:szCs w:val="17"/>
                              </w:rPr>
                              <w:t xml:space="preserve">(if any) </w:t>
                            </w:r>
                          </w:p>
                        </w:tc>
                        <w:tc>
                          <w:tcPr>
                            <w:tcW w:w="2362" w:type="dxa"/>
                            <w:gridSpan w:val="5"/>
                            <w:tcBorders>
                              <w:left w:val="single" w:sz="2" w:space="0" w:color="EC1B22"/>
                              <w:bottom w:val="single" w:sz="2" w:space="0" w:color="EC1B22"/>
                              <w:right w:val="single" w:sz="2" w:space="0" w:color="EC1B22"/>
                            </w:tcBorders>
                            <w:shd w:val="clear" w:color="auto" w:fill="FCE2D7"/>
                            <w:vAlign w:val="center"/>
                          </w:tcPr>
                          <w:p w14:paraId="3DD58824" w14:textId="77777777" w:rsidR="00000000" w:rsidRDefault="00A450E1">
                            <w:pPr>
                              <w:pStyle w:val="Default"/>
                              <w:rPr>
                                <w:rFonts w:ascii="DIN" w:hAnsi="DIN" w:cs="DIN"/>
                                <w:sz w:val="17"/>
                                <w:szCs w:val="17"/>
                              </w:rPr>
                            </w:pPr>
                            <w:r>
                              <w:rPr>
                                <w:rFonts w:ascii="DIN" w:hAnsi="DIN" w:cs="DIN"/>
                                <w:sz w:val="17"/>
                                <w:szCs w:val="17"/>
                              </w:rPr>
                              <w:t xml:space="preserve">Single red sphere </w:t>
                            </w:r>
                          </w:p>
                        </w:tc>
                      </w:tr>
                      <w:tr w:rsidR="00000000" w14:paraId="07B4886D" w14:textId="77777777">
                        <w:tblPrEx>
                          <w:tblCellMar>
                            <w:top w:w="0" w:type="dxa"/>
                            <w:bottom w:w="0" w:type="dxa"/>
                          </w:tblCellMar>
                        </w:tblPrEx>
                        <w:trPr>
                          <w:wAfter w:w="2378" w:type="dxa"/>
                          <w:trHeight w:val="220"/>
                        </w:trPr>
                        <w:tc>
                          <w:tcPr>
                            <w:tcW w:w="1967" w:type="dxa"/>
                            <w:gridSpan w:val="4"/>
                            <w:tcBorders>
                              <w:top w:val="single" w:sz="2" w:space="0" w:color="EC1B22"/>
                              <w:left w:val="single" w:sz="2" w:space="0" w:color="EC1B22"/>
                              <w:bottom w:val="single" w:sz="2" w:space="0" w:color="EC1B22"/>
                            </w:tcBorders>
                            <w:vAlign w:val="center"/>
                          </w:tcPr>
                          <w:p w14:paraId="5033F59F" w14:textId="77777777" w:rsidR="00000000"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w:t>
                            </w:r>
                          </w:p>
                        </w:tc>
                        <w:tc>
                          <w:tcPr>
                            <w:tcW w:w="2362" w:type="dxa"/>
                            <w:gridSpan w:val="5"/>
                            <w:tcBorders>
                              <w:top w:val="single" w:sz="2" w:space="0" w:color="EC1B22"/>
                              <w:bottom w:val="single" w:sz="2" w:space="0" w:color="EC1B22"/>
                              <w:right w:val="single" w:sz="2" w:space="0" w:color="EC1B22"/>
                            </w:tcBorders>
                          </w:tcPr>
                          <w:p w14:paraId="7462A72E" w14:textId="77777777" w:rsidR="00000000" w:rsidRDefault="00A450E1">
                            <w:pPr>
                              <w:pStyle w:val="Default"/>
                              <w:rPr>
                                <w:rFonts w:cs="Times New Roman"/>
                                <w:color w:val="auto"/>
                              </w:rPr>
                            </w:pPr>
                          </w:p>
                        </w:tc>
                      </w:tr>
                      <w:tr w:rsidR="00000000" w14:paraId="4777F0C9" w14:textId="77777777">
                        <w:tblPrEx>
                          <w:tblCellMar>
                            <w:top w:w="0" w:type="dxa"/>
                            <w:bottom w:w="0" w:type="dxa"/>
                          </w:tblCellMar>
                        </w:tblPrEx>
                        <w:trPr>
                          <w:wAfter w:w="2378" w:type="dxa"/>
                          <w:trHeight w:val="461"/>
                        </w:trPr>
                        <w:tc>
                          <w:tcPr>
                            <w:tcW w:w="1967" w:type="dxa"/>
                            <w:gridSpan w:val="4"/>
                            <w:tcBorders>
                              <w:top w:val="single" w:sz="2" w:space="0" w:color="EC1B22"/>
                              <w:left w:val="single" w:sz="2" w:space="0" w:color="EC1B22"/>
                              <w:bottom w:val="single" w:sz="2" w:space="0" w:color="EC1B22"/>
                              <w:right w:val="single" w:sz="2" w:space="0" w:color="EC1B22"/>
                            </w:tcBorders>
                          </w:tcPr>
                          <w:p w14:paraId="33E262B0" w14:textId="77777777" w:rsidR="00000000" w:rsidRDefault="00A450E1">
                            <w:pPr>
                              <w:pStyle w:val="Default"/>
                              <w:rPr>
                                <w:rFonts w:ascii="DIN" w:hAnsi="DIN" w:cs="DIN"/>
                                <w:sz w:val="17"/>
                                <w:szCs w:val="17"/>
                              </w:rPr>
                            </w:pPr>
                            <w:r>
                              <w:rPr>
                                <w:rFonts w:ascii="DIN" w:hAnsi="DIN" w:cs="DIN"/>
                                <w:sz w:val="17"/>
                                <w:szCs w:val="17"/>
                              </w:rPr>
                              <w:t xml:space="preserve">Colour Rhythm </w:t>
                            </w:r>
                          </w:p>
                        </w:tc>
                        <w:tc>
                          <w:tcPr>
                            <w:tcW w:w="2362" w:type="dxa"/>
                            <w:gridSpan w:val="5"/>
                            <w:tcBorders>
                              <w:top w:val="single" w:sz="2" w:space="0" w:color="EC1B22"/>
                              <w:left w:val="single" w:sz="2" w:space="0" w:color="EC1B22"/>
                              <w:bottom w:val="single" w:sz="2" w:space="0" w:color="EC1B22"/>
                              <w:right w:val="single" w:sz="2" w:space="0" w:color="EC1B22"/>
                            </w:tcBorders>
                          </w:tcPr>
                          <w:p w14:paraId="0EF0D068" w14:textId="77777777" w:rsidR="00000000" w:rsidRDefault="00A450E1">
                            <w:pPr>
                              <w:pStyle w:val="Default"/>
                              <w:rPr>
                                <w:rFonts w:ascii="DIN" w:hAnsi="DIN" w:cs="DIN"/>
                                <w:sz w:val="17"/>
                                <w:szCs w:val="17"/>
                              </w:rPr>
                            </w:pPr>
                            <w:r>
                              <w:rPr>
                                <w:rFonts w:ascii="DIN" w:hAnsi="DIN" w:cs="DIN"/>
                                <w:sz w:val="17"/>
                                <w:szCs w:val="17"/>
                              </w:rPr>
                              <w:t xml:space="preserve">White Isophase, occulting, one long flash every 10s or Morse “A” </w:t>
                            </w:r>
                          </w:p>
                        </w:tc>
                      </w:tr>
                    </w:tbl>
                  </w:txbxContent>
                </v:textbox>
                <w10:wrap type="through" anchorx="page" anchory="page"/>
              </v:shape>
            </w:pict>
          </mc:Fallback>
        </mc:AlternateContent>
      </w:r>
    </w:p>
    <w:p w14:paraId="24072B19" w14:textId="77777777" w:rsidR="00541A14" w:rsidRDefault="00A450E1">
      <w:pPr>
        <w:pStyle w:val="CM163"/>
        <w:spacing w:after="642" w:line="211" w:lineRule="atLeast"/>
        <w:jc w:val="both"/>
        <w:rPr>
          <w:rFonts w:ascii="DIN" w:hAnsi="DIN" w:cs="DIN"/>
          <w:sz w:val="15"/>
          <w:szCs w:val="15"/>
        </w:rPr>
      </w:pPr>
      <w:r>
        <w:rPr>
          <w:rFonts w:ascii="DIN" w:hAnsi="DIN" w:cs="DIN"/>
          <w:b/>
          <w:bCs/>
          <w:sz w:val="18"/>
          <w:szCs w:val="18"/>
        </w:rPr>
        <w:t xml:space="preserve">Note </w:t>
      </w:r>
      <w:r>
        <w:rPr>
          <w:rFonts w:ascii="DIN" w:hAnsi="DIN" w:cs="DIN"/>
          <w:b/>
          <w:bCs/>
          <w:position w:val="9"/>
          <w:sz w:val="9"/>
          <w:szCs w:val="9"/>
          <w:vertAlign w:val="superscript"/>
        </w:rPr>
        <w:t xml:space="preserve">(b) </w:t>
      </w:r>
      <w:r>
        <w:rPr>
          <w:rFonts w:ascii="DIN" w:hAnsi="DIN" w:cs="DIN"/>
          <w:b/>
          <w:bCs/>
          <w:sz w:val="20"/>
          <w:szCs w:val="20"/>
        </w:rPr>
        <w:t xml:space="preserve">: </w:t>
      </w:r>
      <w:r>
        <w:rPr>
          <w:rFonts w:ascii="DIN" w:hAnsi="DIN" w:cs="DIN"/>
          <w:sz w:val="15"/>
          <w:szCs w:val="15"/>
        </w:rPr>
        <w:t xml:space="preserve">The double sphere topmark is a very important feature of every Isolated Danger mark by day, and should be used wherever practicable and be as large as possible with a clear separation between the spheres. </w:t>
      </w:r>
    </w:p>
    <w:p w14:paraId="420D2244" w14:textId="77777777" w:rsidR="00541A14" w:rsidRDefault="00DD420F">
      <w:pPr>
        <w:pStyle w:val="Default"/>
        <w:framePr w:w="829" w:wrap="auto" w:vAnchor="page" w:hAnchor="page" w:x="6088" w:y="15190"/>
        <w:spacing w:after="120"/>
        <w:rPr>
          <w:rFonts w:ascii="DIN" w:hAnsi="DIN" w:cs="DIN"/>
          <w:color w:val="auto"/>
          <w:sz w:val="15"/>
          <w:szCs w:val="15"/>
        </w:rPr>
      </w:pPr>
      <w:r>
        <w:rPr>
          <w:rFonts w:ascii="DIN" w:hAnsi="DIN" w:cs="DIN"/>
          <w:noProof/>
          <w:color w:val="auto"/>
          <w:sz w:val="15"/>
          <w:szCs w:val="15"/>
        </w:rPr>
        <w:drawing>
          <wp:inline distT="0" distB="0" distL="0" distR="0" wp14:anchorId="19B5E5DB" wp14:editId="723FBDF9">
            <wp:extent cx="11430" cy="1143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0CE86FC9" w14:textId="77777777" w:rsidR="00541A14" w:rsidRDefault="00A450E1">
      <w:pPr>
        <w:pStyle w:val="CM12"/>
        <w:jc w:val="both"/>
        <w:rPr>
          <w:rFonts w:ascii="DIN" w:hAnsi="DIN" w:cs="DIN"/>
          <w:sz w:val="15"/>
          <w:szCs w:val="15"/>
        </w:rPr>
      </w:pPr>
      <w:r>
        <w:rPr>
          <w:rFonts w:ascii="DIN" w:hAnsi="DIN" w:cs="DIN"/>
          <w:sz w:val="15"/>
          <w:szCs w:val="15"/>
        </w:rPr>
        <w:t xml:space="preserve">Maritime Buoyage System </w:t>
      </w:r>
    </w:p>
    <w:p w14:paraId="4C1526C5" w14:textId="77777777" w:rsidR="00541A14" w:rsidRDefault="00A450E1">
      <w:pPr>
        <w:pStyle w:val="CM12"/>
        <w:spacing w:after="2735"/>
        <w:jc w:val="both"/>
        <w:rPr>
          <w:rFonts w:ascii="DIN" w:hAnsi="DIN" w:cs="DIN"/>
          <w:color w:val="EC1B22"/>
          <w:sz w:val="15"/>
          <w:szCs w:val="15"/>
        </w:rPr>
      </w:pPr>
      <w:r>
        <w:rPr>
          <w:rFonts w:ascii="DIN" w:hAnsi="DIN" w:cs="DIN"/>
          <w:color w:val="EC1B22"/>
          <w:sz w:val="15"/>
          <w:szCs w:val="15"/>
        </w:rPr>
        <w:t xml:space="preserve">Marks </w:t>
      </w:r>
    </w:p>
    <w:p w14:paraId="627D289C" w14:textId="77777777" w:rsidR="00541A14" w:rsidRDefault="00A450E1">
      <w:pPr>
        <w:pStyle w:val="CM162"/>
        <w:spacing w:after="552"/>
        <w:ind w:left="4890"/>
        <w:rPr>
          <w:rFonts w:ascii="DIN" w:hAnsi="DIN" w:cs="DIN"/>
          <w:color w:val="6B6D6F"/>
          <w:sz w:val="47"/>
          <w:szCs w:val="47"/>
        </w:rPr>
      </w:pPr>
      <w:r>
        <w:rPr>
          <w:rFonts w:ascii="DIN" w:hAnsi="DIN" w:cs="DIN"/>
          <w:color w:val="6B6D6F"/>
          <w:sz w:val="47"/>
          <w:szCs w:val="47"/>
        </w:rPr>
        <w:t xml:space="preserve">16 </w:t>
      </w:r>
    </w:p>
    <w:p w14:paraId="768BC8BA" w14:textId="77777777" w:rsidR="00541A14" w:rsidRDefault="00DD420F">
      <w:pPr>
        <w:pStyle w:val="Default"/>
        <w:framePr w:w="10730" w:wrap="auto" w:vAnchor="page" w:hAnchor="page" w:x="608" w:y="16318"/>
        <w:rPr>
          <w:rFonts w:ascii="DIN" w:hAnsi="DIN" w:cs="DIN"/>
          <w:color w:val="6B6D6F"/>
          <w:sz w:val="47"/>
          <w:szCs w:val="47"/>
        </w:rPr>
      </w:pPr>
      <w:r>
        <w:rPr>
          <w:rFonts w:ascii="DIN" w:hAnsi="DIN" w:cs="DIN"/>
          <w:noProof/>
          <w:color w:val="6B6D6F"/>
          <w:sz w:val="47"/>
          <w:szCs w:val="47"/>
        </w:rPr>
        <w:drawing>
          <wp:inline distT="0" distB="0" distL="0" distR="0" wp14:anchorId="1267FB3C" wp14:editId="3A1DF75A">
            <wp:extent cx="7553960" cy="39179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6BA08286" w14:textId="77777777" w:rsidR="00541A14" w:rsidRDefault="00A450E1">
      <w:pPr>
        <w:pStyle w:val="CM164"/>
        <w:pageBreakBefore/>
        <w:spacing w:after="1215"/>
        <w:jc w:val="center"/>
        <w:rPr>
          <w:rFonts w:ascii="DIN" w:hAnsi="DIN" w:cs="DIN"/>
          <w:color w:val="EC1B22"/>
          <w:sz w:val="22"/>
          <w:szCs w:val="22"/>
        </w:rPr>
      </w:pPr>
      <w:r>
        <w:rPr>
          <w:rFonts w:ascii="DIN" w:hAnsi="DIN" w:cs="DIN"/>
          <w:b/>
          <w:bCs/>
          <w:color w:val="EC1B22"/>
          <w:sz w:val="22"/>
          <w:szCs w:val="22"/>
        </w:rPr>
        <w:t xml:space="preserve">6. SPECIAL MARKS </w:t>
      </w:r>
    </w:p>
    <w:p w14:paraId="07BC51BC" w14:textId="77777777" w:rsidR="00541A14" w:rsidRDefault="00A450E1">
      <w:pPr>
        <w:pStyle w:val="CM165"/>
        <w:spacing w:after="85" w:line="246" w:lineRule="atLeast"/>
        <w:ind w:left="320" w:hanging="320"/>
        <w:rPr>
          <w:rFonts w:ascii="DIN" w:hAnsi="DIN" w:cs="DIN"/>
          <w:color w:val="000000"/>
          <w:sz w:val="17"/>
          <w:szCs w:val="17"/>
        </w:rPr>
      </w:pPr>
      <w:r>
        <w:rPr>
          <w:rFonts w:ascii="DIN" w:hAnsi="DIN" w:cs="DIN"/>
          <w:b/>
          <w:bCs/>
          <w:color w:val="EC1B22"/>
          <w:sz w:val="17"/>
          <w:szCs w:val="17"/>
        </w:rPr>
        <w:t xml:space="preserve">6.1 Definition of Special Marks </w:t>
      </w:r>
      <w:r>
        <w:rPr>
          <w:rFonts w:ascii="DIN" w:hAnsi="DIN" w:cs="DIN"/>
          <w:color w:val="000000"/>
          <w:sz w:val="17"/>
          <w:szCs w:val="17"/>
        </w:rPr>
        <w:t xml:space="preserve">Marks used to indicate a special area or feature whose nature may be apparent from reference to a chart or other nautical publication. They are not generally intended to mark channels or obstructions where other marks are more suitable. </w:t>
      </w:r>
    </w:p>
    <w:p w14:paraId="5E9840EF" w14:textId="77777777" w:rsidR="00541A14" w:rsidRDefault="00A450E1">
      <w:pPr>
        <w:pStyle w:val="CM145"/>
        <w:ind w:left="4785"/>
        <w:rPr>
          <w:rFonts w:ascii="DIN" w:hAnsi="DIN" w:cs="DIN"/>
          <w:color w:val="EC1B22"/>
          <w:sz w:val="17"/>
          <w:szCs w:val="17"/>
        </w:rPr>
      </w:pPr>
      <w:r>
        <w:rPr>
          <w:rFonts w:ascii="DIN" w:hAnsi="DIN" w:cs="DIN"/>
          <w:b/>
          <w:bCs/>
          <w:color w:val="EC1B22"/>
          <w:sz w:val="17"/>
          <w:szCs w:val="17"/>
        </w:rPr>
        <w:t xml:space="preserve">6.2 Description of Special Marks </w:t>
      </w:r>
    </w:p>
    <w:p w14:paraId="11FFEE0A" w14:textId="77777777" w:rsidR="00541A14" w:rsidRDefault="00A450E1">
      <w:pPr>
        <w:pStyle w:val="CM72"/>
        <w:ind w:left="295"/>
        <w:rPr>
          <w:rFonts w:ascii="DIN" w:hAnsi="DIN" w:cs="DIN"/>
          <w:color w:val="000000"/>
          <w:sz w:val="17"/>
          <w:szCs w:val="17"/>
        </w:rPr>
      </w:pPr>
      <w:r>
        <w:rPr>
          <w:rFonts w:ascii="DIN" w:hAnsi="DIN" w:cs="DIN"/>
          <w:color w:val="000000"/>
          <w:sz w:val="17"/>
          <w:szCs w:val="17"/>
        </w:rPr>
        <w:t xml:space="preserve">Some examples of uses of Special Marks </w:t>
      </w:r>
    </w:p>
    <w:p w14:paraId="225BA79D" w14:textId="77777777" w:rsidR="00541A14" w:rsidRDefault="00A450E1">
      <w:pPr>
        <w:pStyle w:val="CM165"/>
        <w:spacing w:after="85" w:line="243" w:lineRule="atLeast"/>
        <w:ind w:left="477" w:right="110" w:hanging="478"/>
        <w:rPr>
          <w:rFonts w:ascii="DIN" w:hAnsi="DIN" w:cs="DIN"/>
          <w:color w:val="000000"/>
          <w:sz w:val="17"/>
          <w:szCs w:val="17"/>
        </w:rPr>
      </w:pPr>
      <w:r>
        <w:rPr>
          <w:rFonts w:ascii="DIN" w:hAnsi="DIN" w:cs="DIN"/>
          <w:b/>
          <w:bCs/>
          <w:color w:val="000000"/>
          <w:sz w:val="17"/>
          <w:szCs w:val="17"/>
        </w:rPr>
        <w:t xml:space="preserve">6.1.1 </w:t>
      </w:r>
      <w:r>
        <w:rPr>
          <w:rFonts w:ascii="DIN" w:hAnsi="DIN" w:cs="DIN"/>
          <w:color w:val="000000"/>
          <w:sz w:val="17"/>
          <w:szCs w:val="17"/>
        </w:rPr>
        <w:t xml:space="preserve">Ocean Data Acquisition Systems (ODAS) marks. </w:t>
      </w:r>
    </w:p>
    <w:p w14:paraId="3139EB6E" w14:textId="77777777" w:rsidR="00541A14" w:rsidRDefault="00A450E1">
      <w:pPr>
        <w:pStyle w:val="CM165"/>
        <w:spacing w:after="85" w:line="243" w:lineRule="atLeast"/>
        <w:ind w:left="477" w:hanging="478"/>
        <w:rPr>
          <w:rFonts w:ascii="DIN" w:hAnsi="DIN" w:cs="DIN"/>
          <w:color w:val="000000"/>
          <w:sz w:val="17"/>
          <w:szCs w:val="17"/>
        </w:rPr>
      </w:pPr>
      <w:r>
        <w:rPr>
          <w:rFonts w:ascii="DIN" w:hAnsi="DIN" w:cs="DIN"/>
          <w:b/>
          <w:bCs/>
          <w:color w:val="000000"/>
          <w:sz w:val="17"/>
          <w:szCs w:val="17"/>
        </w:rPr>
        <w:t xml:space="preserve">6.1.2 </w:t>
      </w:r>
      <w:r>
        <w:rPr>
          <w:rFonts w:ascii="DIN" w:hAnsi="DIN" w:cs="DIN"/>
          <w:color w:val="000000"/>
          <w:sz w:val="17"/>
          <w:szCs w:val="17"/>
        </w:rPr>
        <w:t xml:space="preserve">Traffic separation marks where use of conventional channel marking may cause confusion. </w:t>
      </w:r>
    </w:p>
    <w:p w14:paraId="1609BA0C" w14:textId="77777777" w:rsidR="00541A14" w:rsidRDefault="00A450E1">
      <w:pPr>
        <w:pStyle w:val="CM165"/>
        <w:spacing w:after="85" w:line="251" w:lineRule="atLeast"/>
        <w:rPr>
          <w:rFonts w:ascii="DIN" w:hAnsi="DIN" w:cs="DIN"/>
          <w:color w:val="000000"/>
          <w:sz w:val="17"/>
          <w:szCs w:val="17"/>
        </w:rPr>
      </w:pPr>
      <w:r>
        <w:rPr>
          <w:rFonts w:ascii="DIN" w:hAnsi="DIN" w:cs="DIN"/>
          <w:b/>
          <w:bCs/>
          <w:color w:val="000000"/>
          <w:sz w:val="17"/>
          <w:szCs w:val="17"/>
        </w:rPr>
        <w:t xml:space="preserve">6.1.3 </w:t>
      </w:r>
      <w:r>
        <w:rPr>
          <w:rFonts w:ascii="DIN" w:hAnsi="DIN" w:cs="DIN"/>
          <w:color w:val="000000"/>
          <w:sz w:val="17"/>
          <w:szCs w:val="17"/>
        </w:rPr>
        <w:t xml:space="preserve">Spoil Ground marks. </w:t>
      </w:r>
    </w:p>
    <w:p w14:paraId="0E332518" w14:textId="77777777" w:rsidR="00541A14" w:rsidRDefault="00A450E1">
      <w:pPr>
        <w:pStyle w:val="CM165"/>
        <w:spacing w:after="85" w:line="251" w:lineRule="atLeast"/>
        <w:rPr>
          <w:rFonts w:ascii="DIN" w:hAnsi="DIN" w:cs="DIN"/>
          <w:color w:val="000000"/>
          <w:sz w:val="17"/>
          <w:szCs w:val="17"/>
        </w:rPr>
      </w:pPr>
      <w:r>
        <w:rPr>
          <w:rFonts w:ascii="DIN" w:hAnsi="DIN" w:cs="DIN"/>
          <w:b/>
          <w:bCs/>
          <w:color w:val="000000"/>
          <w:sz w:val="17"/>
          <w:szCs w:val="17"/>
        </w:rPr>
        <w:t xml:space="preserve">6.1.4 </w:t>
      </w:r>
      <w:r>
        <w:rPr>
          <w:rFonts w:ascii="DIN" w:hAnsi="DIN" w:cs="DIN"/>
          <w:color w:val="000000"/>
          <w:sz w:val="17"/>
          <w:szCs w:val="17"/>
        </w:rPr>
        <w:t xml:space="preserve">Military exercise zone marks. </w:t>
      </w:r>
    </w:p>
    <w:p w14:paraId="5B22CF2D" w14:textId="77777777" w:rsidR="00541A14" w:rsidRDefault="00A450E1">
      <w:pPr>
        <w:pStyle w:val="CM165"/>
        <w:spacing w:after="85" w:line="251" w:lineRule="atLeast"/>
        <w:rPr>
          <w:rFonts w:ascii="DIN" w:hAnsi="DIN" w:cs="DIN"/>
          <w:color w:val="000000"/>
          <w:sz w:val="17"/>
          <w:szCs w:val="17"/>
        </w:rPr>
      </w:pPr>
      <w:r>
        <w:rPr>
          <w:rFonts w:ascii="DIN" w:hAnsi="DIN" w:cs="DIN"/>
          <w:b/>
          <w:bCs/>
          <w:color w:val="000000"/>
          <w:sz w:val="17"/>
          <w:szCs w:val="17"/>
        </w:rPr>
        <w:t xml:space="preserve">6.1.5 </w:t>
      </w:r>
      <w:r>
        <w:rPr>
          <w:rFonts w:ascii="DIN" w:hAnsi="DIN" w:cs="DIN"/>
          <w:color w:val="000000"/>
          <w:sz w:val="17"/>
          <w:szCs w:val="17"/>
        </w:rPr>
        <w:t xml:space="preserve">Cable or pipeline marks. </w:t>
      </w:r>
    </w:p>
    <w:p w14:paraId="6172D9CC" w14:textId="77777777" w:rsidR="00541A14" w:rsidRDefault="00A450E1">
      <w:pPr>
        <w:pStyle w:val="CM165"/>
        <w:spacing w:after="85" w:line="251" w:lineRule="atLeast"/>
        <w:rPr>
          <w:rFonts w:ascii="DIN" w:hAnsi="DIN" w:cs="DIN"/>
          <w:color w:val="000000"/>
          <w:sz w:val="17"/>
          <w:szCs w:val="17"/>
        </w:rPr>
      </w:pPr>
      <w:r>
        <w:rPr>
          <w:rFonts w:ascii="DIN" w:hAnsi="DIN" w:cs="DIN"/>
          <w:b/>
          <w:bCs/>
          <w:color w:val="000000"/>
          <w:sz w:val="17"/>
          <w:szCs w:val="17"/>
        </w:rPr>
        <w:t xml:space="preserve">6.1.6 </w:t>
      </w:r>
      <w:r>
        <w:rPr>
          <w:rFonts w:ascii="DIN" w:hAnsi="DIN" w:cs="DIN"/>
          <w:color w:val="000000"/>
          <w:sz w:val="17"/>
          <w:szCs w:val="17"/>
        </w:rPr>
        <w:t xml:space="preserve">Recreation zone marks. </w:t>
      </w:r>
    </w:p>
    <w:p w14:paraId="0E1A48E5" w14:textId="77777777" w:rsidR="00541A14" w:rsidRDefault="00A450E1">
      <w:pPr>
        <w:pStyle w:val="CM165"/>
        <w:spacing w:after="85" w:line="251" w:lineRule="atLeast"/>
        <w:rPr>
          <w:rFonts w:ascii="DIN" w:hAnsi="DIN" w:cs="DIN"/>
          <w:color w:val="000000"/>
          <w:sz w:val="17"/>
          <w:szCs w:val="17"/>
        </w:rPr>
      </w:pPr>
      <w:r>
        <w:rPr>
          <w:rFonts w:ascii="DIN" w:hAnsi="DIN" w:cs="DIN"/>
          <w:b/>
          <w:bCs/>
          <w:color w:val="000000"/>
          <w:sz w:val="17"/>
          <w:szCs w:val="17"/>
        </w:rPr>
        <w:t xml:space="preserve">6.1.7 </w:t>
      </w:r>
      <w:r>
        <w:rPr>
          <w:rFonts w:ascii="DIN" w:hAnsi="DIN" w:cs="DIN"/>
          <w:color w:val="000000"/>
          <w:sz w:val="17"/>
          <w:szCs w:val="17"/>
        </w:rPr>
        <w:t xml:space="preserve">Boundaries of anchorage areas </w:t>
      </w:r>
    </w:p>
    <w:p w14:paraId="216B2E3E" w14:textId="77777777" w:rsidR="00541A14" w:rsidRDefault="00A450E1">
      <w:pPr>
        <w:pStyle w:val="CM165"/>
        <w:spacing w:after="85" w:line="243" w:lineRule="atLeast"/>
        <w:ind w:left="477" w:hanging="478"/>
        <w:rPr>
          <w:rFonts w:ascii="DIN" w:hAnsi="DIN" w:cs="DIN"/>
          <w:color w:val="000000"/>
          <w:sz w:val="17"/>
          <w:szCs w:val="17"/>
        </w:rPr>
      </w:pPr>
      <w:r>
        <w:rPr>
          <w:rFonts w:ascii="DIN" w:hAnsi="DIN" w:cs="DIN"/>
          <w:b/>
          <w:bCs/>
          <w:color w:val="000000"/>
          <w:sz w:val="17"/>
          <w:szCs w:val="17"/>
        </w:rPr>
        <w:t xml:space="preserve">6.1.8 </w:t>
      </w:r>
      <w:r>
        <w:rPr>
          <w:rFonts w:ascii="DIN" w:hAnsi="DIN" w:cs="DIN"/>
          <w:color w:val="000000"/>
          <w:sz w:val="17"/>
          <w:szCs w:val="17"/>
        </w:rPr>
        <w:t xml:space="preserve">Structures such as offshore renewable energy installations </w:t>
      </w:r>
    </w:p>
    <w:p w14:paraId="27D9CB14" w14:textId="77777777" w:rsidR="00541A14" w:rsidRDefault="00A450E1">
      <w:pPr>
        <w:pStyle w:val="CM36"/>
        <w:spacing w:after="2227"/>
        <w:rPr>
          <w:rFonts w:ascii="DIN" w:hAnsi="DIN" w:cs="DIN"/>
          <w:color w:val="000000"/>
          <w:sz w:val="17"/>
          <w:szCs w:val="17"/>
        </w:rPr>
      </w:pPr>
      <w:r>
        <w:rPr>
          <w:rFonts w:ascii="DIN" w:hAnsi="DIN" w:cs="DIN"/>
          <w:b/>
          <w:bCs/>
          <w:color w:val="000000"/>
          <w:sz w:val="17"/>
          <w:szCs w:val="17"/>
        </w:rPr>
        <w:t xml:space="preserve">6.1.9 </w:t>
      </w:r>
      <w:r>
        <w:rPr>
          <w:rFonts w:ascii="DIN" w:hAnsi="DIN" w:cs="DIN"/>
          <w:color w:val="000000"/>
          <w:sz w:val="17"/>
          <w:szCs w:val="17"/>
        </w:rPr>
        <w:t xml:space="preserve">Aquaculture </w:t>
      </w:r>
    </w:p>
    <w:p w14:paraId="69508DD6"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704320" behindDoc="0" locked="0" layoutInCell="0" allowOverlap="1" wp14:anchorId="2AA70745" wp14:editId="64CEB828">
                <wp:simplePos x="0" y="0"/>
                <wp:positionH relativeFrom="page">
                  <wp:posOffset>4004310</wp:posOffset>
                </wp:positionH>
                <wp:positionV relativeFrom="page">
                  <wp:posOffset>3626485</wp:posOffset>
                </wp:positionV>
                <wp:extent cx="3203575" cy="2614295"/>
                <wp:effectExtent l="0" t="0" r="0" b="0"/>
                <wp:wrapThrough wrapText="bothSides">
                  <wp:wrapPolygon edited="0">
                    <wp:start x="0" y="0"/>
                    <wp:lineTo x="21600" y="0"/>
                    <wp:lineTo x="21600" y="21600"/>
                    <wp:lineTo x="0" y="21600"/>
                    <wp:lineTo x="0" y="0"/>
                  </wp:wrapPolygon>
                </wp:wrapThrough>
                <wp:docPr id="511"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3575" cy="2614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930"/>
                              <w:gridCol w:w="2315"/>
                            </w:tblGrid>
                            <w:tr w:rsidR="00541A14" w14:paraId="4C1E6572" w14:textId="77777777">
                              <w:trPr>
                                <w:trHeight w:val="182"/>
                              </w:trPr>
                              <w:tc>
                                <w:tcPr>
                                  <w:tcW w:w="1930" w:type="dxa"/>
                                  <w:shd w:val="clear" w:color="auto" w:fill="EC1B22"/>
                                </w:tcPr>
                                <w:p w14:paraId="12EFBD5E" w14:textId="77777777" w:rsidR="00541A14" w:rsidRDefault="00541A14">
                                  <w:pPr>
                                    <w:pStyle w:val="Default"/>
                                    <w:rPr>
                                      <w:rFonts w:cs="Times New Roman"/>
                                      <w:color w:val="auto"/>
                                    </w:rPr>
                                  </w:pPr>
                                </w:p>
                              </w:tc>
                              <w:tc>
                                <w:tcPr>
                                  <w:tcW w:w="2315" w:type="dxa"/>
                                  <w:shd w:val="clear" w:color="auto" w:fill="EC1B22"/>
                                  <w:vAlign w:val="center"/>
                                </w:tcPr>
                                <w:p w14:paraId="12406990" w14:textId="77777777" w:rsidR="00541A14" w:rsidRDefault="00A450E1">
                                  <w:pPr>
                                    <w:pStyle w:val="Default"/>
                                    <w:rPr>
                                      <w:rFonts w:ascii="DIN" w:hAnsi="DIN" w:cs="DIN"/>
                                      <w:color w:val="FFFFFF"/>
                                      <w:sz w:val="17"/>
                                      <w:szCs w:val="17"/>
                                    </w:rPr>
                                  </w:pPr>
                                  <w:r>
                                    <w:rPr>
                                      <w:rFonts w:ascii="DIN" w:hAnsi="DIN" w:cs="DIN"/>
                                      <w:b/>
                                      <w:bCs/>
                                      <w:color w:val="FFFFFF"/>
                                      <w:sz w:val="17"/>
                                      <w:szCs w:val="17"/>
                                    </w:rPr>
                                    <w:t xml:space="preserve">Description </w:t>
                                  </w:r>
                                </w:p>
                              </w:tc>
                            </w:tr>
                            <w:tr w:rsidR="00541A14" w14:paraId="770A77AC" w14:textId="77777777">
                              <w:trPr>
                                <w:trHeight w:val="177"/>
                              </w:trPr>
                              <w:tc>
                                <w:tcPr>
                                  <w:tcW w:w="1930" w:type="dxa"/>
                                  <w:tcBorders>
                                    <w:left w:val="single" w:sz="2" w:space="0" w:color="EC1B22"/>
                                    <w:right w:val="single" w:sz="2" w:space="0" w:color="EC1B22"/>
                                  </w:tcBorders>
                                  <w:shd w:val="clear" w:color="auto" w:fill="FCE2D7"/>
                                  <w:vAlign w:val="center"/>
                                </w:tcPr>
                                <w:p w14:paraId="45269FBB" w14:textId="77777777" w:rsidR="00541A14" w:rsidRDefault="00A450E1">
                                  <w:pPr>
                                    <w:pStyle w:val="Default"/>
                                    <w:rPr>
                                      <w:rFonts w:ascii="DIN" w:hAnsi="DIN" w:cs="DIN"/>
                                      <w:sz w:val="17"/>
                                      <w:szCs w:val="17"/>
                                    </w:rPr>
                                  </w:pPr>
                                  <w:r>
                                    <w:rPr>
                                      <w:rFonts w:ascii="DIN" w:hAnsi="DIN" w:cs="DIN"/>
                                      <w:b/>
                                      <w:bCs/>
                                      <w:sz w:val="17"/>
                                      <w:szCs w:val="17"/>
                                    </w:rPr>
                                    <w:t xml:space="preserve">Colour </w:t>
                                  </w:r>
                                </w:p>
                              </w:tc>
                              <w:tc>
                                <w:tcPr>
                                  <w:tcW w:w="2315" w:type="dxa"/>
                                  <w:tcBorders>
                                    <w:left w:val="single" w:sz="2" w:space="0" w:color="EC1B22"/>
                                    <w:right w:val="single" w:sz="2" w:space="0" w:color="EC1B22"/>
                                  </w:tcBorders>
                                  <w:shd w:val="clear" w:color="auto" w:fill="FCE2D7"/>
                                  <w:vAlign w:val="center"/>
                                </w:tcPr>
                                <w:p w14:paraId="75CA9030" w14:textId="77777777" w:rsidR="00541A14" w:rsidRDefault="00A450E1">
                                  <w:pPr>
                                    <w:pStyle w:val="Default"/>
                                    <w:rPr>
                                      <w:rFonts w:ascii="DIN" w:hAnsi="DIN" w:cs="DIN"/>
                                      <w:sz w:val="17"/>
                                      <w:szCs w:val="17"/>
                                    </w:rPr>
                                  </w:pPr>
                                  <w:r>
                                    <w:rPr>
                                      <w:rFonts w:ascii="DIN" w:hAnsi="DIN" w:cs="DIN"/>
                                      <w:sz w:val="17"/>
                                      <w:szCs w:val="17"/>
                                    </w:rPr>
                                    <w:t xml:space="preserve">Yellow </w:t>
                                  </w:r>
                                </w:p>
                              </w:tc>
                            </w:tr>
                            <w:tr w:rsidR="00541A14" w14:paraId="0EBFEC7E" w14:textId="77777777">
                              <w:trPr>
                                <w:trHeight w:val="156"/>
                              </w:trPr>
                              <w:tc>
                                <w:tcPr>
                                  <w:tcW w:w="1930" w:type="dxa"/>
                                  <w:tcBorders>
                                    <w:left w:val="single" w:sz="2" w:space="0" w:color="EC1B22"/>
                                    <w:right w:val="single" w:sz="2" w:space="0" w:color="EC1B22"/>
                                  </w:tcBorders>
                                  <w:vAlign w:val="bottom"/>
                                </w:tcPr>
                                <w:p w14:paraId="679DF399" w14:textId="77777777" w:rsidR="00541A14" w:rsidRDefault="00A450E1">
                                  <w:pPr>
                                    <w:pStyle w:val="Default"/>
                                    <w:rPr>
                                      <w:rFonts w:ascii="DIN" w:hAnsi="DIN" w:cs="DIN"/>
                                      <w:sz w:val="17"/>
                                      <w:szCs w:val="17"/>
                                    </w:rPr>
                                  </w:pPr>
                                  <w:r>
                                    <w:rPr>
                                      <w:rFonts w:ascii="DIN" w:hAnsi="DIN" w:cs="DIN"/>
                                      <w:b/>
                                      <w:bCs/>
                                      <w:sz w:val="17"/>
                                      <w:szCs w:val="17"/>
                                    </w:rPr>
                                    <w:t xml:space="preserve">Shape of buoy </w:t>
                                  </w:r>
                                </w:p>
                              </w:tc>
                              <w:tc>
                                <w:tcPr>
                                  <w:tcW w:w="2315" w:type="dxa"/>
                                  <w:tcBorders>
                                    <w:left w:val="single" w:sz="2" w:space="0" w:color="EC1B22"/>
                                    <w:right w:val="single" w:sz="2" w:space="0" w:color="EC1B22"/>
                                  </w:tcBorders>
                                  <w:vAlign w:val="bottom"/>
                                </w:tcPr>
                                <w:p w14:paraId="31972700" w14:textId="77777777" w:rsidR="00541A14" w:rsidRDefault="00A450E1">
                                  <w:pPr>
                                    <w:pStyle w:val="Default"/>
                                    <w:rPr>
                                      <w:rFonts w:ascii="DIN" w:hAnsi="DIN" w:cs="DIN"/>
                                      <w:sz w:val="17"/>
                                      <w:szCs w:val="17"/>
                                    </w:rPr>
                                  </w:pPr>
                                  <w:r>
                                    <w:rPr>
                                      <w:rFonts w:ascii="DIN" w:hAnsi="DIN" w:cs="DIN"/>
                                      <w:sz w:val="17"/>
                                      <w:szCs w:val="17"/>
                                    </w:rPr>
                                    <w:t xml:space="preserve">Optional, but not conflicting </w:t>
                                  </w:r>
                                </w:p>
                              </w:tc>
                            </w:tr>
                            <w:tr w:rsidR="00541A14" w14:paraId="050879E7" w14:textId="77777777">
                              <w:trPr>
                                <w:trHeight w:val="121"/>
                              </w:trPr>
                              <w:tc>
                                <w:tcPr>
                                  <w:tcW w:w="1930" w:type="dxa"/>
                                  <w:tcBorders>
                                    <w:left w:val="single" w:sz="2" w:space="0" w:color="EC1B22"/>
                                    <w:right w:val="single" w:sz="2" w:space="0" w:color="EC1B22"/>
                                  </w:tcBorders>
                                </w:tcPr>
                                <w:p w14:paraId="73E047CE" w14:textId="77777777" w:rsidR="00541A14" w:rsidRDefault="00541A14">
                                  <w:pPr>
                                    <w:pStyle w:val="Default"/>
                                    <w:rPr>
                                      <w:rFonts w:cs="Times New Roman"/>
                                      <w:color w:val="auto"/>
                                    </w:rPr>
                                  </w:pPr>
                                </w:p>
                              </w:tc>
                              <w:tc>
                                <w:tcPr>
                                  <w:tcW w:w="2315" w:type="dxa"/>
                                  <w:tcBorders>
                                    <w:left w:val="single" w:sz="2" w:space="0" w:color="EC1B22"/>
                                    <w:right w:val="single" w:sz="2" w:space="0" w:color="EC1B22"/>
                                  </w:tcBorders>
                                </w:tcPr>
                                <w:p w14:paraId="7E2FA637" w14:textId="77777777" w:rsidR="00541A14" w:rsidRDefault="00A450E1">
                                  <w:pPr>
                                    <w:pStyle w:val="Default"/>
                                    <w:rPr>
                                      <w:rFonts w:ascii="DIN" w:hAnsi="DIN" w:cs="DIN"/>
                                      <w:sz w:val="17"/>
                                      <w:szCs w:val="17"/>
                                    </w:rPr>
                                  </w:pPr>
                                  <w:r>
                                    <w:rPr>
                                      <w:rFonts w:ascii="DIN" w:hAnsi="DIN" w:cs="DIN"/>
                                      <w:sz w:val="17"/>
                                      <w:szCs w:val="17"/>
                                    </w:rPr>
                                    <w:t xml:space="preserve">with lateral marks </w:t>
                                  </w:r>
                                </w:p>
                              </w:tc>
                            </w:tr>
                            <w:tr w:rsidR="00541A14" w14:paraId="2523A8F0" w14:textId="77777777">
                              <w:trPr>
                                <w:trHeight w:val="176"/>
                              </w:trPr>
                              <w:tc>
                                <w:tcPr>
                                  <w:tcW w:w="1930" w:type="dxa"/>
                                  <w:tcBorders>
                                    <w:left w:val="single" w:sz="2" w:space="0" w:color="EC1B22"/>
                                    <w:bottom w:val="single" w:sz="2" w:space="0" w:color="EC1B22"/>
                                    <w:right w:val="single" w:sz="2" w:space="0" w:color="EC1B22"/>
                                  </w:tcBorders>
                                  <w:shd w:val="clear" w:color="auto" w:fill="FCE2D7"/>
                                  <w:vAlign w:val="center"/>
                                </w:tcPr>
                                <w:p w14:paraId="31395861" w14:textId="77777777" w:rsidR="00541A14" w:rsidRDefault="00A450E1">
                                  <w:pPr>
                                    <w:pStyle w:val="Default"/>
                                    <w:rPr>
                                      <w:rFonts w:ascii="DIN" w:hAnsi="DIN" w:cs="DIN"/>
                                      <w:sz w:val="17"/>
                                      <w:szCs w:val="17"/>
                                    </w:rPr>
                                  </w:pPr>
                                  <w:r>
                                    <w:rPr>
                                      <w:rFonts w:ascii="DIN" w:hAnsi="DIN" w:cs="DIN"/>
                                      <w:b/>
                                      <w:bCs/>
                                      <w:sz w:val="17"/>
                                      <w:szCs w:val="17"/>
                                    </w:rPr>
                                    <w:t xml:space="preserve">Top-mark </w:t>
                                  </w:r>
                                  <w:r>
                                    <w:rPr>
                                      <w:rFonts w:ascii="DIN" w:hAnsi="DIN" w:cs="DIN"/>
                                      <w:sz w:val="17"/>
                                      <w:szCs w:val="17"/>
                                    </w:rPr>
                                    <w:t xml:space="preserve">(if any) </w:t>
                                  </w:r>
                                </w:p>
                              </w:tc>
                              <w:tc>
                                <w:tcPr>
                                  <w:tcW w:w="2315" w:type="dxa"/>
                                  <w:tcBorders>
                                    <w:left w:val="single" w:sz="2" w:space="0" w:color="EC1B22"/>
                                    <w:bottom w:val="single" w:sz="2" w:space="0" w:color="EC1B22"/>
                                    <w:right w:val="single" w:sz="2" w:space="0" w:color="EC1B22"/>
                                  </w:tcBorders>
                                  <w:shd w:val="clear" w:color="auto" w:fill="FCE2D7"/>
                                  <w:vAlign w:val="center"/>
                                </w:tcPr>
                                <w:p w14:paraId="00004354" w14:textId="77777777" w:rsidR="00541A14" w:rsidRDefault="00A450E1">
                                  <w:pPr>
                                    <w:pStyle w:val="Default"/>
                                    <w:rPr>
                                      <w:rFonts w:ascii="DIN" w:hAnsi="DIN" w:cs="DIN"/>
                                      <w:sz w:val="17"/>
                                      <w:szCs w:val="17"/>
                                    </w:rPr>
                                  </w:pPr>
                                  <w:r>
                                    <w:rPr>
                                      <w:rFonts w:ascii="DIN" w:hAnsi="DIN" w:cs="DIN"/>
                                      <w:sz w:val="17"/>
                                      <w:szCs w:val="17"/>
                                    </w:rPr>
                                    <w:t xml:space="preserve">Single yellow “X” shape </w:t>
                                  </w:r>
                                </w:p>
                              </w:tc>
                            </w:tr>
                            <w:tr w:rsidR="00541A14" w14:paraId="5EA9EE42" w14:textId="77777777">
                              <w:trPr>
                                <w:trHeight w:val="150"/>
                              </w:trPr>
                              <w:tc>
                                <w:tcPr>
                                  <w:tcW w:w="1930" w:type="dxa"/>
                                  <w:tcBorders>
                                    <w:top w:val="single" w:sz="2" w:space="0" w:color="EC1B22"/>
                                    <w:left w:val="single" w:sz="2" w:space="0" w:color="EC1B22"/>
                                    <w:bottom w:val="single" w:sz="2" w:space="0" w:color="EC1B22"/>
                                  </w:tcBorders>
                                  <w:vAlign w:val="center"/>
                                </w:tcPr>
                                <w:p w14:paraId="6414B43C" w14:textId="77777777" w:rsidR="00541A14"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w:t>
                                  </w:r>
                                </w:p>
                              </w:tc>
                              <w:tc>
                                <w:tcPr>
                                  <w:tcW w:w="2315" w:type="dxa"/>
                                  <w:tcBorders>
                                    <w:top w:val="single" w:sz="2" w:space="0" w:color="EC1B22"/>
                                    <w:bottom w:val="single" w:sz="2" w:space="0" w:color="EC1B22"/>
                                    <w:right w:val="single" w:sz="2" w:space="0" w:color="EC1B22"/>
                                  </w:tcBorders>
                                </w:tcPr>
                                <w:p w14:paraId="09536081" w14:textId="77777777" w:rsidR="00541A14" w:rsidRDefault="00541A14">
                                  <w:pPr>
                                    <w:pStyle w:val="Default"/>
                                    <w:rPr>
                                      <w:rFonts w:cs="Times New Roman"/>
                                      <w:color w:val="auto"/>
                                    </w:rPr>
                                  </w:pPr>
                                </w:p>
                              </w:tc>
                            </w:tr>
                            <w:tr w:rsidR="00541A14" w14:paraId="05447D52" w14:textId="77777777">
                              <w:trPr>
                                <w:trHeight w:val="137"/>
                              </w:trPr>
                              <w:tc>
                                <w:tcPr>
                                  <w:tcW w:w="1930" w:type="dxa"/>
                                  <w:tcBorders>
                                    <w:top w:val="single" w:sz="2" w:space="0" w:color="EC1B22"/>
                                    <w:left w:val="single" w:sz="2" w:space="0" w:color="EC1B22"/>
                                    <w:right w:val="single" w:sz="2" w:space="0" w:color="EC1B22"/>
                                  </w:tcBorders>
                                  <w:shd w:val="clear" w:color="auto" w:fill="FCE2D7"/>
                                  <w:vAlign w:val="center"/>
                                </w:tcPr>
                                <w:p w14:paraId="38263910" w14:textId="77777777" w:rsidR="00541A14" w:rsidRDefault="00A450E1">
                                  <w:pPr>
                                    <w:pStyle w:val="Default"/>
                                    <w:rPr>
                                      <w:rFonts w:ascii="DIN" w:hAnsi="DIN" w:cs="DIN"/>
                                      <w:sz w:val="17"/>
                                      <w:szCs w:val="17"/>
                                    </w:rPr>
                                  </w:pPr>
                                  <w:r>
                                    <w:rPr>
                                      <w:rFonts w:ascii="DIN" w:hAnsi="DIN" w:cs="DIN"/>
                                      <w:sz w:val="17"/>
                                      <w:szCs w:val="17"/>
                                    </w:rPr>
                                    <w:t xml:space="preserve">Colour </w:t>
                                  </w:r>
                                </w:p>
                              </w:tc>
                              <w:tc>
                                <w:tcPr>
                                  <w:tcW w:w="2315" w:type="dxa"/>
                                  <w:tcBorders>
                                    <w:top w:val="single" w:sz="2" w:space="0" w:color="EC1B22"/>
                                    <w:left w:val="single" w:sz="2" w:space="0" w:color="EC1B22"/>
                                    <w:right w:val="single" w:sz="2" w:space="0" w:color="EC1B22"/>
                                  </w:tcBorders>
                                  <w:shd w:val="clear" w:color="auto" w:fill="FCE2D7"/>
                                  <w:vAlign w:val="center"/>
                                </w:tcPr>
                                <w:p w14:paraId="2D67E18C" w14:textId="77777777" w:rsidR="00541A14" w:rsidRDefault="00A450E1">
                                  <w:pPr>
                                    <w:pStyle w:val="Default"/>
                                    <w:rPr>
                                      <w:rFonts w:ascii="DIN" w:hAnsi="DIN" w:cs="DIN"/>
                                      <w:sz w:val="17"/>
                                      <w:szCs w:val="17"/>
                                    </w:rPr>
                                  </w:pPr>
                                  <w:r>
                                    <w:rPr>
                                      <w:rFonts w:ascii="DIN" w:hAnsi="DIN" w:cs="DIN"/>
                                      <w:sz w:val="17"/>
                                      <w:szCs w:val="17"/>
                                    </w:rPr>
                                    <w:t xml:space="preserve">Yellow </w:t>
                                  </w:r>
                                </w:p>
                              </w:tc>
                            </w:tr>
                            <w:tr w:rsidR="00541A14" w14:paraId="7BCBB4F1" w14:textId="77777777">
                              <w:trPr>
                                <w:trHeight w:val="220"/>
                              </w:trPr>
                              <w:tc>
                                <w:tcPr>
                                  <w:tcW w:w="1930" w:type="dxa"/>
                                  <w:tcBorders>
                                    <w:left w:val="single" w:sz="2" w:space="0" w:color="EC1B22"/>
                                    <w:right w:val="single" w:sz="2" w:space="0" w:color="EC1B22"/>
                                  </w:tcBorders>
                                  <w:vAlign w:val="bottom"/>
                                </w:tcPr>
                                <w:p w14:paraId="2F8874E1" w14:textId="77777777" w:rsidR="00541A14" w:rsidRDefault="00A450E1">
                                  <w:pPr>
                                    <w:pStyle w:val="Default"/>
                                    <w:rPr>
                                      <w:rFonts w:ascii="DIN" w:hAnsi="DIN" w:cs="DIN"/>
                                      <w:sz w:val="17"/>
                                      <w:szCs w:val="17"/>
                                    </w:rPr>
                                  </w:pPr>
                                  <w:r>
                                    <w:rPr>
                                      <w:rFonts w:ascii="DIN" w:hAnsi="DIN" w:cs="DIN"/>
                                      <w:sz w:val="17"/>
                                      <w:szCs w:val="17"/>
                                    </w:rPr>
                                    <w:t xml:space="preserve">Rhythm </w:t>
                                  </w:r>
                                </w:p>
                              </w:tc>
                              <w:tc>
                                <w:tcPr>
                                  <w:tcW w:w="2315" w:type="dxa"/>
                                  <w:tcBorders>
                                    <w:left w:val="single" w:sz="2" w:space="0" w:color="EC1B22"/>
                                    <w:right w:val="single" w:sz="2" w:space="0" w:color="EC1B22"/>
                                  </w:tcBorders>
                                  <w:vAlign w:val="center"/>
                                </w:tcPr>
                                <w:p w14:paraId="20F89729" w14:textId="77777777" w:rsidR="00541A14" w:rsidRDefault="00A450E1">
                                  <w:pPr>
                                    <w:pStyle w:val="Default"/>
                                    <w:rPr>
                                      <w:rFonts w:ascii="DIN" w:hAnsi="DIN" w:cs="DIN"/>
                                      <w:sz w:val="17"/>
                                      <w:szCs w:val="17"/>
                                    </w:rPr>
                                  </w:pPr>
                                  <w:r>
                                    <w:rPr>
                                      <w:rFonts w:ascii="DIN" w:hAnsi="DIN" w:cs="DIN"/>
                                      <w:sz w:val="17"/>
                                      <w:szCs w:val="17"/>
                                    </w:rPr>
                                    <w:t xml:space="preserve">Any, other than those reserved for cardinal, isolated </w:t>
                                  </w:r>
                                </w:p>
                              </w:tc>
                            </w:tr>
                            <w:tr w:rsidR="00541A14" w14:paraId="75DC6895" w14:textId="77777777">
                              <w:trPr>
                                <w:trHeight w:val="108"/>
                              </w:trPr>
                              <w:tc>
                                <w:tcPr>
                                  <w:tcW w:w="1930" w:type="dxa"/>
                                  <w:tcBorders>
                                    <w:left w:val="single" w:sz="2" w:space="0" w:color="EC1B22"/>
                                    <w:bottom w:val="single" w:sz="2" w:space="0" w:color="EC1B22"/>
                                    <w:right w:val="single" w:sz="2" w:space="0" w:color="EC1B22"/>
                                  </w:tcBorders>
                                </w:tcPr>
                                <w:p w14:paraId="50E97278" w14:textId="77777777" w:rsidR="00541A14" w:rsidRDefault="00541A14">
                                  <w:pPr>
                                    <w:pStyle w:val="Default"/>
                                    <w:rPr>
                                      <w:rFonts w:cs="Times New Roman"/>
                                      <w:color w:val="auto"/>
                                    </w:rPr>
                                  </w:pPr>
                                </w:p>
                              </w:tc>
                              <w:tc>
                                <w:tcPr>
                                  <w:tcW w:w="2315" w:type="dxa"/>
                                  <w:tcBorders>
                                    <w:left w:val="single" w:sz="2" w:space="0" w:color="EC1B22"/>
                                    <w:bottom w:val="single" w:sz="2" w:space="0" w:color="EC1B22"/>
                                    <w:right w:val="single" w:sz="2" w:space="0" w:color="EC1B22"/>
                                  </w:tcBorders>
                                </w:tcPr>
                                <w:p w14:paraId="26D9353F" w14:textId="77777777" w:rsidR="00541A14" w:rsidRDefault="00A450E1">
                                  <w:pPr>
                                    <w:pStyle w:val="Default"/>
                                    <w:rPr>
                                      <w:rFonts w:ascii="DIN" w:hAnsi="DIN" w:cs="DIN"/>
                                      <w:sz w:val="17"/>
                                      <w:szCs w:val="17"/>
                                    </w:rPr>
                                  </w:pPr>
                                  <w:r>
                                    <w:rPr>
                                      <w:rFonts w:ascii="DIN" w:hAnsi="DIN" w:cs="DIN"/>
                                      <w:sz w:val="17"/>
                                      <w:szCs w:val="17"/>
                                    </w:rPr>
                                    <w:t xml:space="preserve">danger and safe water marks. </w:t>
                                  </w:r>
                                </w:p>
                              </w:tc>
                            </w:tr>
                            <w:tr w:rsidR="00541A14" w14:paraId="48273702" w14:textId="77777777">
                              <w:trPr>
                                <w:trHeight w:val="375"/>
                              </w:trPr>
                              <w:tc>
                                <w:tcPr>
                                  <w:tcW w:w="1930" w:type="dxa"/>
                                  <w:tcBorders>
                                    <w:top w:val="single" w:sz="2" w:space="0" w:color="EC1B22"/>
                                    <w:left w:val="single" w:sz="2" w:space="0" w:color="EC1B22"/>
                                    <w:bottom w:val="single" w:sz="2" w:space="0" w:color="EC1B22"/>
                                    <w:right w:val="single" w:sz="2" w:space="0" w:color="EC1B22"/>
                                  </w:tcBorders>
                                  <w:shd w:val="clear" w:color="auto" w:fill="FCE2D7"/>
                                  <w:vAlign w:val="center"/>
                                </w:tcPr>
                                <w:p w14:paraId="23A50CE6" w14:textId="77777777" w:rsidR="00541A14" w:rsidRDefault="00A450E1">
                                  <w:pPr>
                                    <w:pStyle w:val="Default"/>
                                    <w:rPr>
                                      <w:rFonts w:ascii="DIN" w:hAnsi="DIN" w:cs="DIN"/>
                                      <w:sz w:val="17"/>
                                      <w:szCs w:val="17"/>
                                    </w:rPr>
                                  </w:pPr>
                                  <w:r>
                                    <w:rPr>
                                      <w:rFonts w:ascii="DIN" w:hAnsi="DIN" w:cs="DIN"/>
                                      <w:b/>
                                      <w:bCs/>
                                      <w:sz w:val="17"/>
                                      <w:szCs w:val="17"/>
                                    </w:rPr>
                                    <w:t xml:space="preserve">Pictogram </w:t>
                                  </w:r>
                                </w:p>
                              </w:tc>
                              <w:tc>
                                <w:tcPr>
                                  <w:tcW w:w="2315" w:type="dxa"/>
                                  <w:tcBorders>
                                    <w:top w:val="single" w:sz="2" w:space="0" w:color="EC1B22"/>
                                    <w:left w:val="single" w:sz="2" w:space="0" w:color="EC1B22"/>
                                    <w:bottom w:val="single" w:sz="2" w:space="0" w:color="EC1B22"/>
                                    <w:right w:val="single" w:sz="2" w:space="0" w:color="EC1B22"/>
                                  </w:tcBorders>
                                  <w:shd w:val="clear" w:color="auto" w:fill="FCE2D7"/>
                                  <w:vAlign w:val="center"/>
                                </w:tcPr>
                                <w:p w14:paraId="0DEC9545" w14:textId="77777777" w:rsidR="00541A14" w:rsidRDefault="00A450E1">
                                  <w:pPr>
                                    <w:pStyle w:val="Default"/>
                                    <w:rPr>
                                      <w:rFonts w:ascii="DIN" w:hAnsi="DIN" w:cs="DIN"/>
                                      <w:sz w:val="17"/>
                                      <w:szCs w:val="17"/>
                                    </w:rPr>
                                  </w:pPr>
                                  <w:r>
                                    <w:rPr>
                                      <w:rFonts w:ascii="DIN" w:hAnsi="DIN" w:cs="DIN"/>
                                      <w:sz w:val="17"/>
                                      <w:szCs w:val="17"/>
                                    </w:rPr>
                                    <w:t xml:space="preserve">The use of pictograms is authorized, as defined by a competent authority. </w:t>
                                  </w:r>
                                </w:p>
                              </w:tc>
                            </w:tr>
                          </w:tbl>
                          <w:p w14:paraId="32503D74"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 o:spid="_x0000_s1071" type="#_x0000_t202" style="position:absolute;margin-left:315.3pt;margin-top:285.55pt;width:252.25pt;height:205.85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33"/>
                        <w:gridCol w:w="492"/>
                        <w:gridCol w:w="2317"/>
                        <w:gridCol w:w="5"/>
                        <w:gridCol w:w="5"/>
                        <w:gridCol w:w="12"/>
                      </w:tblGrid>
                      <w:tr w:rsidR="00000000" w14:paraId="4C1E6572" w14:textId="77777777">
                        <w:tblPrEx>
                          <w:tblCellMar>
                            <w:top w:w="0" w:type="dxa"/>
                            <w:bottom w:w="0" w:type="dxa"/>
                          </w:tblCellMar>
                        </w:tblPrEx>
                        <w:trPr>
                          <w:gridAfter w:val="3"/>
                          <w:wAfter w:w="2420" w:type="dxa"/>
                          <w:trHeight w:val="182"/>
                        </w:trPr>
                        <w:tc>
                          <w:tcPr>
                            <w:tcW w:w="1930" w:type="dxa"/>
                            <w:gridSpan w:val="3"/>
                            <w:shd w:val="clear" w:color="auto" w:fill="EC1B22"/>
                          </w:tcPr>
                          <w:p w14:paraId="12EFBD5E" w14:textId="77777777" w:rsidR="00000000" w:rsidRDefault="00A450E1">
                            <w:pPr>
                              <w:pStyle w:val="Default"/>
                              <w:rPr>
                                <w:rFonts w:cs="Times New Roman"/>
                                <w:color w:val="auto"/>
                              </w:rPr>
                            </w:pPr>
                          </w:p>
                        </w:tc>
                        <w:tc>
                          <w:tcPr>
                            <w:tcW w:w="2315" w:type="dxa"/>
                            <w:shd w:val="clear" w:color="auto" w:fill="EC1B22"/>
                            <w:vAlign w:val="center"/>
                          </w:tcPr>
                          <w:p w14:paraId="12406990" w14:textId="77777777" w:rsidR="00000000" w:rsidRDefault="00A450E1">
                            <w:pPr>
                              <w:pStyle w:val="Default"/>
                              <w:rPr>
                                <w:rFonts w:ascii="DIN" w:hAnsi="DIN" w:cs="DIN"/>
                                <w:color w:val="FFFFFF"/>
                                <w:sz w:val="17"/>
                                <w:szCs w:val="17"/>
                              </w:rPr>
                            </w:pPr>
                            <w:r>
                              <w:rPr>
                                <w:rFonts w:ascii="DIN" w:hAnsi="DIN" w:cs="DIN"/>
                                <w:b/>
                                <w:bCs/>
                                <w:color w:val="FFFFFF"/>
                                <w:sz w:val="17"/>
                                <w:szCs w:val="17"/>
                              </w:rPr>
                              <w:t xml:space="preserve">Description </w:t>
                            </w:r>
                          </w:p>
                        </w:tc>
                      </w:tr>
                      <w:tr w:rsidR="00000000" w14:paraId="770A77AC" w14:textId="77777777">
                        <w:tblPrEx>
                          <w:tblCellMar>
                            <w:top w:w="0" w:type="dxa"/>
                            <w:bottom w:w="0" w:type="dxa"/>
                          </w:tblCellMar>
                        </w:tblPrEx>
                        <w:trPr>
                          <w:gridAfter w:val="3"/>
                          <w:wAfter w:w="2420" w:type="dxa"/>
                          <w:trHeight w:val="177"/>
                        </w:trPr>
                        <w:tc>
                          <w:tcPr>
                            <w:tcW w:w="1930" w:type="dxa"/>
                            <w:gridSpan w:val="3"/>
                            <w:tcBorders>
                              <w:left w:val="single" w:sz="2" w:space="0" w:color="EC1B22"/>
                              <w:right w:val="single" w:sz="2" w:space="0" w:color="EC1B22"/>
                            </w:tcBorders>
                            <w:shd w:val="clear" w:color="auto" w:fill="FCE2D7"/>
                            <w:vAlign w:val="center"/>
                          </w:tcPr>
                          <w:p w14:paraId="45269FBB" w14:textId="77777777" w:rsidR="00000000" w:rsidRDefault="00A450E1">
                            <w:pPr>
                              <w:pStyle w:val="Default"/>
                              <w:rPr>
                                <w:rFonts w:ascii="DIN" w:hAnsi="DIN" w:cs="DIN"/>
                                <w:sz w:val="17"/>
                                <w:szCs w:val="17"/>
                              </w:rPr>
                            </w:pPr>
                            <w:r>
                              <w:rPr>
                                <w:rFonts w:ascii="DIN" w:hAnsi="DIN" w:cs="DIN"/>
                                <w:b/>
                                <w:bCs/>
                                <w:sz w:val="17"/>
                                <w:szCs w:val="17"/>
                              </w:rPr>
                              <w:t xml:space="preserve">Colour </w:t>
                            </w:r>
                          </w:p>
                        </w:tc>
                        <w:tc>
                          <w:tcPr>
                            <w:tcW w:w="2315" w:type="dxa"/>
                            <w:tcBorders>
                              <w:left w:val="single" w:sz="2" w:space="0" w:color="EC1B22"/>
                              <w:right w:val="single" w:sz="2" w:space="0" w:color="EC1B22"/>
                            </w:tcBorders>
                            <w:shd w:val="clear" w:color="auto" w:fill="FCE2D7"/>
                            <w:vAlign w:val="center"/>
                          </w:tcPr>
                          <w:p w14:paraId="75CA9030" w14:textId="77777777" w:rsidR="00000000" w:rsidRDefault="00A450E1">
                            <w:pPr>
                              <w:pStyle w:val="Default"/>
                              <w:rPr>
                                <w:rFonts w:ascii="DIN" w:hAnsi="DIN" w:cs="DIN"/>
                                <w:sz w:val="17"/>
                                <w:szCs w:val="17"/>
                              </w:rPr>
                            </w:pPr>
                            <w:r>
                              <w:rPr>
                                <w:rFonts w:ascii="DIN" w:hAnsi="DIN" w:cs="DIN"/>
                                <w:sz w:val="17"/>
                                <w:szCs w:val="17"/>
                              </w:rPr>
                              <w:t xml:space="preserve">Yellow </w:t>
                            </w:r>
                          </w:p>
                        </w:tc>
                      </w:tr>
                      <w:tr w:rsidR="00000000" w14:paraId="0EBFEC7E" w14:textId="77777777">
                        <w:tblPrEx>
                          <w:tblCellMar>
                            <w:top w:w="0" w:type="dxa"/>
                            <w:bottom w:w="0" w:type="dxa"/>
                          </w:tblCellMar>
                        </w:tblPrEx>
                        <w:trPr>
                          <w:gridAfter w:val="3"/>
                          <w:wAfter w:w="2420" w:type="dxa"/>
                          <w:trHeight w:val="156"/>
                        </w:trPr>
                        <w:tc>
                          <w:tcPr>
                            <w:tcW w:w="1930" w:type="dxa"/>
                            <w:gridSpan w:val="3"/>
                            <w:tcBorders>
                              <w:left w:val="single" w:sz="2" w:space="0" w:color="EC1B22"/>
                              <w:right w:val="single" w:sz="2" w:space="0" w:color="EC1B22"/>
                            </w:tcBorders>
                            <w:vAlign w:val="bottom"/>
                          </w:tcPr>
                          <w:p w14:paraId="679DF399" w14:textId="77777777" w:rsidR="00000000" w:rsidRDefault="00A450E1">
                            <w:pPr>
                              <w:pStyle w:val="Default"/>
                              <w:rPr>
                                <w:rFonts w:ascii="DIN" w:hAnsi="DIN" w:cs="DIN"/>
                                <w:sz w:val="17"/>
                                <w:szCs w:val="17"/>
                              </w:rPr>
                            </w:pPr>
                            <w:r>
                              <w:rPr>
                                <w:rFonts w:ascii="DIN" w:hAnsi="DIN" w:cs="DIN"/>
                                <w:b/>
                                <w:bCs/>
                                <w:sz w:val="17"/>
                                <w:szCs w:val="17"/>
                              </w:rPr>
                              <w:t xml:space="preserve">Shape of buoy </w:t>
                            </w:r>
                          </w:p>
                        </w:tc>
                        <w:tc>
                          <w:tcPr>
                            <w:tcW w:w="2315" w:type="dxa"/>
                            <w:tcBorders>
                              <w:left w:val="single" w:sz="2" w:space="0" w:color="EC1B22"/>
                              <w:right w:val="single" w:sz="2" w:space="0" w:color="EC1B22"/>
                            </w:tcBorders>
                            <w:vAlign w:val="bottom"/>
                          </w:tcPr>
                          <w:p w14:paraId="31972700" w14:textId="77777777" w:rsidR="00000000" w:rsidRDefault="00A450E1">
                            <w:pPr>
                              <w:pStyle w:val="Default"/>
                              <w:rPr>
                                <w:rFonts w:ascii="DIN" w:hAnsi="DIN" w:cs="DIN"/>
                                <w:sz w:val="17"/>
                                <w:szCs w:val="17"/>
                              </w:rPr>
                            </w:pPr>
                            <w:r>
                              <w:rPr>
                                <w:rFonts w:ascii="DIN" w:hAnsi="DIN" w:cs="DIN"/>
                                <w:sz w:val="17"/>
                                <w:szCs w:val="17"/>
                              </w:rPr>
                              <w:t xml:space="preserve">Optional, but not conflicting </w:t>
                            </w:r>
                          </w:p>
                        </w:tc>
                      </w:tr>
                      <w:tr w:rsidR="00000000" w14:paraId="050879E7" w14:textId="77777777">
                        <w:tblPrEx>
                          <w:tblCellMar>
                            <w:top w:w="0" w:type="dxa"/>
                            <w:bottom w:w="0" w:type="dxa"/>
                          </w:tblCellMar>
                        </w:tblPrEx>
                        <w:trPr>
                          <w:gridAfter w:val="3"/>
                          <w:wAfter w:w="2420" w:type="dxa"/>
                          <w:trHeight w:val="121"/>
                        </w:trPr>
                        <w:tc>
                          <w:tcPr>
                            <w:tcW w:w="1930" w:type="dxa"/>
                            <w:gridSpan w:val="3"/>
                            <w:tcBorders>
                              <w:left w:val="single" w:sz="2" w:space="0" w:color="EC1B22"/>
                              <w:right w:val="single" w:sz="2" w:space="0" w:color="EC1B22"/>
                            </w:tcBorders>
                          </w:tcPr>
                          <w:p w14:paraId="73E047CE" w14:textId="77777777" w:rsidR="00000000" w:rsidRDefault="00A450E1">
                            <w:pPr>
                              <w:pStyle w:val="Default"/>
                              <w:rPr>
                                <w:rFonts w:cs="Times New Roman"/>
                                <w:color w:val="auto"/>
                              </w:rPr>
                            </w:pPr>
                          </w:p>
                        </w:tc>
                        <w:tc>
                          <w:tcPr>
                            <w:tcW w:w="2315" w:type="dxa"/>
                            <w:tcBorders>
                              <w:left w:val="single" w:sz="2" w:space="0" w:color="EC1B22"/>
                              <w:right w:val="single" w:sz="2" w:space="0" w:color="EC1B22"/>
                            </w:tcBorders>
                          </w:tcPr>
                          <w:p w14:paraId="7E2FA637" w14:textId="77777777" w:rsidR="00000000" w:rsidRDefault="00A450E1">
                            <w:pPr>
                              <w:pStyle w:val="Default"/>
                              <w:rPr>
                                <w:rFonts w:ascii="DIN" w:hAnsi="DIN" w:cs="DIN"/>
                                <w:sz w:val="17"/>
                                <w:szCs w:val="17"/>
                              </w:rPr>
                            </w:pPr>
                            <w:r>
                              <w:rPr>
                                <w:rFonts w:ascii="DIN" w:hAnsi="DIN" w:cs="DIN"/>
                                <w:sz w:val="17"/>
                                <w:szCs w:val="17"/>
                              </w:rPr>
                              <w:t xml:space="preserve">with lateral marks </w:t>
                            </w:r>
                          </w:p>
                        </w:tc>
                      </w:tr>
                      <w:tr w:rsidR="00000000" w14:paraId="2523A8F0" w14:textId="77777777">
                        <w:tblPrEx>
                          <w:tblCellMar>
                            <w:top w:w="0" w:type="dxa"/>
                            <w:bottom w:w="0" w:type="dxa"/>
                          </w:tblCellMar>
                        </w:tblPrEx>
                        <w:trPr>
                          <w:gridAfter w:val="3"/>
                          <w:wAfter w:w="2420" w:type="dxa"/>
                          <w:trHeight w:val="176"/>
                        </w:trPr>
                        <w:tc>
                          <w:tcPr>
                            <w:tcW w:w="1930" w:type="dxa"/>
                            <w:gridSpan w:val="3"/>
                            <w:tcBorders>
                              <w:left w:val="single" w:sz="2" w:space="0" w:color="EC1B22"/>
                              <w:bottom w:val="single" w:sz="2" w:space="0" w:color="EC1B22"/>
                              <w:right w:val="single" w:sz="2" w:space="0" w:color="EC1B22"/>
                            </w:tcBorders>
                            <w:shd w:val="clear" w:color="auto" w:fill="FCE2D7"/>
                            <w:vAlign w:val="center"/>
                          </w:tcPr>
                          <w:p w14:paraId="31395861" w14:textId="77777777" w:rsidR="00000000" w:rsidRDefault="00A450E1">
                            <w:pPr>
                              <w:pStyle w:val="Default"/>
                              <w:rPr>
                                <w:rFonts w:ascii="DIN" w:hAnsi="DIN" w:cs="DIN"/>
                                <w:sz w:val="17"/>
                                <w:szCs w:val="17"/>
                              </w:rPr>
                            </w:pPr>
                            <w:r>
                              <w:rPr>
                                <w:rFonts w:ascii="DIN" w:hAnsi="DIN" w:cs="DIN"/>
                                <w:b/>
                                <w:bCs/>
                                <w:sz w:val="17"/>
                                <w:szCs w:val="17"/>
                              </w:rPr>
                              <w:t xml:space="preserve">Top-mark </w:t>
                            </w:r>
                            <w:r>
                              <w:rPr>
                                <w:rFonts w:ascii="DIN" w:hAnsi="DIN" w:cs="DIN"/>
                                <w:sz w:val="17"/>
                                <w:szCs w:val="17"/>
                              </w:rPr>
                              <w:t xml:space="preserve">(if any) </w:t>
                            </w:r>
                          </w:p>
                        </w:tc>
                        <w:tc>
                          <w:tcPr>
                            <w:tcW w:w="2315" w:type="dxa"/>
                            <w:tcBorders>
                              <w:left w:val="single" w:sz="2" w:space="0" w:color="EC1B22"/>
                              <w:bottom w:val="single" w:sz="2" w:space="0" w:color="EC1B22"/>
                              <w:right w:val="single" w:sz="2" w:space="0" w:color="EC1B22"/>
                            </w:tcBorders>
                            <w:shd w:val="clear" w:color="auto" w:fill="FCE2D7"/>
                            <w:vAlign w:val="center"/>
                          </w:tcPr>
                          <w:p w14:paraId="00004354" w14:textId="77777777" w:rsidR="00000000" w:rsidRDefault="00A450E1">
                            <w:pPr>
                              <w:pStyle w:val="Default"/>
                              <w:rPr>
                                <w:rFonts w:ascii="DIN" w:hAnsi="DIN" w:cs="DIN"/>
                                <w:sz w:val="17"/>
                                <w:szCs w:val="17"/>
                              </w:rPr>
                            </w:pPr>
                            <w:r>
                              <w:rPr>
                                <w:rFonts w:ascii="DIN" w:hAnsi="DIN" w:cs="DIN"/>
                                <w:sz w:val="17"/>
                                <w:szCs w:val="17"/>
                              </w:rPr>
                              <w:t xml:space="preserve">Single yellow “X” shape </w:t>
                            </w:r>
                          </w:p>
                        </w:tc>
                      </w:tr>
                      <w:tr w:rsidR="00000000" w14:paraId="5EA9EE42" w14:textId="77777777">
                        <w:tblPrEx>
                          <w:tblCellMar>
                            <w:top w:w="0" w:type="dxa"/>
                            <w:bottom w:w="0" w:type="dxa"/>
                          </w:tblCellMar>
                        </w:tblPrEx>
                        <w:trPr>
                          <w:gridAfter w:val="3"/>
                          <w:wAfter w:w="2420" w:type="dxa"/>
                          <w:trHeight w:val="150"/>
                        </w:trPr>
                        <w:tc>
                          <w:tcPr>
                            <w:tcW w:w="1930" w:type="dxa"/>
                            <w:gridSpan w:val="3"/>
                            <w:tcBorders>
                              <w:top w:val="single" w:sz="2" w:space="0" w:color="EC1B22"/>
                              <w:left w:val="single" w:sz="2" w:space="0" w:color="EC1B22"/>
                              <w:bottom w:val="single" w:sz="2" w:space="0" w:color="EC1B22"/>
                            </w:tcBorders>
                            <w:vAlign w:val="center"/>
                          </w:tcPr>
                          <w:p w14:paraId="6414B43C" w14:textId="77777777" w:rsidR="00000000"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w:t>
                            </w:r>
                          </w:p>
                        </w:tc>
                        <w:tc>
                          <w:tcPr>
                            <w:tcW w:w="2315" w:type="dxa"/>
                            <w:tcBorders>
                              <w:top w:val="single" w:sz="2" w:space="0" w:color="EC1B22"/>
                              <w:bottom w:val="single" w:sz="2" w:space="0" w:color="EC1B22"/>
                              <w:right w:val="single" w:sz="2" w:space="0" w:color="EC1B22"/>
                            </w:tcBorders>
                          </w:tcPr>
                          <w:p w14:paraId="09536081" w14:textId="77777777" w:rsidR="00000000" w:rsidRDefault="00A450E1">
                            <w:pPr>
                              <w:pStyle w:val="Default"/>
                              <w:rPr>
                                <w:rFonts w:cs="Times New Roman"/>
                                <w:color w:val="auto"/>
                              </w:rPr>
                            </w:pPr>
                          </w:p>
                        </w:tc>
                      </w:tr>
                      <w:tr w:rsidR="00000000" w14:paraId="05447D52" w14:textId="77777777">
                        <w:tblPrEx>
                          <w:tblCellMar>
                            <w:top w:w="0" w:type="dxa"/>
                            <w:bottom w:w="0" w:type="dxa"/>
                          </w:tblCellMar>
                        </w:tblPrEx>
                        <w:trPr>
                          <w:gridAfter w:val="3"/>
                          <w:wAfter w:w="2420" w:type="dxa"/>
                          <w:trHeight w:val="137"/>
                        </w:trPr>
                        <w:tc>
                          <w:tcPr>
                            <w:tcW w:w="1930" w:type="dxa"/>
                            <w:gridSpan w:val="3"/>
                            <w:tcBorders>
                              <w:top w:val="single" w:sz="2" w:space="0" w:color="EC1B22"/>
                              <w:left w:val="single" w:sz="2" w:space="0" w:color="EC1B22"/>
                              <w:right w:val="single" w:sz="2" w:space="0" w:color="EC1B22"/>
                            </w:tcBorders>
                            <w:shd w:val="clear" w:color="auto" w:fill="FCE2D7"/>
                            <w:vAlign w:val="center"/>
                          </w:tcPr>
                          <w:p w14:paraId="38263910" w14:textId="77777777" w:rsidR="00000000" w:rsidRDefault="00A450E1">
                            <w:pPr>
                              <w:pStyle w:val="Default"/>
                              <w:rPr>
                                <w:rFonts w:ascii="DIN" w:hAnsi="DIN" w:cs="DIN"/>
                                <w:sz w:val="17"/>
                                <w:szCs w:val="17"/>
                              </w:rPr>
                            </w:pPr>
                            <w:r>
                              <w:rPr>
                                <w:rFonts w:ascii="DIN" w:hAnsi="DIN" w:cs="DIN"/>
                                <w:sz w:val="17"/>
                                <w:szCs w:val="17"/>
                              </w:rPr>
                              <w:t xml:space="preserve">Colour </w:t>
                            </w:r>
                          </w:p>
                        </w:tc>
                        <w:tc>
                          <w:tcPr>
                            <w:tcW w:w="2315" w:type="dxa"/>
                            <w:tcBorders>
                              <w:top w:val="single" w:sz="2" w:space="0" w:color="EC1B22"/>
                              <w:left w:val="single" w:sz="2" w:space="0" w:color="EC1B22"/>
                              <w:right w:val="single" w:sz="2" w:space="0" w:color="EC1B22"/>
                            </w:tcBorders>
                            <w:shd w:val="clear" w:color="auto" w:fill="FCE2D7"/>
                            <w:vAlign w:val="center"/>
                          </w:tcPr>
                          <w:p w14:paraId="2D67E18C" w14:textId="77777777" w:rsidR="00000000" w:rsidRDefault="00A450E1">
                            <w:pPr>
                              <w:pStyle w:val="Default"/>
                              <w:rPr>
                                <w:rFonts w:ascii="DIN" w:hAnsi="DIN" w:cs="DIN"/>
                                <w:sz w:val="17"/>
                                <w:szCs w:val="17"/>
                              </w:rPr>
                            </w:pPr>
                            <w:r>
                              <w:rPr>
                                <w:rFonts w:ascii="DIN" w:hAnsi="DIN" w:cs="DIN"/>
                                <w:sz w:val="17"/>
                                <w:szCs w:val="17"/>
                              </w:rPr>
                              <w:t xml:space="preserve">Yellow </w:t>
                            </w:r>
                          </w:p>
                        </w:tc>
                      </w:tr>
                      <w:tr w:rsidR="00000000" w14:paraId="7BCBB4F1" w14:textId="77777777">
                        <w:tblPrEx>
                          <w:tblCellMar>
                            <w:top w:w="0" w:type="dxa"/>
                            <w:bottom w:w="0" w:type="dxa"/>
                          </w:tblCellMar>
                        </w:tblPrEx>
                        <w:trPr>
                          <w:gridAfter w:val="3"/>
                          <w:wAfter w:w="2420" w:type="dxa"/>
                          <w:trHeight w:val="220"/>
                        </w:trPr>
                        <w:tc>
                          <w:tcPr>
                            <w:tcW w:w="1930" w:type="dxa"/>
                            <w:gridSpan w:val="3"/>
                            <w:tcBorders>
                              <w:left w:val="single" w:sz="2" w:space="0" w:color="EC1B22"/>
                              <w:right w:val="single" w:sz="2" w:space="0" w:color="EC1B22"/>
                            </w:tcBorders>
                            <w:vAlign w:val="bottom"/>
                          </w:tcPr>
                          <w:p w14:paraId="2F8874E1" w14:textId="77777777" w:rsidR="00000000" w:rsidRDefault="00A450E1">
                            <w:pPr>
                              <w:pStyle w:val="Default"/>
                              <w:rPr>
                                <w:rFonts w:ascii="DIN" w:hAnsi="DIN" w:cs="DIN"/>
                                <w:sz w:val="17"/>
                                <w:szCs w:val="17"/>
                              </w:rPr>
                            </w:pPr>
                            <w:r>
                              <w:rPr>
                                <w:rFonts w:ascii="DIN" w:hAnsi="DIN" w:cs="DIN"/>
                                <w:sz w:val="17"/>
                                <w:szCs w:val="17"/>
                              </w:rPr>
                              <w:t xml:space="preserve">Rhythm </w:t>
                            </w:r>
                          </w:p>
                        </w:tc>
                        <w:tc>
                          <w:tcPr>
                            <w:tcW w:w="2315" w:type="dxa"/>
                            <w:tcBorders>
                              <w:left w:val="single" w:sz="2" w:space="0" w:color="EC1B22"/>
                              <w:right w:val="single" w:sz="2" w:space="0" w:color="EC1B22"/>
                            </w:tcBorders>
                            <w:vAlign w:val="center"/>
                          </w:tcPr>
                          <w:p w14:paraId="20F89729" w14:textId="77777777" w:rsidR="00000000" w:rsidRDefault="00A450E1">
                            <w:pPr>
                              <w:pStyle w:val="Default"/>
                              <w:rPr>
                                <w:rFonts w:ascii="DIN" w:hAnsi="DIN" w:cs="DIN"/>
                                <w:sz w:val="17"/>
                                <w:szCs w:val="17"/>
                              </w:rPr>
                            </w:pPr>
                            <w:r>
                              <w:rPr>
                                <w:rFonts w:ascii="DIN" w:hAnsi="DIN" w:cs="DIN"/>
                                <w:sz w:val="17"/>
                                <w:szCs w:val="17"/>
                              </w:rPr>
                              <w:t xml:space="preserve">Any, other than those reserved for cardinal, isolated </w:t>
                            </w:r>
                          </w:p>
                        </w:tc>
                      </w:tr>
                      <w:tr w:rsidR="00000000" w14:paraId="75DC6895" w14:textId="77777777">
                        <w:tblPrEx>
                          <w:tblCellMar>
                            <w:top w:w="0" w:type="dxa"/>
                            <w:bottom w:w="0" w:type="dxa"/>
                          </w:tblCellMar>
                        </w:tblPrEx>
                        <w:trPr>
                          <w:gridAfter w:val="3"/>
                          <w:wAfter w:w="2420" w:type="dxa"/>
                          <w:trHeight w:val="108"/>
                        </w:trPr>
                        <w:tc>
                          <w:tcPr>
                            <w:tcW w:w="1930" w:type="dxa"/>
                            <w:gridSpan w:val="3"/>
                            <w:tcBorders>
                              <w:left w:val="single" w:sz="2" w:space="0" w:color="EC1B22"/>
                              <w:bottom w:val="single" w:sz="2" w:space="0" w:color="EC1B22"/>
                              <w:right w:val="single" w:sz="2" w:space="0" w:color="EC1B22"/>
                            </w:tcBorders>
                          </w:tcPr>
                          <w:p w14:paraId="50E97278" w14:textId="77777777" w:rsidR="00000000" w:rsidRDefault="00A450E1">
                            <w:pPr>
                              <w:pStyle w:val="Default"/>
                              <w:rPr>
                                <w:rFonts w:cs="Times New Roman"/>
                                <w:color w:val="auto"/>
                              </w:rPr>
                            </w:pPr>
                          </w:p>
                        </w:tc>
                        <w:tc>
                          <w:tcPr>
                            <w:tcW w:w="2315" w:type="dxa"/>
                            <w:tcBorders>
                              <w:left w:val="single" w:sz="2" w:space="0" w:color="EC1B22"/>
                              <w:bottom w:val="single" w:sz="2" w:space="0" w:color="EC1B22"/>
                              <w:right w:val="single" w:sz="2" w:space="0" w:color="EC1B22"/>
                            </w:tcBorders>
                          </w:tcPr>
                          <w:p w14:paraId="26D9353F" w14:textId="77777777" w:rsidR="00000000" w:rsidRDefault="00A450E1">
                            <w:pPr>
                              <w:pStyle w:val="Default"/>
                              <w:rPr>
                                <w:rFonts w:ascii="DIN" w:hAnsi="DIN" w:cs="DIN"/>
                                <w:sz w:val="17"/>
                                <w:szCs w:val="17"/>
                              </w:rPr>
                            </w:pPr>
                            <w:r>
                              <w:rPr>
                                <w:rFonts w:ascii="DIN" w:hAnsi="DIN" w:cs="DIN"/>
                                <w:sz w:val="17"/>
                                <w:szCs w:val="17"/>
                              </w:rPr>
                              <w:t xml:space="preserve">danger and safe water marks. </w:t>
                            </w:r>
                          </w:p>
                        </w:tc>
                      </w:tr>
                      <w:tr w:rsidR="00000000" w14:paraId="48273702" w14:textId="77777777">
                        <w:tblPrEx>
                          <w:tblCellMar>
                            <w:top w:w="0" w:type="dxa"/>
                            <w:bottom w:w="0" w:type="dxa"/>
                          </w:tblCellMar>
                        </w:tblPrEx>
                        <w:trPr>
                          <w:gridAfter w:val="3"/>
                          <w:wAfter w:w="2420" w:type="dxa"/>
                          <w:trHeight w:val="375"/>
                        </w:trPr>
                        <w:tc>
                          <w:tcPr>
                            <w:tcW w:w="1930" w:type="dxa"/>
                            <w:gridSpan w:val="3"/>
                            <w:tcBorders>
                              <w:top w:val="single" w:sz="2" w:space="0" w:color="EC1B22"/>
                              <w:left w:val="single" w:sz="2" w:space="0" w:color="EC1B22"/>
                              <w:bottom w:val="single" w:sz="2" w:space="0" w:color="EC1B22"/>
                              <w:right w:val="single" w:sz="2" w:space="0" w:color="EC1B22"/>
                            </w:tcBorders>
                            <w:shd w:val="clear" w:color="auto" w:fill="FCE2D7"/>
                            <w:vAlign w:val="center"/>
                          </w:tcPr>
                          <w:p w14:paraId="23A50CE6" w14:textId="77777777" w:rsidR="00000000" w:rsidRDefault="00A450E1">
                            <w:pPr>
                              <w:pStyle w:val="Default"/>
                              <w:rPr>
                                <w:rFonts w:ascii="DIN" w:hAnsi="DIN" w:cs="DIN"/>
                                <w:sz w:val="17"/>
                                <w:szCs w:val="17"/>
                              </w:rPr>
                            </w:pPr>
                            <w:r>
                              <w:rPr>
                                <w:rFonts w:ascii="DIN" w:hAnsi="DIN" w:cs="DIN"/>
                                <w:b/>
                                <w:bCs/>
                                <w:sz w:val="17"/>
                                <w:szCs w:val="17"/>
                              </w:rPr>
                              <w:t xml:space="preserve">Pictogram </w:t>
                            </w:r>
                          </w:p>
                        </w:tc>
                        <w:tc>
                          <w:tcPr>
                            <w:tcW w:w="2315" w:type="dxa"/>
                            <w:tcBorders>
                              <w:top w:val="single" w:sz="2" w:space="0" w:color="EC1B22"/>
                              <w:left w:val="single" w:sz="2" w:space="0" w:color="EC1B22"/>
                              <w:bottom w:val="single" w:sz="2" w:space="0" w:color="EC1B22"/>
                              <w:right w:val="single" w:sz="2" w:space="0" w:color="EC1B22"/>
                            </w:tcBorders>
                            <w:shd w:val="clear" w:color="auto" w:fill="FCE2D7"/>
                            <w:vAlign w:val="center"/>
                          </w:tcPr>
                          <w:p w14:paraId="0DEC9545" w14:textId="77777777" w:rsidR="00000000" w:rsidRDefault="00A450E1">
                            <w:pPr>
                              <w:pStyle w:val="Default"/>
                              <w:rPr>
                                <w:rFonts w:ascii="DIN" w:hAnsi="DIN" w:cs="DIN"/>
                                <w:sz w:val="17"/>
                                <w:szCs w:val="17"/>
                              </w:rPr>
                            </w:pPr>
                            <w:r>
                              <w:rPr>
                                <w:rFonts w:ascii="DIN" w:hAnsi="DIN" w:cs="DIN"/>
                                <w:sz w:val="17"/>
                                <w:szCs w:val="17"/>
                              </w:rPr>
                              <w:t xml:space="preserve">The use of pictograms is authorized, as defined by a competent authority. </w:t>
                            </w:r>
                          </w:p>
                        </w:tc>
                      </w:tr>
                    </w:tbl>
                  </w:txbxContent>
                </v:textbox>
                <w10:wrap type="through" anchorx="page" anchory="page"/>
              </v:shape>
            </w:pict>
          </mc:Fallback>
        </mc:AlternateContent>
      </w:r>
    </w:p>
    <w:p w14:paraId="525E4733" w14:textId="77777777" w:rsidR="00541A14" w:rsidRDefault="00DD420F">
      <w:pPr>
        <w:pStyle w:val="Default"/>
        <w:framePr w:w="828" w:wrap="auto" w:vAnchor="page" w:hAnchor="page" w:x="6209" w:y="15179"/>
        <w:spacing w:after="340"/>
        <w:rPr>
          <w:rFonts w:cs="Times New Roman"/>
          <w:color w:val="auto"/>
        </w:rPr>
      </w:pPr>
      <w:r>
        <w:rPr>
          <w:rFonts w:cs="Times New Roman"/>
          <w:noProof/>
          <w:color w:val="auto"/>
        </w:rPr>
        <w:drawing>
          <wp:inline distT="0" distB="0" distL="0" distR="0" wp14:anchorId="697BCB6B" wp14:editId="4D37AF7F">
            <wp:extent cx="11430" cy="11430"/>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05DE3E0E" w14:textId="77777777" w:rsidR="00541A14" w:rsidRDefault="00DD420F">
      <w:pPr>
        <w:pStyle w:val="CM195"/>
        <w:spacing w:after="353"/>
        <w:ind w:left="3630"/>
        <w:rPr>
          <w:sz w:val="15"/>
          <w:szCs w:val="15"/>
        </w:rPr>
      </w:pPr>
      <w:r>
        <w:rPr>
          <w:noProof/>
        </w:rPr>
        <w:drawing>
          <wp:inline distT="0" distB="0" distL="0" distR="0" wp14:anchorId="6C547CFE" wp14:editId="004BFEA9">
            <wp:extent cx="306705" cy="227330"/>
            <wp:effectExtent l="0" t="0" r="0" b="127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306705" cy="227330"/>
                    </a:xfrm>
                    <a:prstGeom prst="rect">
                      <a:avLst/>
                    </a:prstGeom>
                    <a:noFill/>
                    <a:ln>
                      <a:noFill/>
                    </a:ln>
                  </pic:spPr>
                </pic:pic>
              </a:graphicData>
            </a:graphic>
          </wp:inline>
        </w:drawing>
      </w:r>
      <w:r w:rsidR="00A450E1">
        <w:rPr>
          <w:sz w:val="15"/>
          <w:szCs w:val="15"/>
        </w:rPr>
        <w:t xml:space="preserve">International Association </w:t>
      </w:r>
    </w:p>
    <w:p w14:paraId="39FF6059" w14:textId="77777777" w:rsidR="00541A14" w:rsidRDefault="00A450E1">
      <w:pPr>
        <w:pStyle w:val="CM162"/>
        <w:spacing w:after="552"/>
        <w:ind w:left="1567"/>
        <w:rPr>
          <w:sz w:val="15"/>
          <w:szCs w:val="15"/>
        </w:rPr>
      </w:pPr>
      <w:r>
        <w:rPr>
          <w:sz w:val="15"/>
          <w:szCs w:val="15"/>
        </w:rPr>
        <w:t xml:space="preserve">of Marine Aids to Navigation and Lighthouse Authorities </w:t>
      </w:r>
    </w:p>
    <w:p w14:paraId="15201831" w14:textId="77777777" w:rsidR="00541A14" w:rsidRDefault="00DD420F">
      <w:pPr>
        <w:pStyle w:val="Default"/>
        <w:framePr w:w="10739" w:wrap="auto" w:vAnchor="page" w:hAnchor="page" w:x="1434" w:y="16318"/>
        <w:rPr>
          <w:rFonts w:cs="Times New Roman"/>
          <w:color w:val="auto"/>
          <w:sz w:val="15"/>
          <w:szCs w:val="15"/>
        </w:rPr>
      </w:pPr>
      <w:r>
        <w:rPr>
          <w:rFonts w:cs="Times New Roman"/>
          <w:noProof/>
          <w:color w:val="auto"/>
          <w:sz w:val="15"/>
          <w:szCs w:val="15"/>
        </w:rPr>
        <w:drawing>
          <wp:inline distT="0" distB="0" distL="0" distR="0" wp14:anchorId="7E753989" wp14:editId="722D3A0C">
            <wp:extent cx="7542530" cy="391795"/>
            <wp:effectExtent l="0" t="0" r="127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0B4CCBD2" w14:textId="77777777" w:rsidR="00541A14" w:rsidRDefault="00A450E1">
      <w:pPr>
        <w:pStyle w:val="CM172"/>
        <w:pageBreakBefore/>
        <w:spacing w:after="202"/>
        <w:ind w:firstLine="105"/>
        <w:rPr>
          <w:rFonts w:ascii="DIN" w:hAnsi="DIN" w:cs="DIN"/>
          <w:color w:val="EC1B22"/>
          <w:sz w:val="22"/>
          <w:szCs w:val="22"/>
        </w:rPr>
      </w:pPr>
      <w:r>
        <w:rPr>
          <w:rFonts w:ascii="DIN" w:hAnsi="DIN" w:cs="DIN"/>
          <w:b/>
          <w:bCs/>
          <w:color w:val="EC1B22"/>
          <w:sz w:val="22"/>
          <w:szCs w:val="22"/>
        </w:rPr>
        <w:t xml:space="preserve">7. MARKING NEW DANGERS </w:t>
      </w:r>
    </w:p>
    <w:p w14:paraId="1C33FDB9" w14:textId="77777777" w:rsidR="00541A14" w:rsidRDefault="00A450E1">
      <w:pPr>
        <w:pStyle w:val="CM173"/>
        <w:spacing w:after="340" w:line="268" w:lineRule="atLeast"/>
        <w:ind w:left="302" w:hanging="303"/>
        <w:rPr>
          <w:rFonts w:ascii="DIN" w:hAnsi="DIN" w:cs="DIN"/>
          <w:color w:val="000000"/>
          <w:sz w:val="18"/>
          <w:szCs w:val="18"/>
        </w:rPr>
      </w:pPr>
      <w:r>
        <w:rPr>
          <w:rFonts w:ascii="DIN" w:hAnsi="DIN" w:cs="DIN"/>
          <w:b/>
          <w:bCs/>
          <w:color w:val="EC1B22"/>
          <w:sz w:val="18"/>
          <w:szCs w:val="18"/>
        </w:rPr>
        <w:t xml:space="preserve">7.1 Definition of New Dangers </w:t>
      </w:r>
      <w:r>
        <w:rPr>
          <w:rFonts w:ascii="DIN" w:hAnsi="DIN" w:cs="DIN"/>
          <w:color w:val="000000"/>
          <w:sz w:val="18"/>
          <w:szCs w:val="18"/>
        </w:rPr>
        <w:t xml:space="preserve">The term “New Danger” is used to describe newly discovered hazards not yet shown in nautical documents. ‘New Dangers’ include naturally occurring obstructions such as sandbanks or rocks or man-made dangers such as wrecks. </w:t>
      </w:r>
    </w:p>
    <w:p w14:paraId="11997229" w14:textId="77777777" w:rsidR="00541A14" w:rsidRDefault="00A450E1">
      <w:pPr>
        <w:pStyle w:val="CM36"/>
        <w:rPr>
          <w:rFonts w:ascii="DIN" w:hAnsi="DIN" w:cs="DIN"/>
          <w:color w:val="EC1B22"/>
          <w:sz w:val="18"/>
          <w:szCs w:val="18"/>
        </w:rPr>
      </w:pPr>
      <w:r>
        <w:rPr>
          <w:rFonts w:ascii="DIN" w:hAnsi="DIN" w:cs="DIN"/>
          <w:b/>
          <w:bCs/>
          <w:color w:val="EC1B22"/>
          <w:sz w:val="18"/>
          <w:szCs w:val="18"/>
        </w:rPr>
        <w:t xml:space="preserve">7.2 Marking of New Dangers </w:t>
      </w:r>
    </w:p>
    <w:p w14:paraId="46BD3B1A" w14:textId="77777777" w:rsidR="00541A14" w:rsidRDefault="00A450E1">
      <w:pPr>
        <w:pStyle w:val="CM165"/>
        <w:spacing w:after="85" w:line="246" w:lineRule="atLeast"/>
        <w:ind w:left="535" w:hanging="535"/>
        <w:rPr>
          <w:rFonts w:ascii="DIN" w:hAnsi="DIN" w:cs="DIN"/>
          <w:color w:val="000000"/>
          <w:sz w:val="18"/>
          <w:szCs w:val="18"/>
        </w:rPr>
      </w:pPr>
      <w:r>
        <w:rPr>
          <w:rFonts w:ascii="DIN" w:hAnsi="DIN" w:cs="DIN"/>
          <w:b/>
          <w:bCs/>
          <w:color w:val="000000"/>
          <w:sz w:val="18"/>
          <w:szCs w:val="18"/>
        </w:rPr>
        <w:t xml:space="preserve">7.2.1 </w:t>
      </w:r>
      <w:r>
        <w:rPr>
          <w:rFonts w:ascii="DIN" w:hAnsi="DIN" w:cs="DIN"/>
          <w:color w:val="000000"/>
          <w:sz w:val="18"/>
          <w:szCs w:val="18"/>
        </w:rPr>
        <w:t xml:space="preserve">‘New Dangers’ should be appropriately marked using Lateral, Cardinal, Isolated Danger marks or by using the Emergency Wreck Marking Buoy. If the Authority considers the risk to navigation to be especially high, at least one of the marks should be duplicated. </w:t>
      </w:r>
    </w:p>
    <w:p w14:paraId="649134BA" w14:textId="77777777" w:rsidR="00541A14" w:rsidRDefault="00A450E1">
      <w:pPr>
        <w:pStyle w:val="CM165"/>
        <w:spacing w:after="85" w:line="246" w:lineRule="atLeast"/>
        <w:ind w:left="535" w:right="130" w:hanging="535"/>
        <w:rPr>
          <w:rFonts w:ascii="DIN" w:hAnsi="DIN" w:cs="DIN"/>
          <w:color w:val="000000"/>
          <w:sz w:val="18"/>
          <w:szCs w:val="18"/>
        </w:rPr>
      </w:pPr>
      <w:r>
        <w:rPr>
          <w:rFonts w:ascii="DIN" w:hAnsi="DIN" w:cs="DIN"/>
          <w:b/>
          <w:bCs/>
          <w:color w:val="000000"/>
          <w:sz w:val="18"/>
          <w:szCs w:val="18"/>
        </w:rPr>
        <w:t xml:space="preserve">7.2.2 </w:t>
      </w:r>
      <w:r>
        <w:rPr>
          <w:rFonts w:ascii="DIN" w:hAnsi="DIN" w:cs="DIN"/>
          <w:color w:val="000000"/>
          <w:sz w:val="18"/>
          <w:szCs w:val="18"/>
        </w:rPr>
        <w:t xml:space="preserve">If using a Lateral lighted mark for this purpose a VQ or Q light character shall be used. </w:t>
      </w:r>
    </w:p>
    <w:p w14:paraId="31A0AD12" w14:textId="77777777" w:rsidR="00541A14" w:rsidRDefault="00A450E1">
      <w:pPr>
        <w:pStyle w:val="CM165"/>
        <w:spacing w:after="85" w:line="246" w:lineRule="atLeast"/>
        <w:ind w:left="535" w:right="387" w:hanging="535"/>
        <w:rPr>
          <w:rFonts w:ascii="DIN" w:hAnsi="DIN" w:cs="DIN"/>
          <w:color w:val="000000"/>
          <w:sz w:val="18"/>
          <w:szCs w:val="18"/>
        </w:rPr>
      </w:pPr>
      <w:r>
        <w:rPr>
          <w:rFonts w:ascii="DIN" w:hAnsi="DIN" w:cs="DIN"/>
          <w:b/>
          <w:bCs/>
          <w:color w:val="000000"/>
          <w:sz w:val="18"/>
          <w:szCs w:val="18"/>
        </w:rPr>
        <w:t xml:space="preserve">7.2.3 </w:t>
      </w:r>
      <w:r>
        <w:rPr>
          <w:rFonts w:ascii="DIN" w:hAnsi="DIN" w:cs="DIN"/>
          <w:color w:val="000000"/>
          <w:sz w:val="18"/>
          <w:szCs w:val="18"/>
        </w:rPr>
        <w:t xml:space="preserve">Any duplicate mark shall be identical to its partner in all respects. </w:t>
      </w:r>
    </w:p>
    <w:p w14:paraId="7C1C5BC9" w14:textId="77777777" w:rsidR="00541A14" w:rsidRDefault="00A450E1">
      <w:pPr>
        <w:pStyle w:val="CM165"/>
        <w:spacing w:after="85" w:line="246" w:lineRule="atLeast"/>
        <w:ind w:left="535" w:hanging="535"/>
        <w:rPr>
          <w:rFonts w:ascii="DIN" w:hAnsi="DIN" w:cs="DIN"/>
          <w:color w:val="000000"/>
          <w:sz w:val="18"/>
          <w:szCs w:val="18"/>
        </w:rPr>
      </w:pPr>
      <w:r>
        <w:rPr>
          <w:rFonts w:ascii="DIN" w:hAnsi="DIN" w:cs="DIN"/>
          <w:b/>
          <w:bCs/>
          <w:color w:val="000000"/>
          <w:sz w:val="18"/>
          <w:szCs w:val="18"/>
        </w:rPr>
        <w:t xml:space="preserve">7.2.4 </w:t>
      </w:r>
      <w:r>
        <w:rPr>
          <w:rFonts w:ascii="DIN" w:hAnsi="DIN" w:cs="DIN"/>
          <w:color w:val="000000"/>
          <w:sz w:val="18"/>
          <w:szCs w:val="18"/>
        </w:rPr>
        <w:t>In addition it may be marked by a Racon, coded Morse “D”(-</w:t>
      </w:r>
      <w:r>
        <w:rPr>
          <w:rFonts w:ascii="DIN" w:hAnsi="DIN" w:cs="DIN"/>
          <w:color w:val="000000"/>
          <w:sz w:val="7"/>
          <w:szCs w:val="7"/>
        </w:rPr>
        <w:t>●●</w:t>
      </w:r>
      <w:r>
        <w:rPr>
          <w:rFonts w:ascii="DIN" w:hAnsi="DIN" w:cs="DIN"/>
          <w:color w:val="000000"/>
          <w:sz w:val="18"/>
          <w:szCs w:val="18"/>
        </w:rPr>
        <w:t xml:space="preserve">) </w:t>
      </w:r>
    </w:p>
    <w:p w14:paraId="66FA1C76" w14:textId="77777777" w:rsidR="00541A14" w:rsidRDefault="00A450E1">
      <w:pPr>
        <w:pStyle w:val="CM165"/>
        <w:spacing w:after="85" w:line="246" w:lineRule="atLeast"/>
        <w:ind w:left="535" w:hanging="535"/>
        <w:rPr>
          <w:rFonts w:ascii="DIN" w:hAnsi="DIN" w:cs="DIN"/>
          <w:color w:val="000000"/>
          <w:sz w:val="18"/>
          <w:szCs w:val="18"/>
        </w:rPr>
      </w:pPr>
      <w:r>
        <w:rPr>
          <w:rFonts w:ascii="DIN" w:hAnsi="DIN" w:cs="DIN"/>
          <w:b/>
          <w:bCs/>
          <w:color w:val="000000"/>
          <w:sz w:val="18"/>
          <w:szCs w:val="18"/>
        </w:rPr>
        <w:t xml:space="preserve">7.2.5 </w:t>
      </w:r>
      <w:r>
        <w:rPr>
          <w:rFonts w:ascii="DIN" w:hAnsi="DIN" w:cs="DIN"/>
          <w:color w:val="000000"/>
          <w:sz w:val="18"/>
          <w:szCs w:val="18"/>
        </w:rPr>
        <w:t xml:space="preserve">In addition it may be marked by other electronic means, such as automatic identification system (AIS as an AtoN). </w:t>
      </w:r>
    </w:p>
    <w:p w14:paraId="2422D12E" w14:textId="77777777" w:rsidR="00541A14" w:rsidRDefault="00A450E1">
      <w:pPr>
        <w:pStyle w:val="CM165"/>
        <w:spacing w:after="85" w:line="246" w:lineRule="atLeast"/>
        <w:ind w:left="535" w:hanging="535"/>
        <w:rPr>
          <w:rFonts w:ascii="DIN" w:hAnsi="DIN" w:cs="DIN"/>
          <w:color w:val="000000"/>
          <w:sz w:val="18"/>
          <w:szCs w:val="18"/>
        </w:rPr>
      </w:pPr>
      <w:r>
        <w:rPr>
          <w:rFonts w:ascii="DIN" w:hAnsi="DIN" w:cs="DIN"/>
          <w:b/>
          <w:bCs/>
          <w:color w:val="000000"/>
          <w:sz w:val="18"/>
          <w:szCs w:val="18"/>
        </w:rPr>
        <w:t xml:space="preserve">7.2.6 </w:t>
      </w:r>
      <w:r>
        <w:rPr>
          <w:rFonts w:ascii="DIN" w:hAnsi="DIN" w:cs="DIN"/>
          <w:color w:val="000000"/>
          <w:sz w:val="18"/>
          <w:szCs w:val="18"/>
        </w:rPr>
        <w:t xml:space="preserve">Virtual Aids to Navigation may be deployed solely or in addition to physical Aids to Navigation. </w:t>
      </w:r>
    </w:p>
    <w:p w14:paraId="66BFA448" w14:textId="77777777" w:rsidR="00541A14" w:rsidRDefault="00A450E1">
      <w:pPr>
        <w:pStyle w:val="CM175"/>
        <w:spacing w:after="267" w:line="246" w:lineRule="atLeast"/>
        <w:ind w:left="535" w:hanging="535"/>
        <w:rPr>
          <w:rFonts w:ascii="DIN" w:hAnsi="DIN" w:cs="DIN"/>
          <w:color w:val="000000"/>
          <w:sz w:val="18"/>
          <w:szCs w:val="18"/>
        </w:rPr>
      </w:pPr>
      <w:r>
        <w:rPr>
          <w:rFonts w:ascii="DIN" w:hAnsi="DIN" w:cs="DIN"/>
          <w:b/>
          <w:bCs/>
          <w:color w:val="000000"/>
          <w:sz w:val="18"/>
          <w:szCs w:val="18"/>
        </w:rPr>
        <w:t xml:space="preserve">7.2.7 </w:t>
      </w:r>
      <w:r>
        <w:rPr>
          <w:rFonts w:ascii="DIN" w:hAnsi="DIN" w:cs="DIN"/>
          <w:color w:val="000000"/>
          <w:sz w:val="18"/>
          <w:szCs w:val="18"/>
        </w:rPr>
        <w:t xml:space="preserve">The marking of the new danger may be removed when the competent Authority is satisfied that information concerning the “New Danger” has been sufficiently promulgated or the danger otherwise resolved. </w:t>
      </w:r>
    </w:p>
    <w:p w14:paraId="610E3E70" w14:textId="77777777" w:rsidR="00541A14" w:rsidRDefault="00A450E1">
      <w:pPr>
        <w:pStyle w:val="CM173"/>
        <w:spacing w:after="340" w:line="251" w:lineRule="atLeast"/>
        <w:rPr>
          <w:rFonts w:ascii="DIN" w:hAnsi="DIN" w:cs="DIN"/>
          <w:color w:val="EC1B22"/>
          <w:sz w:val="18"/>
          <w:szCs w:val="18"/>
        </w:rPr>
      </w:pPr>
      <w:r>
        <w:rPr>
          <w:rFonts w:ascii="DIN" w:hAnsi="DIN" w:cs="DIN"/>
          <w:b/>
          <w:bCs/>
          <w:color w:val="EC1B22"/>
          <w:sz w:val="18"/>
          <w:szCs w:val="18"/>
        </w:rPr>
        <w:t xml:space="preserve">7.3 Description of New Dangers Marks </w:t>
      </w:r>
    </w:p>
    <w:p w14:paraId="7A7E382F"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705344" behindDoc="0" locked="0" layoutInCell="0" allowOverlap="1" wp14:anchorId="4C18E18F" wp14:editId="719206E2">
                <wp:simplePos x="0" y="0"/>
                <wp:positionH relativeFrom="page">
                  <wp:posOffset>928370</wp:posOffset>
                </wp:positionH>
                <wp:positionV relativeFrom="page">
                  <wp:posOffset>6939280</wp:posOffset>
                </wp:positionV>
                <wp:extent cx="3227070" cy="2617470"/>
                <wp:effectExtent l="0" t="0" r="0" b="0"/>
                <wp:wrapThrough wrapText="bothSides">
                  <wp:wrapPolygon edited="0">
                    <wp:start x="0" y="0"/>
                    <wp:lineTo x="21600" y="0"/>
                    <wp:lineTo x="21600" y="21600"/>
                    <wp:lineTo x="0" y="21600"/>
                    <wp:lineTo x="0" y="0"/>
                  </wp:wrapPolygon>
                </wp:wrapThrough>
                <wp:docPr id="510"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7070" cy="2617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947"/>
                              <w:gridCol w:w="2335"/>
                            </w:tblGrid>
                            <w:tr w:rsidR="00541A14" w14:paraId="7FD47FA2" w14:textId="77777777">
                              <w:trPr>
                                <w:trHeight w:val="176"/>
                              </w:trPr>
                              <w:tc>
                                <w:tcPr>
                                  <w:tcW w:w="1947" w:type="dxa"/>
                                  <w:shd w:val="clear" w:color="auto" w:fill="EC1B22"/>
                                </w:tcPr>
                                <w:p w14:paraId="0385A549" w14:textId="77777777" w:rsidR="00541A14" w:rsidRDefault="00541A14">
                                  <w:pPr>
                                    <w:pStyle w:val="Default"/>
                                    <w:rPr>
                                      <w:rFonts w:cs="Times New Roman"/>
                                      <w:color w:val="auto"/>
                                    </w:rPr>
                                  </w:pPr>
                                </w:p>
                              </w:tc>
                              <w:tc>
                                <w:tcPr>
                                  <w:tcW w:w="2335" w:type="dxa"/>
                                  <w:shd w:val="clear" w:color="auto" w:fill="EC1B22"/>
                                  <w:vAlign w:val="center"/>
                                </w:tcPr>
                                <w:p w14:paraId="39229C57" w14:textId="77777777" w:rsidR="00541A14" w:rsidRDefault="00A450E1">
                                  <w:pPr>
                                    <w:pStyle w:val="Default"/>
                                    <w:rPr>
                                      <w:rFonts w:ascii="DIN" w:hAnsi="DIN" w:cs="DIN"/>
                                      <w:color w:val="FFFFFF"/>
                                      <w:sz w:val="18"/>
                                      <w:szCs w:val="18"/>
                                    </w:rPr>
                                  </w:pPr>
                                  <w:r>
                                    <w:rPr>
                                      <w:rFonts w:ascii="DIN" w:hAnsi="DIN" w:cs="DIN"/>
                                      <w:b/>
                                      <w:bCs/>
                                      <w:color w:val="FFFFFF"/>
                                      <w:sz w:val="18"/>
                                      <w:szCs w:val="18"/>
                                    </w:rPr>
                                    <w:t xml:space="preserve">Description </w:t>
                                  </w:r>
                                </w:p>
                              </w:tc>
                            </w:tr>
                            <w:tr w:rsidR="00541A14" w14:paraId="4077DDEA" w14:textId="77777777">
                              <w:trPr>
                                <w:trHeight w:val="442"/>
                              </w:trPr>
                              <w:tc>
                                <w:tcPr>
                                  <w:tcW w:w="1947" w:type="dxa"/>
                                  <w:tcBorders>
                                    <w:left w:val="single" w:sz="2" w:space="0" w:color="EC1B22"/>
                                    <w:right w:val="single" w:sz="2" w:space="0" w:color="EC1B22"/>
                                  </w:tcBorders>
                                  <w:shd w:val="clear" w:color="auto" w:fill="FCE2D7"/>
                                  <w:vAlign w:val="center"/>
                                </w:tcPr>
                                <w:p w14:paraId="16315560" w14:textId="77777777" w:rsidR="00541A14" w:rsidRDefault="00A450E1">
                                  <w:pPr>
                                    <w:pStyle w:val="Default"/>
                                    <w:rPr>
                                      <w:rFonts w:ascii="DIN" w:hAnsi="DIN" w:cs="DIN"/>
                                      <w:sz w:val="17"/>
                                      <w:szCs w:val="17"/>
                                    </w:rPr>
                                  </w:pPr>
                                  <w:r>
                                    <w:rPr>
                                      <w:rFonts w:ascii="DIN" w:hAnsi="DIN" w:cs="DIN"/>
                                      <w:b/>
                                      <w:bCs/>
                                      <w:sz w:val="17"/>
                                      <w:szCs w:val="17"/>
                                    </w:rPr>
                                    <w:t xml:space="preserve">Colour </w:t>
                                  </w:r>
                                </w:p>
                              </w:tc>
                              <w:tc>
                                <w:tcPr>
                                  <w:tcW w:w="2335" w:type="dxa"/>
                                  <w:tcBorders>
                                    <w:left w:val="single" w:sz="2" w:space="0" w:color="EC1B22"/>
                                    <w:right w:val="single" w:sz="2" w:space="0" w:color="EC1B22"/>
                                  </w:tcBorders>
                                  <w:shd w:val="clear" w:color="auto" w:fill="FCE2D7"/>
                                </w:tcPr>
                                <w:p w14:paraId="7DA51086" w14:textId="77777777" w:rsidR="00541A14" w:rsidRDefault="00A450E1">
                                  <w:pPr>
                                    <w:pStyle w:val="Default"/>
                                    <w:rPr>
                                      <w:rFonts w:ascii="DIN" w:hAnsi="DIN" w:cs="DIN"/>
                                      <w:sz w:val="17"/>
                                      <w:szCs w:val="17"/>
                                    </w:rPr>
                                  </w:pPr>
                                  <w:r>
                                    <w:rPr>
                                      <w:rFonts w:ascii="DIN" w:hAnsi="DIN" w:cs="DIN"/>
                                      <w:sz w:val="17"/>
                                      <w:szCs w:val="17"/>
                                    </w:rPr>
                                    <w:t xml:space="preserve">Blue/Yellow vertical stripes in equal number dimensions (minimum 4 stripes and maximum 8) </w:t>
                                  </w:r>
                                </w:p>
                              </w:tc>
                            </w:tr>
                            <w:tr w:rsidR="00541A14" w14:paraId="2B6EF4F1" w14:textId="77777777">
                              <w:trPr>
                                <w:trHeight w:val="168"/>
                              </w:trPr>
                              <w:tc>
                                <w:tcPr>
                                  <w:tcW w:w="1947" w:type="dxa"/>
                                  <w:tcBorders>
                                    <w:left w:val="single" w:sz="2" w:space="0" w:color="EC1B22"/>
                                    <w:right w:val="single" w:sz="2" w:space="0" w:color="EC1B22"/>
                                  </w:tcBorders>
                                  <w:vAlign w:val="center"/>
                                </w:tcPr>
                                <w:p w14:paraId="51892FF3" w14:textId="77777777" w:rsidR="00541A14" w:rsidRDefault="00A450E1">
                                  <w:pPr>
                                    <w:pStyle w:val="Default"/>
                                    <w:rPr>
                                      <w:rFonts w:ascii="DIN" w:hAnsi="DIN" w:cs="DIN"/>
                                      <w:sz w:val="17"/>
                                      <w:szCs w:val="17"/>
                                    </w:rPr>
                                  </w:pPr>
                                  <w:r>
                                    <w:rPr>
                                      <w:rFonts w:ascii="DIN" w:hAnsi="DIN" w:cs="DIN"/>
                                      <w:b/>
                                      <w:bCs/>
                                      <w:sz w:val="17"/>
                                      <w:szCs w:val="17"/>
                                    </w:rPr>
                                    <w:t xml:space="preserve">Shape of buoy </w:t>
                                  </w:r>
                                </w:p>
                              </w:tc>
                              <w:tc>
                                <w:tcPr>
                                  <w:tcW w:w="2335" w:type="dxa"/>
                                  <w:tcBorders>
                                    <w:left w:val="single" w:sz="2" w:space="0" w:color="EC1B22"/>
                                    <w:right w:val="single" w:sz="2" w:space="0" w:color="EC1B22"/>
                                  </w:tcBorders>
                                  <w:vAlign w:val="center"/>
                                </w:tcPr>
                                <w:p w14:paraId="1701643B" w14:textId="77777777" w:rsidR="00541A14" w:rsidRDefault="00A450E1">
                                  <w:pPr>
                                    <w:pStyle w:val="Default"/>
                                    <w:rPr>
                                      <w:rFonts w:ascii="DIN" w:hAnsi="DIN" w:cs="DIN"/>
                                      <w:sz w:val="17"/>
                                      <w:szCs w:val="17"/>
                                    </w:rPr>
                                  </w:pPr>
                                  <w:r>
                                    <w:rPr>
                                      <w:rFonts w:ascii="DIN" w:hAnsi="DIN" w:cs="DIN"/>
                                      <w:sz w:val="17"/>
                                      <w:szCs w:val="17"/>
                                    </w:rPr>
                                    <w:t xml:space="preserve">Pillar or spar </w:t>
                                  </w:r>
                                </w:p>
                              </w:tc>
                            </w:tr>
                            <w:tr w:rsidR="00541A14" w14:paraId="3D2CB9C4" w14:textId="77777777">
                              <w:trPr>
                                <w:trHeight w:val="266"/>
                              </w:trPr>
                              <w:tc>
                                <w:tcPr>
                                  <w:tcW w:w="1947" w:type="dxa"/>
                                  <w:tcBorders>
                                    <w:left w:val="single" w:sz="2" w:space="0" w:color="EC1B22"/>
                                    <w:bottom w:val="single" w:sz="2" w:space="0" w:color="EC1B22"/>
                                    <w:right w:val="single" w:sz="2" w:space="0" w:color="EC1B22"/>
                                  </w:tcBorders>
                                  <w:shd w:val="clear" w:color="auto" w:fill="FCE2D7"/>
                                  <w:vAlign w:val="center"/>
                                </w:tcPr>
                                <w:p w14:paraId="5AB77C4B" w14:textId="77777777" w:rsidR="00541A14" w:rsidRDefault="00A450E1">
                                  <w:pPr>
                                    <w:pStyle w:val="Default"/>
                                    <w:rPr>
                                      <w:rFonts w:ascii="DIN" w:hAnsi="DIN" w:cs="DIN"/>
                                      <w:sz w:val="17"/>
                                      <w:szCs w:val="17"/>
                                    </w:rPr>
                                  </w:pPr>
                                  <w:r>
                                    <w:rPr>
                                      <w:rFonts w:ascii="DIN" w:hAnsi="DIN" w:cs="DIN"/>
                                      <w:b/>
                                      <w:bCs/>
                                      <w:sz w:val="17"/>
                                      <w:szCs w:val="17"/>
                                    </w:rPr>
                                    <w:t xml:space="preserve">Top-mark </w:t>
                                  </w:r>
                                  <w:r>
                                    <w:rPr>
                                      <w:rFonts w:ascii="DIN" w:hAnsi="DIN" w:cs="DIN"/>
                                      <w:sz w:val="17"/>
                                      <w:szCs w:val="17"/>
                                    </w:rPr>
                                    <w:t xml:space="preserve">(if any) </w:t>
                                  </w:r>
                                </w:p>
                              </w:tc>
                              <w:tc>
                                <w:tcPr>
                                  <w:tcW w:w="2335" w:type="dxa"/>
                                  <w:tcBorders>
                                    <w:left w:val="single" w:sz="2" w:space="0" w:color="EC1B22"/>
                                    <w:bottom w:val="single" w:sz="2" w:space="0" w:color="EC1B22"/>
                                    <w:right w:val="single" w:sz="2" w:space="0" w:color="EC1B22"/>
                                  </w:tcBorders>
                                  <w:shd w:val="clear" w:color="auto" w:fill="FCE2D7"/>
                                  <w:vAlign w:val="center"/>
                                </w:tcPr>
                                <w:p w14:paraId="4C2832AB" w14:textId="77777777" w:rsidR="00541A14" w:rsidRDefault="00A450E1">
                                  <w:pPr>
                                    <w:pStyle w:val="Default"/>
                                    <w:rPr>
                                      <w:rFonts w:ascii="DIN" w:hAnsi="DIN" w:cs="DIN"/>
                                      <w:sz w:val="17"/>
                                      <w:szCs w:val="17"/>
                                    </w:rPr>
                                  </w:pPr>
                                  <w:r>
                                    <w:rPr>
                                      <w:rFonts w:ascii="DIN" w:hAnsi="DIN" w:cs="DIN"/>
                                      <w:sz w:val="17"/>
                                      <w:szCs w:val="17"/>
                                    </w:rPr>
                                    <w:t xml:space="preserve">Vertical/perpendicular Yellow cross </w:t>
                                  </w:r>
                                </w:p>
                              </w:tc>
                            </w:tr>
                            <w:tr w:rsidR="00541A14" w14:paraId="53A5CA69" w14:textId="77777777">
                              <w:trPr>
                                <w:trHeight w:val="151"/>
                              </w:trPr>
                              <w:tc>
                                <w:tcPr>
                                  <w:tcW w:w="1947" w:type="dxa"/>
                                  <w:tcBorders>
                                    <w:top w:val="single" w:sz="2" w:space="0" w:color="EC1B22"/>
                                    <w:left w:val="single" w:sz="2" w:space="0" w:color="EC1B22"/>
                                    <w:bottom w:val="single" w:sz="2" w:space="0" w:color="EC1B22"/>
                                  </w:tcBorders>
                                  <w:vAlign w:val="center"/>
                                </w:tcPr>
                                <w:p w14:paraId="77DF6067" w14:textId="77777777" w:rsidR="00541A14" w:rsidRDefault="00A450E1">
                                  <w:pPr>
                                    <w:pStyle w:val="Default"/>
                                    <w:rPr>
                                      <w:rFonts w:ascii="DIN" w:hAnsi="DIN" w:cs="DIN"/>
                                      <w:sz w:val="17"/>
                                      <w:szCs w:val="17"/>
                                    </w:rPr>
                                  </w:pPr>
                                  <w:r>
                                    <w:rPr>
                                      <w:rFonts w:ascii="DIN" w:hAnsi="DIN" w:cs="DIN"/>
                                      <w:b/>
                                      <w:bCs/>
                                      <w:sz w:val="17"/>
                                      <w:szCs w:val="17"/>
                                    </w:rPr>
                                    <w:t xml:space="preserve">Light </w:t>
                                  </w:r>
                                </w:p>
                              </w:tc>
                              <w:tc>
                                <w:tcPr>
                                  <w:tcW w:w="2335" w:type="dxa"/>
                                  <w:tcBorders>
                                    <w:top w:val="single" w:sz="2" w:space="0" w:color="EC1B22"/>
                                    <w:bottom w:val="single" w:sz="2" w:space="0" w:color="EC1B22"/>
                                    <w:right w:val="single" w:sz="2" w:space="0" w:color="EC1B22"/>
                                  </w:tcBorders>
                                </w:tcPr>
                                <w:p w14:paraId="4F824534" w14:textId="77777777" w:rsidR="00541A14" w:rsidRDefault="00541A14">
                                  <w:pPr>
                                    <w:pStyle w:val="Default"/>
                                    <w:rPr>
                                      <w:rFonts w:cs="Times New Roman"/>
                                      <w:color w:val="auto"/>
                                    </w:rPr>
                                  </w:pPr>
                                </w:p>
                              </w:tc>
                            </w:tr>
                            <w:tr w:rsidR="00541A14" w14:paraId="09CB5838" w14:textId="77777777">
                              <w:trPr>
                                <w:trHeight w:val="135"/>
                              </w:trPr>
                              <w:tc>
                                <w:tcPr>
                                  <w:tcW w:w="1947" w:type="dxa"/>
                                  <w:tcBorders>
                                    <w:top w:val="single" w:sz="2" w:space="0" w:color="EC1B22"/>
                                    <w:left w:val="single" w:sz="2" w:space="0" w:color="EC1B22"/>
                                    <w:right w:val="single" w:sz="2" w:space="0" w:color="EC1B22"/>
                                  </w:tcBorders>
                                  <w:shd w:val="clear" w:color="auto" w:fill="FCE2D7"/>
                                  <w:vAlign w:val="center"/>
                                </w:tcPr>
                                <w:p w14:paraId="1A52F4EA" w14:textId="77777777" w:rsidR="00541A14" w:rsidRDefault="00A450E1">
                                  <w:pPr>
                                    <w:pStyle w:val="Default"/>
                                    <w:rPr>
                                      <w:rFonts w:ascii="DIN" w:hAnsi="DIN" w:cs="DIN"/>
                                      <w:sz w:val="17"/>
                                      <w:szCs w:val="17"/>
                                    </w:rPr>
                                  </w:pPr>
                                  <w:r>
                                    <w:rPr>
                                      <w:rFonts w:ascii="DIN" w:hAnsi="DIN" w:cs="DIN"/>
                                      <w:sz w:val="17"/>
                                      <w:szCs w:val="17"/>
                                    </w:rPr>
                                    <w:t xml:space="preserve">Colour </w:t>
                                  </w:r>
                                </w:p>
                              </w:tc>
                              <w:tc>
                                <w:tcPr>
                                  <w:tcW w:w="2335" w:type="dxa"/>
                                  <w:tcBorders>
                                    <w:top w:val="single" w:sz="2" w:space="0" w:color="EC1B22"/>
                                    <w:left w:val="single" w:sz="2" w:space="0" w:color="EC1B22"/>
                                    <w:right w:val="single" w:sz="2" w:space="0" w:color="EC1B22"/>
                                  </w:tcBorders>
                                  <w:shd w:val="clear" w:color="auto" w:fill="FCE2D7"/>
                                  <w:vAlign w:val="center"/>
                                </w:tcPr>
                                <w:p w14:paraId="7B8A7585" w14:textId="77777777" w:rsidR="00541A14" w:rsidRDefault="00A450E1">
                                  <w:pPr>
                                    <w:pStyle w:val="Default"/>
                                    <w:rPr>
                                      <w:rFonts w:ascii="DIN" w:hAnsi="DIN" w:cs="DIN"/>
                                      <w:sz w:val="17"/>
                                      <w:szCs w:val="17"/>
                                    </w:rPr>
                                  </w:pPr>
                                  <w:r>
                                    <w:rPr>
                                      <w:rFonts w:ascii="DIN" w:hAnsi="DIN" w:cs="DIN"/>
                                      <w:sz w:val="17"/>
                                      <w:szCs w:val="17"/>
                                    </w:rPr>
                                    <w:t xml:space="preserve">Yellow/blue alternating </w:t>
                                  </w:r>
                                </w:p>
                              </w:tc>
                            </w:tr>
                            <w:tr w:rsidR="00541A14" w14:paraId="1B2FE224" w14:textId="77777777">
                              <w:trPr>
                                <w:trHeight w:val="480"/>
                              </w:trPr>
                              <w:tc>
                                <w:tcPr>
                                  <w:tcW w:w="1947" w:type="dxa"/>
                                  <w:tcBorders>
                                    <w:left w:val="single" w:sz="2" w:space="0" w:color="EC1B22"/>
                                    <w:bottom w:val="single" w:sz="2" w:space="0" w:color="EC1B22"/>
                                    <w:right w:val="single" w:sz="2" w:space="0" w:color="EC1B22"/>
                                  </w:tcBorders>
                                  <w:vAlign w:val="center"/>
                                </w:tcPr>
                                <w:p w14:paraId="59041B35" w14:textId="77777777" w:rsidR="00541A14" w:rsidRDefault="00A450E1">
                                  <w:pPr>
                                    <w:pStyle w:val="Default"/>
                                    <w:rPr>
                                      <w:rFonts w:ascii="DIN" w:hAnsi="DIN" w:cs="DIN"/>
                                      <w:sz w:val="17"/>
                                      <w:szCs w:val="17"/>
                                    </w:rPr>
                                  </w:pPr>
                                  <w:r>
                                    <w:rPr>
                                      <w:rFonts w:ascii="DIN" w:hAnsi="DIN" w:cs="DIN"/>
                                      <w:sz w:val="17"/>
                                      <w:szCs w:val="17"/>
                                    </w:rPr>
                                    <w:t xml:space="preserve">Rhythm </w:t>
                                  </w:r>
                                </w:p>
                              </w:tc>
                              <w:tc>
                                <w:tcPr>
                                  <w:tcW w:w="2335" w:type="dxa"/>
                                  <w:tcBorders>
                                    <w:left w:val="single" w:sz="2" w:space="0" w:color="EC1B22"/>
                                    <w:bottom w:val="single" w:sz="2" w:space="0" w:color="EC1B22"/>
                                    <w:right w:val="single" w:sz="2" w:space="0" w:color="EC1B22"/>
                                  </w:tcBorders>
                                </w:tcPr>
                                <w:p w14:paraId="0D94A94F" w14:textId="77777777" w:rsidR="00541A14" w:rsidRDefault="00A450E1">
                                  <w:pPr>
                                    <w:pStyle w:val="Default"/>
                                    <w:rPr>
                                      <w:rFonts w:ascii="DIN" w:hAnsi="DIN" w:cs="DIN"/>
                                      <w:sz w:val="17"/>
                                      <w:szCs w:val="17"/>
                                    </w:rPr>
                                  </w:pPr>
                                  <w:r>
                                    <w:rPr>
                                      <w:rFonts w:ascii="DIN" w:hAnsi="DIN" w:cs="DIN"/>
                                      <w:sz w:val="17"/>
                                      <w:szCs w:val="17"/>
                                    </w:rPr>
                                    <w:t xml:space="preserve">One second of blue light and one second of yellow light with 0.5 sec. of darkness between </w:t>
                                  </w:r>
                                </w:p>
                              </w:tc>
                            </w:tr>
                          </w:tbl>
                          <w:p w14:paraId="33FB7738"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72" type="#_x0000_t202" style="position:absolute;margin-left:73.1pt;margin-top:546.4pt;width:254.1pt;height:206.1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33"/>
                        <w:gridCol w:w="492"/>
                        <w:gridCol w:w="2322"/>
                        <w:gridCol w:w="5"/>
                        <w:gridCol w:w="12"/>
                      </w:tblGrid>
                      <w:tr w:rsidR="00000000" w14:paraId="7FD47FA2" w14:textId="77777777">
                        <w:tblPrEx>
                          <w:tblCellMar>
                            <w:top w:w="0" w:type="dxa"/>
                            <w:bottom w:w="0" w:type="dxa"/>
                          </w:tblCellMar>
                        </w:tblPrEx>
                        <w:trPr>
                          <w:wAfter w:w="2402" w:type="dxa"/>
                          <w:trHeight w:val="176"/>
                        </w:trPr>
                        <w:tc>
                          <w:tcPr>
                            <w:tcW w:w="1947" w:type="dxa"/>
                            <w:gridSpan w:val="3"/>
                            <w:shd w:val="clear" w:color="auto" w:fill="EC1B22"/>
                          </w:tcPr>
                          <w:p w14:paraId="0385A549" w14:textId="77777777" w:rsidR="00000000" w:rsidRDefault="00A450E1">
                            <w:pPr>
                              <w:pStyle w:val="Default"/>
                              <w:rPr>
                                <w:rFonts w:cs="Times New Roman"/>
                                <w:color w:val="auto"/>
                              </w:rPr>
                            </w:pPr>
                          </w:p>
                        </w:tc>
                        <w:tc>
                          <w:tcPr>
                            <w:tcW w:w="2335" w:type="dxa"/>
                            <w:gridSpan w:val="3"/>
                            <w:shd w:val="clear" w:color="auto" w:fill="EC1B22"/>
                            <w:vAlign w:val="center"/>
                          </w:tcPr>
                          <w:p w14:paraId="39229C57" w14:textId="77777777" w:rsidR="00000000" w:rsidRDefault="00A450E1">
                            <w:pPr>
                              <w:pStyle w:val="Default"/>
                              <w:rPr>
                                <w:rFonts w:ascii="DIN" w:hAnsi="DIN" w:cs="DIN"/>
                                <w:color w:val="FFFFFF"/>
                                <w:sz w:val="18"/>
                                <w:szCs w:val="18"/>
                              </w:rPr>
                            </w:pPr>
                            <w:r>
                              <w:rPr>
                                <w:rFonts w:ascii="DIN" w:hAnsi="DIN" w:cs="DIN"/>
                                <w:b/>
                                <w:bCs/>
                                <w:color w:val="FFFFFF"/>
                                <w:sz w:val="18"/>
                                <w:szCs w:val="18"/>
                              </w:rPr>
                              <w:t xml:space="preserve">Description </w:t>
                            </w:r>
                          </w:p>
                        </w:tc>
                      </w:tr>
                      <w:tr w:rsidR="00000000" w14:paraId="4077DDEA" w14:textId="77777777">
                        <w:tblPrEx>
                          <w:tblCellMar>
                            <w:top w:w="0" w:type="dxa"/>
                            <w:bottom w:w="0" w:type="dxa"/>
                          </w:tblCellMar>
                        </w:tblPrEx>
                        <w:trPr>
                          <w:wAfter w:w="2402" w:type="dxa"/>
                          <w:trHeight w:val="442"/>
                        </w:trPr>
                        <w:tc>
                          <w:tcPr>
                            <w:tcW w:w="1947" w:type="dxa"/>
                            <w:gridSpan w:val="3"/>
                            <w:tcBorders>
                              <w:left w:val="single" w:sz="2" w:space="0" w:color="EC1B22"/>
                              <w:right w:val="single" w:sz="2" w:space="0" w:color="EC1B22"/>
                            </w:tcBorders>
                            <w:shd w:val="clear" w:color="auto" w:fill="FCE2D7"/>
                            <w:vAlign w:val="center"/>
                          </w:tcPr>
                          <w:p w14:paraId="16315560" w14:textId="77777777" w:rsidR="00000000" w:rsidRDefault="00A450E1">
                            <w:pPr>
                              <w:pStyle w:val="Default"/>
                              <w:rPr>
                                <w:rFonts w:ascii="DIN" w:hAnsi="DIN" w:cs="DIN"/>
                                <w:sz w:val="17"/>
                                <w:szCs w:val="17"/>
                              </w:rPr>
                            </w:pPr>
                            <w:r>
                              <w:rPr>
                                <w:rFonts w:ascii="DIN" w:hAnsi="DIN" w:cs="DIN"/>
                                <w:b/>
                                <w:bCs/>
                                <w:sz w:val="17"/>
                                <w:szCs w:val="17"/>
                              </w:rPr>
                              <w:t xml:space="preserve">Colour </w:t>
                            </w:r>
                          </w:p>
                        </w:tc>
                        <w:tc>
                          <w:tcPr>
                            <w:tcW w:w="2335" w:type="dxa"/>
                            <w:gridSpan w:val="3"/>
                            <w:tcBorders>
                              <w:left w:val="single" w:sz="2" w:space="0" w:color="EC1B22"/>
                              <w:right w:val="single" w:sz="2" w:space="0" w:color="EC1B22"/>
                            </w:tcBorders>
                            <w:shd w:val="clear" w:color="auto" w:fill="FCE2D7"/>
                          </w:tcPr>
                          <w:p w14:paraId="7DA51086" w14:textId="77777777" w:rsidR="00000000" w:rsidRDefault="00A450E1">
                            <w:pPr>
                              <w:pStyle w:val="Default"/>
                              <w:rPr>
                                <w:rFonts w:ascii="DIN" w:hAnsi="DIN" w:cs="DIN"/>
                                <w:sz w:val="17"/>
                                <w:szCs w:val="17"/>
                              </w:rPr>
                            </w:pPr>
                            <w:r>
                              <w:rPr>
                                <w:rFonts w:ascii="DIN" w:hAnsi="DIN" w:cs="DIN"/>
                                <w:sz w:val="17"/>
                                <w:szCs w:val="17"/>
                              </w:rPr>
                              <w:t xml:space="preserve">Blue/Yellow vertical stripes in equal number dimensions (minimum 4 stripes and maximum 8) </w:t>
                            </w:r>
                          </w:p>
                        </w:tc>
                      </w:tr>
                      <w:tr w:rsidR="00000000" w14:paraId="2B6EF4F1" w14:textId="77777777">
                        <w:tblPrEx>
                          <w:tblCellMar>
                            <w:top w:w="0" w:type="dxa"/>
                            <w:bottom w:w="0" w:type="dxa"/>
                          </w:tblCellMar>
                        </w:tblPrEx>
                        <w:trPr>
                          <w:wAfter w:w="2402" w:type="dxa"/>
                          <w:trHeight w:val="168"/>
                        </w:trPr>
                        <w:tc>
                          <w:tcPr>
                            <w:tcW w:w="1947" w:type="dxa"/>
                            <w:gridSpan w:val="3"/>
                            <w:tcBorders>
                              <w:left w:val="single" w:sz="2" w:space="0" w:color="EC1B22"/>
                              <w:right w:val="single" w:sz="2" w:space="0" w:color="EC1B22"/>
                            </w:tcBorders>
                            <w:vAlign w:val="center"/>
                          </w:tcPr>
                          <w:p w14:paraId="51892FF3" w14:textId="77777777" w:rsidR="00000000" w:rsidRDefault="00A450E1">
                            <w:pPr>
                              <w:pStyle w:val="Default"/>
                              <w:rPr>
                                <w:rFonts w:ascii="DIN" w:hAnsi="DIN" w:cs="DIN"/>
                                <w:sz w:val="17"/>
                                <w:szCs w:val="17"/>
                              </w:rPr>
                            </w:pPr>
                            <w:r>
                              <w:rPr>
                                <w:rFonts w:ascii="DIN" w:hAnsi="DIN" w:cs="DIN"/>
                                <w:b/>
                                <w:bCs/>
                                <w:sz w:val="17"/>
                                <w:szCs w:val="17"/>
                              </w:rPr>
                              <w:t xml:space="preserve">Shape of buoy </w:t>
                            </w:r>
                          </w:p>
                        </w:tc>
                        <w:tc>
                          <w:tcPr>
                            <w:tcW w:w="2335" w:type="dxa"/>
                            <w:gridSpan w:val="3"/>
                            <w:tcBorders>
                              <w:left w:val="single" w:sz="2" w:space="0" w:color="EC1B22"/>
                              <w:right w:val="single" w:sz="2" w:space="0" w:color="EC1B22"/>
                            </w:tcBorders>
                            <w:vAlign w:val="center"/>
                          </w:tcPr>
                          <w:p w14:paraId="1701643B" w14:textId="77777777" w:rsidR="00000000" w:rsidRDefault="00A450E1">
                            <w:pPr>
                              <w:pStyle w:val="Default"/>
                              <w:rPr>
                                <w:rFonts w:ascii="DIN" w:hAnsi="DIN" w:cs="DIN"/>
                                <w:sz w:val="17"/>
                                <w:szCs w:val="17"/>
                              </w:rPr>
                            </w:pPr>
                            <w:r>
                              <w:rPr>
                                <w:rFonts w:ascii="DIN" w:hAnsi="DIN" w:cs="DIN"/>
                                <w:sz w:val="17"/>
                                <w:szCs w:val="17"/>
                              </w:rPr>
                              <w:t xml:space="preserve">Pillar or spar </w:t>
                            </w:r>
                          </w:p>
                        </w:tc>
                      </w:tr>
                      <w:tr w:rsidR="00000000" w14:paraId="3D2CB9C4" w14:textId="77777777">
                        <w:tblPrEx>
                          <w:tblCellMar>
                            <w:top w:w="0" w:type="dxa"/>
                            <w:bottom w:w="0" w:type="dxa"/>
                          </w:tblCellMar>
                        </w:tblPrEx>
                        <w:trPr>
                          <w:wAfter w:w="2402" w:type="dxa"/>
                          <w:trHeight w:val="266"/>
                        </w:trPr>
                        <w:tc>
                          <w:tcPr>
                            <w:tcW w:w="1947" w:type="dxa"/>
                            <w:gridSpan w:val="3"/>
                            <w:tcBorders>
                              <w:left w:val="single" w:sz="2" w:space="0" w:color="EC1B22"/>
                              <w:bottom w:val="single" w:sz="2" w:space="0" w:color="EC1B22"/>
                              <w:right w:val="single" w:sz="2" w:space="0" w:color="EC1B22"/>
                            </w:tcBorders>
                            <w:shd w:val="clear" w:color="auto" w:fill="FCE2D7"/>
                            <w:vAlign w:val="center"/>
                          </w:tcPr>
                          <w:p w14:paraId="5AB77C4B" w14:textId="77777777" w:rsidR="00000000" w:rsidRDefault="00A450E1">
                            <w:pPr>
                              <w:pStyle w:val="Default"/>
                              <w:rPr>
                                <w:rFonts w:ascii="DIN" w:hAnsi="DIN" w:cs="DIN"/>
                                <w:sz w:val="17"/>
                                <w:szCs w:val="17"/>
                              </w:rPr>
                            </w:pPr>
                            <w:r>
                              <w:rPr>
                                <w:rFonts w:ascii="DIN" w:hAnsi="DIN" w:cs="DIN"/>
                                <w:b/>
                                <w:bCs/>
                                <w:sz w:val="17"/>
                                <w:szCs w:val="17"/>
                              </w:rPr>
                              <w:t xml:space="preserve">Top-mark </w:t>
                            </w:r>
                            <w:r>
                              <w:rPr>
                                <w:rFonts w:ascii="DIN" w:hAnsi="DIN" w:cs="DIN"/>
                                <w:sz w:val="17"/>
                                <w:szCs w:val="17"/>
                              </w:rPr>
                              <w:t xml:space="preserve">(if any) </w:t>
                            </w:r>
                          </w:p>
                        </w:tc>
                        <w:tc>
                          <w:tcPr>
                            <w:tcW w:w="2335" w:type="dxa"/>
                            <w:gridSpan w:val="3"/>
                            <w:tcBorders>
                              <w:left w:val="single" w:sz="2" w:space="0" w:color="EC1B22"/>
                              <w:bottom w:val="single" w:sz="2" w:space="0" w:color="EC1B22"/>
                              <w:right w:val="single" w:sz="2" w:space="0" w:color="EC1B22"/>
                            </w:tcBorders>
                            <w:shd w:val="clear" w:color="auto" w:fill="FCE2D7"/>
                            <w:vAlign w:val="center"/>
                          </w:tcPr>
                          <w:p w14:paraId="4C2832AB" w14:textId="77777777" w:rsidR="00000000" w:rsidRDefault="00A450E1">
                            <w:pPr>
                              <w:pStyle w:val="Default"/>
                              <w:rPr>
                                <w:rFonts w:ascii="DIN" w:hAnsi="DIN" w:cs="DIN"/>
                                <w:sz w:val="17"/>
                                <w:szCs w:val="17"/>
                              </w:rPr>
                            </w:pPr>
                            <w:r>
                              <w:rPr>
                                <w:rFonts w:ascii="DIN" w:hAnsi="DIN" w:cs="DIN"/>
                                <w:sz w:val="17"/>
                                <w:szCs w:val="17"/>
                              </w:rPr>
                              <w:t xml:space="preserve">Vertical/perpendicular Yellow cross </w:t>
                            </w:r>
                          </w:p>
                        </w:tc>
                      </w:tr>
                      <w:tr w:rsidR="00000000" w14:paraId="53A5CA69" w14:textId="77777777">
                        <w:tblPrEx>
                          <w:tblCellMar>
                            <w:top w:w="0" w:type="dxa"/>
                            <w:bottom w:w="0" w:type="dxa"/>
                          </w:tblCellMar>
                        </w:tblPrEx>
                        <w:trPr>
                          <w:wAfter w:w="2402" w:type="dxa"/>
                          <w:trHeight w:val="151"/>
                        </w:trPr>
                        <w:tc>
                          <w:tcPr>
                            <w:tcW w:w="1947" w:type="dxa"/>
                            <w:gridSpan w:val="3"/>
                            <w:tcBorders>
                              <w:top w:val="single" w:sz="2" w:space="0" w:color="EC1B22"/>
                              <w:left w:val="single" w:sz="2" w:space="0" w:color="EC1B22"/>
                              <w:bottom w:val="single" w:sz="2" w:space="0" w:color="EC1B22"/>
                            </w:tcBorders>
                            <w:vAlign w:val="center"/>
                          </w:tcPr>
                          <w:p w14:paraId="77DF6067" w14:textId="77777777" w:rsidR="00000000" w:rsidRDefault="00A450E1">
                            <w:pPr>
                              <w:pStyle w:val="Default"/>
                              <w:rPr>
                                <w:rFonts w:ascii="DIN" w:hAnsi="DIN" w:cs="DIN"/>
                                <w:sz w:val="17"/>
                                <w:szCs w:val="17"/>
                              </w:rPr>
                            </w:pPr>
                            <w:r>
                              <w:rPr>
                                <w:rFonts w:ascii="DIN" w:hAnsi="DIN" w:cs="DIN"/>
                                <w:b/>
                                <w:bCs/>
                                <w:sz w:val="17"/>
                                <w:szCs w:val="17"/>
                              </w:rPr>
                              <w:t xml:space="preserve">Light </w:t>
                            </w:r>
                          </w:p>
                        </w:tc>
                        <w:tc>
                          <w:tcPr>
                            <w:tcW w:w="2335" w:type="dxa"/>
                            <w:gridSpan w:val="3"/>
                            <w:tcBorders>
                              <w:top w:val="single" w:sz="2" w:space="0" w:color="EC1B22"/>
                              <w:bottom w:val="single" w:sz="2" w:space="0" w:color="EC1B22"/>
                              <w:right w:val="single" w:sz="2" w:space="0" w:color="EC1B22"/>
                            </w:tcBorders>
                          </w:tcPr>
                          <w:p w14:paraId="4F824534" w14:textId="77777777" w:rsidR="00000000" w:rsidRDefault="00A450E1">
                            <w:pPr>
                              <w:pStyle w:val="Default"/>
                              <w:rPr>
                                <w:rFonts w:cs="Times New Roman"/>
                                <w:color w:val="auto"/>
                              </w:rPr>
                            </w:pPr>
                          </w:p>
                        </w:tc>
                      </w:tr>
                      <w:tr w:rsidR="00000000" w14:paraId="09CB5838" w14:textId="77777777">
                        <w:tblPrEx>
                          <w:tblCellMar>
                            <w:top w:w="0" w:type="dxa"/>
                            <w:bottom w:w="0" w:type="dxa"/>
                          </w:tblCellMar>
                        </w:tblPrEx>
                        <w:trPr>
                          <w:wAfter w:w="2402" w:type="dxa"/>
                          <w:trHeight w:val="135"/>
                        </w:trPr>
                        <w:tc>
                          <w:tcPr>
                            <w:tcW w:w="1947" w:type="dxa"/>
                            <w:gridSpan w:val="3"/>
                            <w:tcBorders>
                              <w:top w:val="single" w:sz="2" w:space="0" w:color="EC1B22"/>
                              <w:left w:val="single" w:sz="2" w:space="0" w:color="EC1B22"/>
                              <w:right w:val="single" w:sz="2" w:space="0" w:color="EC1B22"/>
                            </w:tcBorders>
                            <w:shd w:val="clear" w:color="auto" w:fill="FCE2D7"/>
                            <w:vAlign w:val="center"/>
                          </w:tcPr>
                          <w:p w14:paraId="1A52F4EA" w14:textId="77777777" w:rsidR="00000000" w:rsidRDefault="00A450E1">
                            <w:pPr>
                              <w:pStyle w:val="Default"/>
                              <w:rPr>
                                <w:rFonts w:ascii="DIN" w:hAnsi="DIN" w:cs="DIN"/>
                                <w:sz w:val="17"/>
                                <w:szCs w:val="17"/>
                              </w:rPr>
                            </w:pPr>
                            <w:r>
                              <w:rPr>
                                <w:rFonts w:ascii="DIN" w:hAnsi="DIN" w:cs="DIN"/>
                                <w:sz w:val="17"/>
                                <w:szCs w:val="17"/>
                              </w:rPr>
                              <w:t xml:space="preserve">Colour </w:t>
                            </w:r>
                          </w:p>
                        </w:tc>
                        <w:tc>
                          <w:tcPr>
                            <w:tcW w:w="2335" w:type="dxa"/>
                            <w:gridSpan w:val="3"/>
                            <w:tcBorders>
                              <w:top w:val="single" w:sz="2" w:space="0" w:color="EC1B22"/>
                              <w:left w:val="single" w:sz="2" w:space="0" w:color="EC1B22"/>
                              <w:right w:val="single" w:sz="2" w:space="0" w:color="EC1B22"/>
                            </w:tcBorders>
                            <w:shd w:val="clear" w:color="auto" w:fill="FCE2D7"/>
                            <w:vAlign w:val="center"/>
                          </w:tcPr>
                          <w:p w14:paraId="7B8A7585" w14:textId="77777777" w:rsidR="00000000" w:rsidRDefault="00A450E1">
                            <w:pPr>
                              <w:pStyle w:val="Default"/>
                              <w:rPr>
                                <w:rFonts w:ascii="DIN" w:hAnsi="DIN" w:cs="DIN"/>
                                <w:sz w:val="17"/>
                                <w:szCs w:val="17"/>
                              </w:rPr>
                            </w:pPr>
                            <w:r>
                              <w:rPr>
                                <w:rFonts w:ascii="DIN" w:hAnsi="DIN" w:cs="DIN"/>
                                <w:sz w:val="17"/>
                                <w:szCs w:val="17"/>
                              </w:rPr>
                              <w:t xml:space="preserve">Yellow/blue alternating </w:t>
                            </w:r>
                          </w:p>
                        </w:tc>
                      </w:tr>
                      <w:tr w:rsidR="00000000" w14:paraId="1B2FE224" w14:textId="77777777">
                        <w:tblPrEx>
                          <w:tblCellMar>
                            <w:top w:w="0" w:type="dxa"/>
                            <w:bottom w:w="0" w:type="dxa"/>
                          </w:tblCellMar>
                        </w:tblPrEx>
                        <w:trPr>
                          <w:wAfter w:w="2402" w:type="dxa"/>
                          <w:trHeight w:val="480"/>
                        </w:trPr>
                        <w:tc>
                          <w:tcPr>
                            <w:tcW w:w="1947" w:type="dxa"/>
                            <w:gridSpan w:val="3"/>
                            <w:tcBorders>
                              <w:left w:val="single" w:sz="2" w:space="0" w:color="EC1B22"/>
                              <w:bottom w:val="single" w:sz="2" w:space="0" w:color="EC1B22"/>
                              <w:right w:val="single" w:sz="2" w:space="0" w:color="EC1B22"/>
                            </w:tcBorders>
                            <w:vAlign w:val="center"/>
                          </w:tcPr>
                          <w:p w14:paraId="59041B35" w14:textId="77777777" w:rsidR="00000000" w:rsidRDefault="00A450E1">
                            <w:pPr>
                              <w:pStyle w:val="Default"/>
                              <w:rPr>
                                <w:rFonts w:ascii="DIN" w:hAnsi="DIN" w:cs="DIN"/>
                                <w:sz w:val="17"/>
                                <w:szCs w:val="17"/>
                              </w:rPr>
                            </w:pPr>
                            <w:r>
                              <w:rPr>
                                <w:rFonts w:ascii="DIN" w:hAnsi="DIN" w:cs="DIN"/>
                                <w:sz w:val="17"/>
                                <w:szCs w:val="17"/>
                              </w:rPr>
                              <w:t xml:space="preserve">Rhythm </w:t>
                            </w:r>
                          </w:p>
                        </w:tc>
                        <w:tc>
                          <w:tcPr>
                            <w:tcW w:w="2335" w:type="dxa"/>
                            <w:gridSpan w:val="3"/>
                            <w:tcBorders>
                              <w:left w:val="single" w:sz="2" w:space="0" w:color="EC1B22"/>
                              <w:bottom w:val="single" w:sz="2" w:space="0" w:color="EC1B22"/>
                              <w:right w:val="single" w:sz="2" w:space="0" w:color="EC1B22"/>
                            </w:tcBorders>
                          </w:tcPr>
                          <w:p w14:paraId="0D94A94F" w14:textId="77777777" w:rsidR="00000000" w:rsidRDefault="00A450E1">
                            <w:pPr>
                              <w:pStyle w:val="Default"/>
                              <w:rPr>
                                <w:rFonts w:ascii="DIN" w:hAnsi="DIN" w:cs="DIN"/>
                                <w:sz w:val="17"/>
                                <w:szCs w:val="17"/>
                              </w:rPr>
                            </w:pPr>
                            <w:r>
                              <w:rPr>
                                <w:rFonts w:ascii="DIN" w:hAnsi="DIN" w:cs="DIN"/>
                                <w:sz w:val="17"/>
                                <w:szCs w:val="17"/>
                              </w:rPr>
                              <w:t xml:space="preserve">One second of blue light and one second of yellow light with 0.5 sec. of darkness between </w:t>
                            </w:r>
                          </w:p>
                        </w:tc>
                      </w:tr>
                    </w:tbl>
                  </w:txbxContent>
                </v:textbox>
                <w10:wrap type="through" anchorx="page" anchory="page"/>
              </v:shape>
            </w:pict>
          </mc:Fallback>
        </mc:AlternateContent>
      </w:r>
    </w:p>
    <w:p w14:paraId="573E59AF" w14:textId="77777777" w:rsidR="00541A14" w:rsidRDefault="00DD420F">
      <w:pPr>
        <w:pStyle w:val="Default"/>
        <w:framePr w:w="828" w:wrap="auto" w:vAnchor="page" w:hAnchor="page" w:x="6177" w:y="15259"/>
        <w:spacing w:after="120"/>
        <w:rPr>
          <w:rFonts w:cs="Times New Roman"/>
          <w:color w:val="auto"/>
        </w:rPr>
      </w:pPr>
      <w:r>
        <w:rPr>
          <w:rFonts w:cs="Times New Roman"/>
          <w:noProof/>
          <w:color w:val="auto"/>
        </w:rPr>
        <w:drawing>
          <wp:inline distT="0" distB="0" distL="0" distR="0" wp14:anchorId="0A1F0770" wp14:editId="636D0690">
            <wp:extent cx="11430" cy="1143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0E037D19" w14:textId="77777777" w:rsidR="00541A14" w:rsidRDefault="00A450E1">
      <w:pPr>
        <w:pStyle w:val="CM12"/>
        <w:jc w:val="both"/>
        <w:rPr>
          <w:sz w:val="15"/>
          <w:szCs w:val="15"/>
        </w:rPr>
      </w:pPr>
      <w:r>
        <w:rPr>
          <w:sz w:val="15"/>
          <w:szCs w:val="15"/>
        </w:rPr>
        <w:t xml:space="preserve">Maritime Buoyage System </w:t>
      </w:r>
    </w:p>
    <w:p w14:paraId="36E2D87D" w14:textId="77777777" w:rsidR="00541A14" w:rsidRDefault="00A450E1">
      <w:pPr>
        <w:pStyle w:val="CM165"/>
        <w:spacing w:after="85"/>
        <w:jc w:val="both"/>
        <w:rPr>
          <w:color w:val="EC1B22"/>
          <w:sz w:val="15"/>
          <w:szCs w:val="15"/>
        </w:rPr>
      </w:pPr>
      <w:r>
        <w:rPr>
          <w:color w:val="EC1B22"/>
          <w:sz w:val="15"/>
          <w:szCs w:val="15"/>
        </w:rPr>
        <w:t xml:space="preserve">Marks </w:t>
      </w:r>
    </w:p>
    <w:p w14:paraId="3797F3ED" w14:textId="77777777" w:rsidR="00541A14" w:rsidRDefault="00A450E1">
      <w:pPr>
        <w:pStyle w:val="CM205"/>
        <w:spacing w:after="502"/>
        <w:ind w:left="4827"/>
        <w:rPr>
          <w:color w:val="6B6D6F"/>
          <w:sz w:val="47"/>
          <w:szCs w:val="47"/>
        </w:rPr>
      </w:pPr>
      <w:r>
        <w:rPr>
          <w:color w:val="6B6D6F"/>
          <w:sz w:val="47"/>
          <w:szCs w:val="47"/>
        </w:rPr>
        <w:t xml:space="preserve">18 </w:t>
      </w:r>
    </w:p>
    <w:p w14:paraId="5B758DA2" w14:textId="77777777" w:rsidR="00541A14" w:rsidRDefault="00DD420F">
      <w:pPr>
        <w:pStyle w:val="Default"/>
        <w:framePr w:w="10730" w:wrap="auto" w:vAnchor="page" w:hAnchor="page" w:x="608" w:y="16318"/>
        <w:rPr>
          <w:rFonts w:cs="Times New Roman"/>
          <w:color w:val="6B6D6F"/>
          <w:sz w:val="47"/>
          <w:szCs w:val="47"/>
        </w:rPr>
      </w:pPr>
      <w:r>
        <w:rPr>
          <w:rFonts w:cs="Times New Roman"/>
          <w:noProof/>
          <w:color w:val="6B6D6F"/>
          <w:sz w:val="47"/>
          <w:szCs w:val="47"/>
        </w:rPr>
        <w:drawing>
          <wp:inline distT="0" distB="0" distL="0" distR="0" wp14:anchorId="68A1A8F6" wp14:editId="1CDBDFBA">
            <wp:extent cx="7553960" cy="39179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47C76514" w14:textId="77777777" w:rsidR="00541A14" w:rsidRDefault="00A450E1">
      <w:pPr>
        <w:pStyle w:val="CM173"/>
        <w:pageBreakBefore/>
        <w:spacing w:after="340"/>
        <w:ind w:left="112"/>
        <w:rPr>
          <w:rFonts w:ascii="DIN" w:hAnsi="DIN" w:cs="DIN"/>
          <w:color w:val="EC1B22"/>
          <w:sz w:val="22"/>
          <w:szCs w:val="22"/>
        </w:rPr>
      </w:pPr>
      <w:r>
        <w:rPr>
          <w:rFonts w:ascii="DIN" w:hAnsi="DIN" w:cs="DIN"/>
          <w:b/>
          <w:bCs/>
          <w:color w:val="EC1B22"/>
          <w:sz w:val="22"/>
          <w:szCs w:val="22"/>
        </w:rPr>
        <w:t xml:space="preserve">8. OTHER MARKS </w:t>
      </w:r>
    </w:p>
    <w:p w14:paraId="477D9951" w14:textId="77777777" w:rsidR="00541A14" w:rsidRDefault="00A450E1">
      <w:pPr>
        <w:pStyle w:val="CM207"/>
        <w:spacing w:after="4417"/>
        <w:rPr>
          <w:rFonts w:ascii="DIN" w:hAnsi="DIN" w:cs="DIN"/>
          <w:color w:val="EC1B22"/>
          <w:sz w:val="18"/>
          <w:szCs w:val="18"/>
        </w:rPr>
      </w:pPr>
      <w:r>
        <w:rPr>
          <w:rFonts w:ascii="DIN" w:hAnsi="DIN" w:cs="DIN"/>
          <w:b/>
          <w:bCs/>
          <w:color w:val="EC1B22"/>
          <w:sz w:val="18"/>
          <w:szCs w:val="18"/>
        </w:rPr>
        <w:t xml:space="preserve">8.1 Leading Lines/Ranges </w:t>
      </w:r>
    </w:p>
    <w:p w14:paraId="386F853A" w14:textId="77777777" w:rsidR="00541A14" w:rsidRDefault="00A450E1">
      <w:pPr>
        <w:pStyle w:val="CM165"/>
        <w:spacing w:after="85"/>
        <w:ind w:left="302"/>
        <w:rPr>
          <w:rFonts w:ascii="DIN" w:hAnsi="DIN" w:cs="DIN"/>
          <w:color w:val="000000"/>
          <w:sz w:val="18"/>
          <w:szCs w:val="18"/>
        </w:rPr>
      </w:pPr>
      <w:r>
        <w:rPr>
          <w:rFonts w:ascii="DIN" w:hAnsi="DIN" w:cs="DIN"/>
          <w:b/>
          <w:bCs/>
          <w:color w:val="000000"/>
          <w:sz w:val="18"/>
          <w:szCs w:val="18"/>
        </w:rPr>
        <w:t xml:space="preserve">8.1.1 Definition of Leading Lines/Ranges </w:t>
      </w:r>
    </w:p>
    <w:p w14:paraId="2956E2E1" w14:textId="77777777" w:rsidR="00541A14" w:rsidRDefault="00A450E1">
      <w:pPr>
        <w:pStyle w:val="CM165"/>
        <w:spacing w:after="85" w:line="246" w:lineRule="atLeast"/>
        <w:ind w:left="802"/>
        <w:rPr>
          <w:rFonts w:ascii="DIN" w:hAnsi="DIN" w:cs="DIN"/>
          <w:color w:val="000000"/>
          <w:sz w:val="18"/>
          <w:szCs w:val="18"/>
        </w:rPr>
      </w:pPr>
      <w:r>
        <w:rPr>
          <w:rFonts w:ascii="DIN" w:hAnsi="DIN" w:cs="DIN"/>
          <w:color w:val="000000"/>
          <w:sz w:val="18"/>
          <w:szCs w:val="18"/>
        </w:rPr>
        <w:t xml:space="preserve">A group of two or more marks or lights, in the same vertical plane such that the navigator can follow the leading line on the same bearing. </w:t>
      </w:r>
    </w:p>
    <w:p w14:paraId="054A9F4B" w14:textId="77777777" w:rsidR="00541A14" w:rsidRDefault="00A450E1">
      <w:pPr>
        <w:pStyle w:val="CM165"/>
        <w:spacing w:after="85" w:line="260" w:lineRule="atLeast"/>
        <w:ind w:left="295"/>
        <w:rPr>
          <w:rFonts w:ascii="DIN" w:hAnsi="DIN" w:cs="DIN"/>
          <w:color w:val="000000"/>
          <w:sz w:val="18"/>
          <w:szCs w:val="18"/>
        </w:rPr>
      </w:pPr>
      <w:r>
        <w:rPr>
          <w:rFonts w:ascii="DIN" w:hAnsi="DIN" w:cs="DIN"/>
          <w:b/>
          <w:bCs/>
          <w:color w:val="000000"/>
          <w:sz w:val="18"/>
          <w:szCs w:val="18"/>
        </w:rPr>
        <w:t xml:space="preserve">8.1.2 Description of Leading Lines </w:t>
      </w:r>
    </w:p>
    <w:p w14:paraId="1ACDB3A6" w14:textId="77777777" w:rsidR="00541A14" w:rsidRDefault="00A450E1">
      <w:pPr>
        <w:pStyle w:val="CM174"/>
        <w:spacing w:after="437" w:line="246" w:lineRule="atLeast"/>
        <w:ind w:left="800" w:right="85"/>
        <w:rPr>
          <w:rFonts w:ascii="DIN" w:hAnsi="DIN" w:cs="DIN"/>
          <w:color w:val="000000"/>
          <w:sz w:val="18"/>
          <w:szCs w:val="18"/>
        </w:rPr>
      </w:pPr>
      <w:r>
        <w:rPr>
          <w:rFonts w:ascii="DIN" w:hAnsi="DIN" w:cs="DIN"/>
          <w:color w:val="000000"/>
          <w:sz w:val="18"/>
          <w:szCs w:val="18"/>
        </w:rPr>
        <w:t xml:space="preserve">Leading Line structures can be any colour or shape that provides a distinctive mark that cannot be confused with adjacent structures. </w:t>
      </w:r>
    </w:p>
    <w:p w14:paraId="6071B202"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706368" behindDoc="0" locked="0" layoutInCell="0" allowOverlap="1" wp14:anchorId="3A22ADCD" wp14:editId="5F725309">
                <wp:simplePos x="0" y="0"/>
                <wp:positionH relativeFrom="page">
                  <wp:posOffset>960755</wp:posOffset>
                </wp:positionH>
                <wp:positionV relativeFrom="page">
                  <wp:posOffset>6401435</wp:posOffset>
                </wp:positionV>
                <wp:extent cx="3213100" cy="3312160"/>
                <wp:effectExtent l="0" t="0" r="0" b="0"/>
                <wp:wrapThrough wrapText="bothSides">
                  <wp:wrapPolygon edited="0">
                    <wp:start x="0" y="0"/>
                    <wp:lineTo x="21600" y="0"/>
                    <wp:lineTo x="21600" y="21600"/>
                    <wp:lineTo x="0" y="21600"/>
                    <wp:lineTo x="0" y="0"/>
                  </wp:wrapPolygon>
                </wp:wrapThrough>
                <wp:docPr id="50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3100" cy="331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455"/>
                              <w:gridCol w:w="2805"/>
                            </w:tblGrid>
                            <w:tr w:rsidR="00541A14" w14:paraId="51308C32" w14:textId="77777777">
                              <w:trPr>
                                <w:trHeight w:val="1090"/>
                              </w:trPr>
                              <w:tc>
                                <w:tcPr>
                                  <w:tcW w:w="4260" w:type="dxa"/>
                                  <w:gridSpan w:val="2"/>
                                  <w:tcBorders>
                                    <w:top w:val="single" w:sz="2" w:space="0" w:color="EC1B22"/>
                                    <w:left w:val="single" w:sz="2" w:space="0" w:color="EC1B22"/>
                                    <w:bottom w:val="single" w:sz="2" w:space="0" w:color="EC1B22"/>
                                    <w:right w:val="single" w:sz="2" w:space="0" w:color="EC1B22"/>
                                  </w:tcBorders>
                                </w:tcPr>
                                <w:p w14:paraId="71C2973A" w14:textId="77777777" w:rsidR="00541A14" w:rsidRDefault="00A450E1">
                                  <w:pPr>
                                    <w:pStyle w:val="Default"/>
                                    <w:rPr>
                                      <w:rFonts w:ascii="DIN" w:hAnsi="DIN" w:cs="DIN"/>
                                      <w:sz w:val="17"/>
                                      <w:szCs w:val="17"/>
                                    </w:rPr>
                                  </w:pPr>
                                  <w:r>
                                    <w:rPr>
                                      <w:rFonts w:ascii="DIN" w:hAnsi="DIN" w:cs="DIN"/>
                                      <w:b/>
                                      <w:bCs/>
                                      <w:color w:val="FFFFFF"/>
                                      <w:sz w:val="18"/>
                                      <w:szCs w:val="18"/>
                                    </w:rPr>
                                    <w:t xml:space="preserve">Description </w:t>
                                  </w:r>
                                  <w:r>
                                    <w:rPr>
                                      <w:rFonts w:ascii="DIN" w:hAnsi="DIN" w:cs="DIN"/>
                                      <w:b/>
                                      <w:bCs/>
                                      <w:sz w:val="17"/>
                                      <w:szCs w:val="17"/>
                                    </w:rPr>
                                    <w:t xml:space="preserve">Colour </w:t>
                                  </w:r>
                                  <w:r>
                                    <w:rPr>
                                      <w:rFonts w:ascii="DIN" w:hAnsi="DIN" w:cs="DIN"/>
                                      <w:sz w:val="17"/>
                                      <w:szCs w:val="17"/>
                                    </w:rPr>
                                    <w:t>No colour significance. Competent authority determines the optimum colours to contrast with the domi</w:t>
                                  </w:r>
                                  <w:r>
                                    <w:rPr>
                                      <w:rFonts w:ascii="DIN" w:hAnsi="DIN" w:cs="DIN"/>
                                      <w:sz w:val="17"/>
                                      <w:szCs w:val="17"/>
                                    </w:rPr>
                                    <w:softHyphen/>
                                    <w:t xml:space="preserve">nant background colour at the location </w:t>
                                  </w:r>
                                  <w:r>
                                    <w:rPr>
                                      <w:rFonts w:ascii="DIN" w:hAnsi="DIN" w:cs="DIN"/>
                                      <w:b/>
                                      <w:bCs/>
                                      <w:sz w:val="17"/>
                                      <w:szCs w:val="17"/>
                                    </w:rPr>
                                    <w:t xml:space="preserve">Shape </w:t>
                                  </w:r>
                                  <w:r>
                                    <w:rPr>
                                      <w:rFonts w:ascii="DIN" w:hAnsi="DIN" w:cs="DIN"/>
                                      <w:sz w:val="17"/>
                                      <w:szCs w:val="17"/>
                                    </w:rPr>
                                    <w:t xml:space="preserve">No shape significance. Rectangular or triangular figures are recommended. </w:t>
                                  </w:r>
                                </w:p>
                              </w:tc>
                            </w:tr>
                            <w:tr w:rsidR="00541A14" w14:paraId="047BB3B0" w14:textId="77777777">
                              <w:trPr>
                                <w:trHeight w:val="217"/>
                              </w:trPr>
                              <w:tc>
                                <w:tcPr>
                                  <w:tcW w:w="4260" w:type="dxa"/>
                                  <w:gridSpan w:val="2"/>
                                  <w:tcBorders>
                                    <w:top w:val="single" w:sz="2" w:space="0" w:color="EC1B22"/>
                                    <w:left w:val="single" w:sz="2" w:space="0" w:color="EC1B22"/>
                                    <w:bottom w:val="single" w:sz="2" w:space="0" w:color="EC1B22"/>
                                    <w:right w:val="single" w:sz="2" w:space="0" w:color="EC1B22"/>
                                  </w:tcBorders>
                                  <w:shd w:val="clear" w:color="auto" w:fill="FCE2D7"/>
                                  <w:vAlign w:val="center"/>
                                </w:tcPr>
                                <w:p w14:paraId="4E7F4B61" w14:textId="77777777" w:rsidR="00541A14"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w:t>
                                  </w:r>
                                </w:p>
                              </w:tc>
                            </w:tr>
                            <w:tr w:rsidR="00541A14" w14:paraId="10C0A5A5" w14:textId="77777777">
                              <w:trPr>
                                <w:trHeight w:val="936"/>
                              </w:trPr>
                              <w:tc>
                                <w:tcPr>
                                  <w:tcW w:w="1455" w:type="dxa"/>
                                  <w:tcBorders>
                                    <w:top w:val="single" w:sz="2" w:space="0" w:color="EC1B22"/>
                                    <w:left w:val="single" w:sz="2" w:space="0" w:color="EC1B22"/>
                                    <w:bottom w:val="single" w:sz="2" w:space="0" w:color="EC1B22"/>
                                    <w:right w:val="single" w:sz="2" w:space="0" w:color="EC1B22"/>
                                  </w:tcBorders>
                                  <w:vAlign w:val="center"/>
                                </w:tcPr>
                                <w:p w14:paraId="18A92C8C" w14:textId="77777777" w:rsidR="00541A14" w:rsidRDefault="00A450E1">
                                  <w:pPr>
                                    <w:pStyle w:val="Default"/>
                                    <w:rPr>
                                      <w:rFonts w:ascii="DIN" w:hAnsi="DIN" w:cs="DIN"/>
                                      <w:sz w:val="17"/>
                                      <w:szCs w:val="17"/>
                                    </w:rPr>
                                  </w:pPr>
                                  <w:r>
                                    <w:rPr>
                                      <w:rFonts w:ascii="DIN" w:hAnsi="DIN" w:cs="DIN"/>
                                      <w:sz w:val="17"/>
                                      <w:szCs w:val="17"/>
                                    </w:rPr>
                                    <w:t xml:space="preserve">Colour Rhythm </w:t>
                                  </w:r>
                                </w:p>
                              </w:tc>
                              <w:tc>
                                <w:tcPr>
                                  <w:tcW w:w="2805" w:type="dxa"/>
                                  <w:tcBorders>
                                    <w:top w:val="single" w:sz="2" w:space="0" w:color="EC1B22"/>
                                    <w:left w:val="single" w:sz="2" w:space="0" w:color="EC1B22"/>
                                    <w:bottom w:val="single" w:sz="2" w:space="0" w:color="EC1B22"/>
                                    <w:right w:val="single" w:sz="2" w:space="0" w:color="EC1B22"/>
                                  </w:tcBorders>
                                </w:tcPr>
                                <w:p w14:paraId="2D1EC6E2" w14:textId="77777777" w:rsidR="00541A14" w:rsidRDefault="00A450E1">
                                  <w:pPr>
                                    <w:pStyle w:val="Default"/>
                                    <w:rPr>
                                      <w:rFonts w:ascii="DIN" w:hAnsi="DIN" w:cs="DIN"/>
                                      <w:sz w:val="17"/>
                                      <w:szCs w:val="17"/>
                                    </w:rPr>
                                  </w:pPr>
                                  <w:r>
                                    <w:rPr>
                                      <w:rFonts w:ascii="DIN" w:hAnsi="DIN" w:cs="DIN"/>
                                      <w:sz w:val="17"/>
                                      <w:szCs w:val="17"/>
                                    </w:rPr>
                                    <w:t xml:space="preserve">Any colour. Competent authority determines the optimum colour to contrast with the dominant back ground colour at the location. Any, however fixed characteristics should be used sparingly and the use of synchronisation can assist in the overcoming background light. </w:t>
                                  </w:r>
                                </w:p>
                              </w:tc>
                            </w:tr>
                          </w:tbl>
                          <w:p w14:paraId="55627EC0"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73" type="#_x0000_t202" style="position:absolute;margin-left:75.65pt;margin-top:504.05pt;width:253pt;height:260.8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33"/>
                        <w:gridCol w:w="2814"/>
                        <w:gridCol w:w="5"/>
                      </w:tblGrid>
                      <w:tr w:rsidR="00000000" w14:paraId="51308C32" w14:textId="77777777">
                        <w:tblPrEx>
                          <w:tblCellMar>
                            <w:top w:w="0" w:type="dxa"/>
                            <w:bottom w:w="0" w:type="dxa"/>
                          </w:tblCellMar>
                        </w:tblPrEx>
                        <w:trPr>
                          <w:gridAfter w:val="1"/>
                          <w:wAfter w:w="2412" w:type="dxa"/>
                          <w:trHeight w:val="1090"/>
                        </w:trPr>
                        <w:tc>
                          <w:tcPr>
                            <w:tcW w:w="4260" w:type="dxa"/>
                            <w:gridSpan w:val="3"/>
                            <w:tcBorders>
                              <w:top w:val="single" w:sz="2" w:space="0" w:color="EC1B22"/>
                              <w:left w:val="single" w:sz="2" w:space="0" w:color="EC1B22"/>
                              <w:bottom w:val="single" w:sz="2" w:space="0" w:color="EC1B22"/>
                              <w:right w:val="single" w:sz="2" w:space="0" w:color="EC1B22"/>
                            </w:tcBorders>
                          </w:tcPr>
                          <w:p w14:paraId="71C2973A" w14:textId="77777777" w:rsidR="00000000" w:rsidRDefault="00A450E1">
                            <w:pPr>
                              <w:pStyle w:val="Default"/>
                              <w:rPr>
                                <w:rFonts w:ascii="DIN" w:hAnsi="DIN" w:cs="DIN"/>
                                <w:sz w:val="17"/>
                                <w:szCs w:val="17"/>
                              </w:rPr>
                            </w:pPr>
                            <w:r>
                              <w:rPr>
                                <w:rFonts w:ascii="DIN" w:hAnsi="DIN" w:cs="DIN"/>
                                <w:b/>
                                <w:bCs/>
                                <w:color w:val="FFFFFF"/>
                                <w:sz w:val="18"/>
                                <w:szCs w:val="18"/>
                              </w:rPr>
                              <w:t xml:space="preserve">Description </w:t>
                            </w:r>
                            <w:r>
                              <w:rPr>
                                <w:rFonts w:ascii="DIN" w:hAnsi="DIN" w:cs="DIN"/>
                                <w:b/>
                                <w:bCs/>
                                <w:sz w:val="17"/>
                                <w:szCs w:val="17"/>
                              </w:rPr>
                              <w:t xml:space="preserve">Colour </w:t>
                            </w:r>
                            <w:r>
                              <w:rPr>
                                <w:rFonts w:ascii="DIN" w:hAnsi="DIN" w:cs="DIN"/>
                                <w:sz w:val="17"/>
                                <w:szCs w:val="17"/>
                              </w:rPr>
                              <w:t>No colour significance. Competent authority determines the op</w:t>
                            </w:r>
                            <w:r>
                              <w:rPr>
                                <w:rFonts w:ascii="DIN" w:hAnsi="DIN" w:cs="DIN"/>
                                <w:sz w:val="17"/>
                                <w:szCs w:val="17"/>
                              </w:rPr>
                              <w:t>timum colours to contrast with the domi</w:t>
                            </w:r>
                            <w:r>
                              <w:rPr>
                                <w:rFonts w:ascii="DIN" w:hAnsi="DIN" w:cs="DIN"/>
                                <w:sz w:val="17"/>
                                <w:szCs w:val="17"/>
                              </w:rPr>
                              <w:softHyphen/>
                              <w:t xml:space="preserve">nant background colour at the location </w:t>
                            </w:r>
                            <w:r>
                              <w:rPr>
                                <w:rFonts w:ascii="DIN" w:hAnsi="DIN" w:cs="DIN"/>
                                <w:b/>
                                <w:bCs/>
                                <w:sz w:val="17"/>
                                <w:szCs w:val="17"/>
                              </w:rPr>
                              <w:t xml:space="preserve">Shape </w:t>
                            </w:r>
                            <w:r>
                              <w:rPr>
                                <w:rFonts w:ascii="DIN" w:hAnsi="DIN" w:cs="DIN"/>
                                <w:sz w:val="17"/>
                                <w:szCs w:val="17"/>
                              </w:rPr>
                              <w:t xml:space="preserve">No shape significance. Rectangular or triangular figures are recommended. </w:t>
                            </w:r>
                          </w:p>
                        </w:tc>
                      </w:tr>
                      <w:tr w:rsidR="00000000" w14:paraId="047BB3B0" w14:textId="77777777">
                        <w:tblPrEx>
                          <w:tblCellMar>
                            <w:top w:w="0" w:type="dxa"/>
                            <w:bottom w:w="0" w:type="dxa"/>
                          </w:tblCellMar>
                        </w:tblPrEx>
                        <w:trPr>
                          <w:gridAfter w:val="1"/>
                          <w:wAfter w:w="2412" w:type="dxa"/>
                          <w:trHeight w:val="217"/>
                        </w:trPr>
                        <w:tc>
                          <w:tcPr>
                            <w:tcW w:w="4260" w:type="dxa"/>
                            <w:gridSpan w:val="3"/>
                            <w:tcBorders>
                              <w:top w:val="single" w:sz="2" w:space="0" w:color="EC1B22"/>
                              <w:left w:val="single" w:sz="2" w:space="0" w:color="EC1B22"/>
                              <w:bottom w:val="single" w:sz="2" w:space="0" w:color="EC1B22"/>
                              <w:right w:val="single" w:sz="2" w:space="0" w:color="EC1B22"/>
                            </w:tcBorders>
                            <w:shd w:val="clear" w:color="auto" w:fill="FCE2D7"/>
                            <w:vAlign w:val="center"/>
                          </w:tcPr>
                          <w:p w14:paraId="4E7F4B61" w14:textId="77777777" w:rsidR="00000000"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w:t>
                            </w:r>
                          </w:p>
                        </w:tc>
                      </w:tr>
                      <w:tr w:rsidR="00000000" w14:paraId="10C0A5A5" w14:textId="77777777">
                        <w:tblPrEx>
                          <w:tblCellMar>
                            <w:top w:w="0" w:type="dxa"/>
                            <w:bottom w:w="0" w:type="dxa"/>
                          </w:tblCellMar>
                        </w:tblPrEx>
                        <w:trPr>
                          <w:gridAfter w:val="1"/>
                          <w:wAfter w:w="2413" w:type="dxa"/>
                          <w:trHeight w:val="936"/>
                        </w:trPr>
                        <w:tc>
                          <w:tcPr>
                            <w:tcW w:w="1455" w:type="dxa"/>
                            <w:gridSpan w:val="2"/>
                            <w:tcBorders>
                              <w:top w:val="single" w:sz="2" w:space="0" w:color="EC1B22"/>
                              <w:left w:val="single" w:sz="2" w:space="0" w:color="EC1B22"/>
                              <w:bottom w:val="single" w:sz="2" w:space="0" w:color="EC1B22"/>
                              <w:right w:val="single" w:sz="2" w:space="0" w:color="EC1B22"/>
                            </w:tcBorders>
                            <w:vAlign w:val="center"/>
                          </w:tcPr>
                          <w:p w14:paraId="18A92C8C" w14:textId="77777777" w:rsidR="00000000" w:rsidRDefault="00A450E1">
                            <w:pPr>
                              <w:pStyle w:val="Default"/>
                              <w:rPr>
                                <w:rFonts w:ascii="DIN" w:hAnsi="DIN" w:cs="DIN"/>
                                <w:sz w:val="17"/>
                                <w:szCs w:val="17"/>
                              </w:rPr>
                            </w:pPr>
                            <w:r>
                              <w:rPr>
                                <w:rFonts w:ascii="DIN" w:hAnsi="DIN" w:cs="DIN"/>
                                <w:sz w:val="17"/>
                                <w:szCs w:val="17"/>
                              </w:rPr>
                              <w:t xml:space="preserve">Colour Rhythm </w:t>
                            </w:r>
                          </w:p>
                        </w:tc>
                        <w:tc>
                          <w:tcPr>
                            <w:tcW w:w="2805" w:type="dxa"/>
                            <w:tcBorders>
                              <w:top w:val="single" w:sz="2" w:space="0" w:color="EC1B22"/>
                              <w:left w:val="single" w:sz="2" w:space="0" w:color="EC1B22"/>
                              <w:bottom w:val="single" w:sz="2" w:space="0" w:color="EC1B22"/>
                              <w:right w:val="single" w:sz="2" w:space="0" w:color="EC1B22"/>
                            </w:tcBorders>
                          </w:tcPr>
                          <w:p w14:paraId="2D1EC6E2" w14:textId="77777777" w:rsidR="00000000" w:rsidRDefault="00A450E1">
                            <w:pPr>
                              <w:pStyle w:val="Default"/>
                              <w:rPr>
                                <w:rFonts w:ascii="DIN" w:hAnsi="DIN" w:cs="DIN"/>
                                <w:sz w:val="17"/>
                                <w:szCs w:val="17"/>
                              </w:rPr>
                            </w:pPr>
                            <w:r>
                              <w:rPr>
                                <w:rFonts w:ascii="DIN" w:hAnsi="DIN" w:cs="DIN"/>
                                <w:sz w:val="17"/>
                                <w:szCs w:val="17"/>
                              </w:rPr>
                              <w:t>Any colour. Competent authority determines the optimum colour to contrast with the dominant back ground colour at the location. Any, however fixed characteristics should be used sparingly and the use of synchronisation can assist in the overcoming backgrou</w:t>
                            </w:r>
                            <w:r>
                              <w:rPr>
                                <w:rFonts w:ascii="DIN" w:hAnsi="DIN" w:cs="DIN"/>
                                <w:sz w:val="17"/>
                                <w:szCs w:val="17"/>
                              </w:rPr>
                              <w:t xml:space="preserve">nd light. </w:t>
                            </w:r>
                          </w:p>
                        </w:tc>
                      </w:tr>
                    </w:tbl>
                  </w:txbxContent>
                </v:textbox>
                <w10:wrap type="through" anchorx="page" anchory="page"/>
              </v:shape>
            </w:pict>
          </mc:Fallback>
        </mc:AlternateContent>
      </w:r>
    </w:p>
    <w:p w14:paraId="04C6D43E" w14:textId="77777777" w:rsidR="00541A14" w:rsidRDefault="00A450E1">
      <w:pPr>
        <w:pStyle w:val="CM207"/>
        <w:spacing w:after="4417"/>
        <w:rPr>
          <w:rFonts w:ascii="DIN" w:hAnsi="DIN" w:cs="DIN"/>
          <w:color w:val="EC1B22"/>
          <w:sz w:val="18"/>
          <w:szCs w:val="18"/>
        </w:rPr>
      </w:pPr>
      <w:r>
        <w:rPr>
          <w:rFonts w:ascii="DIN" w:hAnsi="DIN" w:cs="DIN"/>
          <w:b/>
          <w:bCs/>
          <w:color w:val="EC1B22"/>
          <w:sz w:val="18"/>
          <w:szCs w:val="18"/>
        </w:rPr>
        <w:t xml:space="preserve">8.2 Sector Lights </w:t>
      </w:r>
    </w:p>
    <w:p w14:paraId="5AC8F602" w14:textId="77777777" w:rsidR="00541A14" w:rsidRDefault="00A450E1">
      <w:pPr>
        <w:pStyle w:val="CM165"/>
        <w:spacing w:after="85"/>
        <w:ind w:left="302"/>
        <w:rPr>
          <w:rFonts w:ascii="DIN" w:hAnsi="DIN" w:cs="DIN"/>
          <w:color w:val="000000"/>
          <w:sz w:val="18"/>
          <w:szCs w:val="18"/>
        </w:rPr>
      </w:pPr>
      <w:r>
        <w:rPr>
          <w:rFonts w:ascii="DIN" w:hAnsi="DIN" w:cs="DIN"/>
          <w:b/>
          <w:bCs/>
          <w:color w:val="000000"/>
          <w:sz w:val="18"/>
          <w:szCs w:val="18"/>
        </w:rPr>
        <w:t xml:space="preserve">8.2.1 Definition of Sector Lights </w:t>
      </w:r>
    </w:p>
    <w:p w14:paraId="6A92A05D" w14:textId="77777777" w:rsidR="00541A14" w:rsidRDefault="00A450E1">
      <w:pPr>
        <w:pStyle w:val="CM165"/>
        <w:spacing w:after="85" w:line="246" w:lineRule="atLeast"/>
        <w:ind w:left="800" w:right="180"/>
        <w:rPr>
          <w:rFonts w:ascii="DIN" w:hAnsi="DIN" w:cs="DIN"/>
          <w:color w:val="000000"/>
          <w:sz w:val="18"/>
          <w:szCs w:val="18"/>
        </w:rPr>
      </w:pPr>
      <w:r>
        <w:rPr>
          <w:rFonts w:ascii="DIN" w:hAnsi="DIN" w:cs="DIN"/>
          <w:color w:val="000000"/>
          <w:sz w:val="18"/>
          <w:szCs w:val="18"/>
        </w:rPr>
        <w:t xml:space="preserve">A sector light is a fixed aid to navigation that displays a light of different colours and/or rhythms over designated arcs. The colour of the light provides directional information to the mariner. </w:t>
      </w:r>
    </w:p>
    <w:p w14:paraId="161EF05F" w14:textId="77777777" w:rsidR="00541A14" w:rsidRDefault="00A450E1">
      <w:pPr>
        <w:pStyle w:val="CM165"/>
        <w:spacing w:after="85" w:line="260" w:lineRule="atLeast"/>
        <w:ind w:left="295"/>
        <w:rPr>
          <w:rFonts w:ascii="DIN" w:hAnsi="DIN" w:cs="DIN"/>
          <w:color w:val="000000"/>
          <w:sz w:val="18"/>
          <w:szCs w:val="18"/>
        </w:rPr>
      </w:pPr>
      <w:r>
        <w:rPr>
          <w:rFonts w:ascii="DIN" w:hAnsi="DIN" w:cs="DIN"/>
          <w:b/>
          <w:bCs/>
          <w:color w:val="000000"/>
          <w:sz w:val="18"/>
          <w:szCs w:val="18"/>
        </w:rPr>
        <w:t xml:space="preserve">8.2.2 Description of Sector Lights </w:t>
      </w:r>
    </w:p>
    <w:p w14:paraId="3BF82528" w14:textId="77777777" w:rsidR="00541A14" w:rsidRDefault="00A450E1">
      <w:pPr>
        <w:pStyle w:val="CM150"/>
        <w:ind w:left="802"/>
        <w:rPr>
          <w:rFonts w:ascii="DIN" w:hAnsi="DIN" w:cs="DIN"/>
          <w:color w:val="000000"/>
          <w:sz w:val="18"/>
          <w:szCs w:val="18"/>
        </w:rPr>
      </w:pPr>
      <w:r>
        <w:rPr>
          <w:rFonts w:ascii="DIN" w:hAnsi="DIN" w:cs="DIN"/>
          <w:color w:val="000000"/>
          <w:sz w:val="18"/>
          <w:szCs w:val="18"/>
        </w:rPr>
        <w:t xml:space="preserve">A sector light may be used: </w:t>
      </w:r>
    </w:p>
    <w:p w14:paraId="39B655A9" w14:textId="77777777" w:rsidR="00541A14" w:rsidRDefault="00DD420F">
      <w:pPr>
        <w:pStyle w:val="CM150"/>
        <w:ind w:left="802"/>
        <w:rPr>
          <w:rFonts w:ascii="DIN" w:hAnsi="DIN" w:cs="DIN"/>
          <w:color w:val="000000"/>
          <w:sz w:val="18"/>
          <w:szCs w:val="18"/>
        </w:rPr>
      </w:pPr>
      <w:r>
        <w:rPr>
          <w:rFonts w:ascii="DIN" w:hAnsi="DIN" w:cs="DIN"/>
          <w:noProof/>
          <w:color w:val="000000"/>
          <w:sz w:val="18"/>
          <w:szCs w:val="18"/>
        </w:rPr>
        <w:drawing>
          <wp:inline distT="0" distB="0" distL="0" distR="0" wp14:anchorId="3FE857A3" wp14:editId="4F76DA1C">
            <wp:extent cx="62230" cy="6223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62230" cy="62230"/>
                    </a:xfrm>
                    <a:prstGeom prst="rect">
                      <a:avLst/>
                    </a:prstGeom>
                    <a:noFill/>
                    <a:ln>
                      <a:noFill/>
                    </a:ln>
                  </pic:spPr>
                </pic:pic>
              </a:graphicData>
            </a:graphic>
          </wp:inline>
        </w:drawing>
      </w:r>
      <w:r w:rsidR="00A450E1">
        <w:rPr>
          <w:rFonts w:ascii="DIN" w:hAnsi="DIN" w:cs="DIN"/>
          <w:color w:val="000000"/>
          <w:sz w:val="18"/>
          <w:szCs w:val="18"/>
        </w:rPr>
        <w:t xml:space="preserve">To provide directional information in a fairway; </w:t>
      </w:r>
    </w:p>
    <w:p w14:paraId="2300FDFA" w14:textId="77777777" w:rsidR="00541A14" w:rsidRDefault="00A450E1">
      <w:pPr>
        <w:pStyle w:val="Default"/>
        <w:numPr>
          <w:ilvl w:val="0"/>
          <w:numId w:val="201"/>
        </w:numPr>
        <w:rPr>
          <w:rFonts w:ascii="DIN" w:hAnsi="DIN" w:cs="DIN"/>
          <w:sz w:val="18"/>
          <w:szCs w:val="18"/>
        </w:rPr>
      </w:pPr>
      <w:r>
        <w:rPr>
          <w:rFonts w:ascii="DIN" w:hAnsi="DIN" w:cs="DIN"/>
          <w:sz w:val="18"/>
          <w:szCs w:val="18"/>
        </w:rPr>
        <w:t xml:space="preserve">To indicate a turning point, a junction with other channels, a hazard or other items of navigational importance; </w:t>
      </w:r>
    </w:p>
    <w:p w14:paraId="781C2188" w14:textId="77777777" w:rsidR="00541A14" w:rsidRDefault="00A450E1">
      <w:pPr>
        <w:pStyle w:val="Default"/>
        <w:numPr>
          <w:ilvl w:val="0"/>
          <w:numId w:val="201"/>
        </w:numPr>
        <w:rPr>
          <w:rFonts w:ascii="DIN" w:hAnsi="DIN" w:cs="DIN"/>
          <w:sz w:val="18"/>
          <w:szCs w:val="18"/>
        </w:rPr>
      </w:pPr>
      <w:r>
        <w:rPr>
          <w:rFonts w:ascii="DIN" w:hAnsi="DIN" w:cs="DIN"/>
          <w:sz w:val="18"/>
          <w:szCs w:val="18"/>
        </w:rPr>
        <w:t xml:space="preserve">To provide information on hazard areas that should be avoided; </w:t>
      </w:r>
    </w:p>
    <w:p w14:paraId="6A3F43B5" w14:textId="77777777" w:rsidR="00541A14" w:rsidRDefault="00A450E1">
      <w:pPr>
        <w:pStyle w:val="Default"/>
        <w:numPr>
          <w:ilvl w:val="0"/>
          <w:numId w:val="201"/>
        </w:numPr>
        <w:rPr>
          <w:rFonts w:ascii="DIN" w:hAnsi="DIN" w:cs="DIN"/>
          <w:sz w:val="18"/>
          <w:szCs w:val="18"/>
        </w:rPr>
      </w:pPr>
      <w:r>
        <w:rPr>
          <w:rFonts w:ascii="DIN" w:hAnsi="DIN" w:cs="DIN"/>
          <w:sz w:val="18"/>
          <w:szCs w:val="18"/>
        </w:rPr>
        <w:t xml:space="preserve">In some cases a single directional light may be used. </w:t>
      </w:r>
    </w:p>
    <w:p w14:paraId="181566C6" w14:textId="77777777" w:rsidR="00541A14" w:rsidRDefault="00541A14">
      <w:pPr>
        <w:pStyle w:val="Default"/>
        <w:rPr>
          <w:rFonts w:ascii="DIN" w:hAnsi="DIN" w:cs="DIN"/>
          <w:sz w:val="18"/>
          <w:szCs w:val="18"/>
        </w:rPr>
      </w:pPr>
    </w:p>
    <w:p w14:paraId="0814829D"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707392" behindDoc="0" locked="0" layoutInCell="0" allowOverlap="1" wp14:anchorId="1D9A5278" wp14:editId="445A8775">
                <wp:simplePos x="0" y="0"/>
                <wp:positionH relativeFrom="page">
                  <wp:posOffset>3996055</wp:posOffset>
                </wp:positionH>
                <wp:positionV relativeFrom="page">
                  <wp:posOffset>7470140</wp:posOffset>
                </wp:positionV>
                <wp:extent cx="3214370" cy="1983105"/>
                <wp:effectExtent l="0" t="0" r="0" b="0"/>
                <wp:wrapThrough wrapText="bothSides">
                  <wp:wrapPolygon edited="0">
                    <wp:start x="0" y="0"/>
                    <wp:lineTo x="21600" y="0"/>
                    <wp:lineTo x="21600" y="21600"/>
                    <wp:lineTo x="0" y="21600"/>
                    <wp:lineTo x="0" y="0"/>
                  </wp:wrapPolygon>
                </wp:wrapThrough>
                <wp:docPr id="508"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4370" cy="1983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417"/>
                              <w:gridCol w:w="2845"/>
                            </w:tblGrid>
                            <w:tr w:rsidR="00541A14" w14:paraId="047C61FB" w14:textId="77777777">
                              <w:trPr>
                                <w:trHeight w:val="546"/>
                              </w:trPr>
                              <w:tc>
                                <w:tcPr>
                                  <w:tcW w:w="1417" w:type="dxa"/>
                                  <w:tcBorders>
                                    <w:top w:val="single" w:sz="2" w:space="0" w:color="EC1B22"/>
                                    <w:left w:val="single" w:sz="2" w:space="0" w:color="EC1B22"/>
                                    <w:bottom w:val="single" w:sz="2" w:space="0" w:color="EC1B22"/>
                                    <w:right w:val="single" w:sz="2" w:space="0" w:color="EC1B22"/>
                                  </w:tcBorders>
                                  <w:vAlign w:val="bottom"/>
                                </w:tcPr>
                                <w:p w14:paraId="024F1C8A" w14:textId="77777777" w:rsidR="00541A14" w:rsidRDefault="00A450E1">
                                  <w:pPr>
                                    <w:pStyle w:val="Default"/>
                                    <w:rPr>
                                      <w:rFonts w:ascii="DIN" w:hAnsi="DIN" w:cs="DIN"/>
                                      <w:sz w:val="17"/>
                                      <w:szCs w:val="17"/>
                                    </w:rPr>
                                  </w:pPr>
                                  <w:r>
                                    <w:rPr>
                                      <w:rFonts w:ascii="DIN" w:hAnsi="DIN" w:cs="DIN"/>
                                      <w:b/>
                                      <w:bCs/>
                                      <w:sz w:val="17"/>
                                      <w:szCs w:val="17"/>
                                    </w:rPr>
                                    <w:t xml:space="preserve">Colour Shape </w:t>
                                  </w:r>
                                </w:p>
                              </w:tc>
                              <w:tc>
                                <w:tcPr>
                                  <w:tcW w:w="2845" w:type="dxa"/>
                                  <w:tcBorders>
                                    <w:top w:val="single" w:sz="2" w:space="0" w:color="EC1B22"/>
                                    <w:left w:val="single" w:sz="2" w:space="0" w:color="EC1B22"/>
                                    <w:bottom w:val="single" w:sz="2" w:space="0" w:color="EC1B22"/>
                                    <w:right w:val="single" w:sz="2" w:space="0" w:color="EC1B22"/>
                                  </w:tcBorders>
                                  <w:vAlign w:val="center"/>
                                </w:tcPr>
                                <w:p w14:paraId="3006807F" w14:textId="77777777" w:rsidR="00541A14" w:rsidRDefault="00A450E1">
                                  <w:pPr>
                                    <w:pStyle w:val="Default"/>
                                    <w:rPr>
                                      <w:rFonts w:ascii="DIN" w:hAnsi="DIN" w:cs="DIN"/>
                                      <w:sz w:val="17"/>
                                      <w:szCs w:val="17"/>
                                    </w:rPr>
                                  </w:pPr>
                                  <w:r>
                                    <w:rPr>
                                      <w:rFonts w:ascii="DIN" w:hAnsi="DIN" w:cs="DIN"/>
                                      <w:b/>
                                      <w:bCs/>
                                      <w:color w:val="FFFFFF"/>
                                      <w:sz w:val="18"/>
                                      <w:szCs w:val="18"/>
                                    </w:rPr>
                                    <w:t xml:space="preserve">Description </w:t>
                                  </w:r>
                                  <w:r>
                                    <w:rPr>
                                      <w:rFonts w:ascii="DIN" w:hAnsi="DIN" w:cs="DIN"/>
                                      <w:sz w:val="17"/>
                                      <w:szCs w:val="17"/>
                                    </w:rPr>
                                    <w:t xml:space="preserve">Not applicable None, light only </w:t>
                                  </w:r>
                                </w:p>
                              </w:tc>
                            </w:tr>
                            <w:tr w:rsidR="00541A14" w14:paraId="50A571EA" w14:textId="77777777">
                              <w:trPr>
                                <w:trHeight w:val="185"/>
                              </w:trPr>
                              <w:tc>
                                <w:tcPr>
                                  <w:tcW w:w="1417" w:type="dxa"/>
                                  <w:tcBorders>
                                    <w:top w:val="single" w:sz="2" w:space="0" w:color="EC1B22"/>
                                    <w:left w:val="single" w:sz="2" w:space="0" w:color="EC1B22"/>
                                    <w:bottom w:val="single" w:sz="2" w:space="0" w:color="EC1B22"/>
                                  </w:tcBorders>
                                  <w:shd w:val="clear" w:color="auto" w:fill="FCE2D7"/>
                                </w:tcPr>
                                <w:p w14:paraId="32C79C7F" w14:textId="77777777" w:rsidR="00541A14" w:rsidRDefault="00A450E1">
                                  <w:pPr>
                                    <w:pStyle w:val="Default"/>
                                    <w:rPr>
                                      <w:rFonts w:ascii="DIN" w:hAnsi="DIN" w:cs="DIN"/>
                                      <w:sz w:val="17"/>
                                      <w:szCs w:val="17"/>
                                    </w:rPr>
                                  </w:pPr>
                                  <w:r>
                                    <w:rPr>
                                      <w:rFonts w:ascii="DIN" w:hAnsi="DIN" w:cs="DIN"/>
                                      <w:b/>
                                      <w:bCs/>
                                      <w:sz w:val="17"/>
                                      <w:szCs w:val="17"/>
                                    </w:rPr>
                                    <w:t xml:space="preserve">Light </w:t>
                                  </w:r>
                                </w:p>
                              </w:tc>
                              <w:tc>
                                <w:tcPr>
                                  <w:tcW w:w="2845" w:type="dxa"/>
                                  <w:tcBorders>
                                    <w:top w:val="single" w:sz="2" w:space="0" w:color="EC1B22"/>
                                    <w:bottom w:val="single" w:sz="2" w:space="0" w:color="EC1B22"/>
                                    <w:right w:val="single" w:sz="2" w:space="0" w:color="EC1B22"/>
                                  </w:tcBorders>
                                  <w:shd w:val="clear" w:color="auto" w:fill="FCE2D7"/>
                                </w:tcPr>
                                <w:p w14:paraId="2ECB8476" w14:textId="77777777" w:rsidR="00541A14" w:rsidRDefault="00541A14">
                                  <w:pPr>
                                    <w:pStyle w:val="Default"/>
                                    <w:rPr>
                                      <w:rFonts w:cs="Times New Roman"/>
                                      <w:color w:val="auto"/>
                                    </w:rPr>
                                  </w:pPr>
                                </w:p>
                              </w:tc>
                            </w:tr>
                            <w:tr w:rsidR="00541A14" w14:paraId="1D17F604" w14:textId="77777777">
                              <w:trPr>
                                <w:trHeight w:val="670"/>
                              </w:trPr>
                              <w:tc>
                                <w:tcPr>
                                  <w:tcW w:w="1417" w:type="dxa"/>
                                  <w:tcBorders>
                                    <w:top w:val="single" w:sz="2" w:space="0" w:color="EC1B22"/>
                                    <w:left w:val="single" w:sz="2" w:space="0" w:color="EC1B22"/>
                                    <w:bottom w:val="single" w:sz="2" w:space="0" w:color="EC1B22"/>
                                    <w:right w:val="single" w:sz="2" w:space="0" w:color="EC1B22"/>
                                  </w:tcBorders>
                                  <w:vAlign w:val="center"/>
                                </w:tcPr>
                                <w:p w14:paraId="7610100C" w14:textId="77777777" w:rsidR="00541A14" w:rsidRDefault="00A450E1">
                                  <w:pPr>
                                    <w:pStyle w:val="Default"/>
                                    <w:rPr>
                                      <w:rFonts w:ascii="DIN" w:hAnsi="DIN" w:cs="DIN"/>
                                      <w:sz w:val="17"/>
                                      <w:szCs w:val="17"/>
                                    </w:rPr>
                                  </w:pPr>
                                  <w:r>
                                    <w:rPr>
                                      <w:rFonts w:ascii="DIN" w:hAnsi="DIN" w:cs="DIN"/>
                                      <w:sz w:val="17"/>
                                      <w:szCs w:val="17"/>
                                    </w:rPr>
                                    <w:t xml:space="preserve">Colour Rhythm </w:t>
                                  </w:r>
                                </w:p>
                              </w:tc>
                              <w:tc>
                                <w:tcPr>
                                  <w:tcW w:w="2845" w:type="dxa"/>
                                  <w:tcBorders>
                                    <w:top w:val="single" w:sz="2" w:space="0" w:color="EC1B22"/>
                                    <w:left w:val="single" w:sz="2" w:space="0" w:color="EC1B22"/>
                                    <w:bottom w:val="single" w:sz="2" w:space="0" w:color="EC1B22"/>
                                    <w:right w:val="single" w:sz="2" w:space="0" w:color="EC1B22"/>
                                  </w:tcBorders>
                                </w:tcPr>
                                <w:p w14:paraId="614487BB" w14:textId="77777777" w:rsidR="00541A14" w:rsidRDefault="00A450E1">
                                  <w:pPr>
                                    <w:pStyle w:val="Default"/>
                                    <w:rPr>
                                      <w:rFonts w:ascii="DIN" w:hAnsi="DIN" w:cs="DIN"/>
                                      <w:sz w:val="17"/>
                                      <w:szCs w:val="17"/>
                                    </w:rPr>
                                  </w:pPr>
                                  <w:r>
                                    <w:rPr>
                                      <w:rFonts w:ascii="DIN" w:hAnsi="DIN" w:cs="DIN"/>
                                      <w:sz w:val="17"/>
                                      <w:szCs w:val="17"/>
                                    </w:rPr>
                                    <w:t xml:space="preserve">If using to mark channel limits follow convention for IALA region indicated in Section 2. Lights may have oscillating boundaries As appropriate </w:t>
                                  </w:r>
                                </w:p>
                              </w:tc>
                            </w:tr>
                          </w:tbl>
                          <w:p w14:paraId="6C594AF4"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74" type="#_x0000_t202" style="position:absolute;margin-left:314.65pt;margin-top:588.2pt;width:253.1pt;height:156.15pt;z-index:251707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2847"/>
                        <w:gridCol w:w="5"/>
                      </w:tblGrid>
                      <w:tr w:rsidR="00000000" w14:paraId="047C61FB" w14:textId="77777777">
                        <w:tblPrEx>
                          <w:tblCellMar>
                            <w:top w:w="0" w:type="dxa"/>
                            <w:bottom w:w="0" w:type="dxa"/>
                          </w:tblCellMar>
                        </w:tblPrEx>
                        <w:trPr>
                          <w:gridAfter w:val="1"/>
                          <w:wAfter w:w="2412" w:type="dxa"/>
                          <w:trHeight w:val="546"/>
                        </w:trPr>
                        <w:tc>
                          <w:tcPr>
                            <w:tcW w:w="1417" w:type="dxa"/>
                            <w:tcBorders>
                              <w:top w:val="single" w:sz="2" w:space="0" w:color="EC1B22"/>
                              <w:left w:val="single" w:sz="2" w:space="0" w:color="EC1B22"/>
                              <w:bottom w:val="single" w:sz="2" w:space="0" w:color="EC1B22"/>
                              <w:right w:val="single" w:sz="2" w:space="0" w:color="EC1B22"/>
                            </w:tcBorders>
                            <w:vAlign w:val="bottom"/>
                          </w:tcPr>
                          <w:p w14:paraId="024F1C8A" w14:textId="77777777" w:rsidR="00000000" w:rsidRDefault="00A450E1">
                            <w:pPr>
                              <w:pStyle w:val="Default"/>
                              <w:rPr>
                                <w:rFonts w:ascii="DIN" w:hAnsi="DIN" w:cs="DIN"/>
                                <w:sz w:val="17"/>
                                <w:szCs w:val="17"/>
                              </w:rPr>
                            </w:pPr>
                            <w:r>
                              <w:rPr>
                                <w:rFonts w:ascii="DIN" w:hAnsi="DIN" w:cs="DIN"/>
                                <w:b/>
                                <w:bCs/>
                                <w:sz w:val="17"/>
                                <w:szCs w:val="17"/>
                              </w:rPr>
                              <w:t xml:space="preserve">Colour Shape </w:t>
                            </w:r>
                          </w:p>
                        </w:tc>
                        <w:tc>
                          <w:tcPr>
                            <w:tcW w:w="2845" w:type="dxa"/>
                            <w:tcBorders>
                              <w:top w:val="single" w:sz="2" w:space="0" w:color="EC1B22"/>
                              <w:left w:val="single" w:sz="2" w:space="0" w:color="EC1B22"/>
                              <w:bottom w:val="single" w:sz="2" w:space="0" w:color="EC1B22"/>
                              <w:right w:val="single" w:sz="2" w:space="0" w:color="EC1B22"/>
                            </w:tcBorders>
                            <w:vAlign w:val="center"/>
                          </w:tcPr>
                          <w:p w14:paraId="3006807F" w14:textId="77777777" w:rsidR="00000000" w:rsidRDefault="00A450E1">
                            <w:pPr>
                              <w:pStyle w:val="Default"/>
                              <w:rPr>
                                <w:rFonts w:ascii="DIN" w:hAnsi="DIN" w:cs="DIN"/>
                                <w:sz w:val="17"/>
                                <w:szCs w:val="17"/>
                              </w:rPr>
                            </w:pPr>
                            <w:r>
                              <w:rPr>
                                <w:rFonts w:ascii="DIN" w:hAnsi="DIN" w:cs="DIN"/>
                                <w:b/>
                                <w:bCs/>
                                <w:color w:val="FFFFFF"/>
                                <w:sz w:val="18"/>
                                <w:szCs w:val="18"/>
                              </w:rPr>
                              <w:t xml:space="preserve">Description </w:t>
                            </w:r>
                            <w:r>
                              <w:rPr>
                                <w:rFonts w:ascii="DIN" w:hAnsi="DIN" w:cs="DIN"/>
                                <w:sz w:val="17"/>
                                <w:szCs w:val="17"/>
                              </w:rPr>
                              <w:t xml:space="preserve">Not applicable None, light only </w:t>
                            </w:r>
                          </w:p>
                        </w:tc>
                      </w:tr>
                      <w:tr w:rsidR="00000000" w14:paraId="50A571EA" w14:textId="77777777">
                        <w:tblPrEx>
                          <w:tblCellMar>
                            <w:top w:w="0" w:type="dxa"/>
                            <w:bottom w:w="0" w:type="dxa"/>
                          </w:tblCellMar>
                        </w:tblPrEx>
                        <w:trPr>
                          <w:gridAfter w:val="1"/>
                          <w:wAfter w:w="2412" w:type="dxa"/>
                          <w:trHeight w:val="185"/>
                        </w:trPr>
                        <w:tc>
                          <w:tcPr>
                            <w:tcW w:w="1417" w:type="dxa"/>
                            <w:tcBorders>
                              <w:top w:val="single" w:sz="2" w:space="0" w:color="EC1B22"/>
                              <w:left w:val="single" w:sz="2" w:space="0" w:color="EC1B22"/>
                              <w:bottom w:val="single" w:sz="2" w:space="0" w:color="EC1B22"/>
                            </w:tcBorders>
                            <w:shd w:val="clear" w:color="auto" w:fill="FCE2D7"/>
                          </w:tcPr>
                          <w:p w14:paraId="32C79C7F" w14:textId="77777777" w:rsidR="00000000" w:rsidRDefault="00A450E1">
                            <w:pPr>
                              <w:pStyle w:val="Default"/>
                              <w:rPr>
                                <w:rFonts w:ascii="DIN" w:hAnsi="DIN" w:cs="DIN"/>
                                <w:sz w:val="17"/>
                                <w:szCs w:val="17"/>
                              </w:rPr>
                            </w:pPr>
                            <w:r>
                              <w:rPr>
                                <w:rFonts w:ascii="DIN" w:hAnsi="DIN" w:cs="DIN"/>
                                <w:b/>
                                <w:bCs/>
                                <w:sz w:val="17"/>
                                <w:szCs w:val="17"/>
                              </w:rPr>
                              <w:t xml:space="preserve">Light </w:t>
                            </w:r>
                          </w:p>
                        </w:tc>
                        <w:tc>
                          <w:tcPr>
                            <w:tcW w:w="2845" w:type="dxa"/>
                            <w:tcBorders>
                              <w:top w:val="single" w:sz="2" w:space="0" w:color="EC1B22"/>
                              <w:bottom w:val="single" w:sz="2" w:space="0" w:color="EC1B22"/>
                              <w:right w:val="single" w:sz="2" w:space="0" w:color="EC1B22"/>
                            </w:tcBorders>
                            <w:shd w:val="clear" w:color="auto" w:fill="FCE2D7"/>
                          </w:tcPr>
                          <w:p w14:paraId="2ECB8476" w14:textId="77777777" w:rsidR="00000000" w:rsidRDefault="00A450E1">
                            <w:pPr>
                              <w:pStyle w:val="Default"/>
                              <w:rPr>
                                <w:rFonts w:cs="Times New Roman"/>
                                <w:color w:val="auto"/>
                              </w:rPr>
                            </w:pPr>
                          </w:p>
                        </w:tc>
                      </w:tr>
                      <w:tr w:rsidR="00000000" w14:paraId="1D17F604" w14:textId="77777777">
                        <w:tblPrEx>
                          <w:tblCellMar>
                            <w:top w:w="0" w:type="dxa"/>
                            <w:bottom w:w="0" w:type="dxa"/>
                          </w:tblCellMar>
                        </w:tblPrEx>
                        <w:trPr>
                          <w:gridAfter w:val="1"/>
                          <w:wAfter w:w="2412" w:type="dxa"/>
                          <w:trHeight w:val="670"/>
                        </w:trPr>
                        <w:tc>
                          <w:tcPr>
                            <w:tcW w:w="1417" w:type="dxa"/>
                            <w:tcBorders>
                              <w:top w:val="single" w:sz="2" w:space="0" w:color="EC1B22"/>
                              <w:left w:val="single" w:sz="2" w:space="0" w:color="EC1B22"/>
                              <w:bottom w:val="single" w:sz="2" w:space="0" w:color="EC1B22"/>
                              <w:right w:val="single" w:sz="2" w:space="0" w:color="EC1B22"/>
                            </w:tcBorders>
                            <w:vAlign w:val="center"/>
                          </w:tcPr>
                          <w:p w14:paraId="7610100C" w14:textId="77777777" w:rsidR="00000000" w:rsidRDefault="00A450E1">
                            <w:pPr>
                              <w:pStyle w:val="Default"/>
                              <w:rPr>
                                <w:rFonts w:ascii="DIN" w:hAnsi="DIN" w:cs="DIN"/>
                                <w:sz w:val="17"/>
                                <w:szCs w:val="17"/>
                              </w:rPr>
                            </w:pPr>
                            <w:r>
                              <w:rPr>
                                <w:rFonts w:ascii="DIN" w:hAnsi="DIN" w:cs="DIN"/>
                                <w:sz w:val="17"/>
                                <w:szCs w:val="17"/>
                              </w:rPr>
                              <w:t xml:space="preserve">Colour Rhythm </w:t>
                            </w:r>
                          </w:p>
                        </w:tc>
                        <w:tc>
                          <w:tcPr>
                            <w:tcW w:w="2845" w:type="dxa"/>
                            <w:tcBorders>
                              <w:top w:val="single" w:sz="2" w:space="0" w:color="EC1B22"/>
                              <w:left w:val="single" w:sz="2" w:space="0" w:color="EC1B22"/>
                              <w:bottom w:val="single" w:sz="2" w:space="0" w:color="EC1B22"/>
                              <w:right w:val="single" w:sz="2" w:space="0" w:color="EC1B22"/>
                            </w:tcBorders>
                          </w:tcPr>
                          <w:p w14:paraId="614487BB" w14:textId="77777777" w:rsidR="00000000" w:rsidRDefault="00A450E1">
                            <w:pPr>
                              <w:pStyle w:val="Default"/>
                              <w:rPr>
                                <w:rFonts w:ascii="DIN" w:hAnsi="DIN" w:cs="DIN"/>
                                <w:sz w:val="17"/>
                                <w:szCs w:val="17"/>
                              </w:rPr>
                            </w:pPr>
                            <w:r>
                              <w:rPr>
                                <w:rFonts w:ascii="DIN" w:hAnsi="DIN" w:cs="DIN"/>
                                <w:sz w:val="17"/>
                                <w:szCs w:val="17"/>
                              </w:rPr>
                              <w:t>If using to mark channel limits follow convention for IA</w:t>
                            </w:r>
                            <w:r>
                              <w:rPr>
                                <w:rFonts w:ascii="DIN" w:hAnsi="DIN" w:cs="DIN"/>
                                <w:sz w:val="17"/>
                                <w:szCs w:val="17"/>
                              </w:rPr>
                              <w:t xml:space="preserve">LA region indicated in Section 2. Lights may have oscillating boundaries As appropriate </w:t>
                            </w:r>
                          </w:p>
                        </w:tc>
                      </w:tr>
                    </w:tbl>
                  </w:txbxContent>
                </v:textbox>
                <w10:wrap type="through" anchorx="page" anchory="page"/>
              </v:shape>
            </w:pict>
          </mc:Fallback>
        </mc:AlternateContent>
      </w:r>
    </w:p>
    <w:p w14:paraId="15E37BDB" w14:textId="77777777" w:rsidR="00541A14" w:rsidRDefault="00DD420F">
      <w:pPr>
        <w:pStyle w:val="Default"/>
        <w:framePr w:w="1316" w:wrap="auto" w:vAnchor="page" w:hAnchor="page" w:x="5675" w:y="15194"/>
        <w:rPr>
          <w:rFonts w:cs="Times New Roman"/>
          <w:color w:val="auto"/>
        </w:rPr>
      </w:pPr>
      <w:r>
        <w:rPr>
          <w:rFonts w:cs="Times New Roman"/>
          <w:noProof/>
          <w:color w:val="auto"/>
        </w:rPr>
        <w:drawing>
          <wp:inline distT="0" distB="0" distL="0" distR="0" wp14:anchorId="600B6061" wp14:editId="2F7D5104">
            <wp:extent cx="22860" cy="1143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22860" cy="11430"/>
                    </a:xfrm>
                    <a:prstGeom prst="rect">
                      <a:avLst/>
                    </a:prstGeom>
                    <a:noFill/>
                    <a:ln>
                      <a:noFill/>
                    </a:ln>
                  </pic:spPr>
                </pic:pic>
              </a:graphicData>
            </a:graphic>
          </wp:inline>
        </w:drawing>
      </w:r>
    </w:p>
    <w:p w14:paraId="53134A96" w14:textId="77777777" w:rsidR="00541A14" w:rsidRDefault="00DD420F">
      <w:pPr>
        <w:pStyle w:val="Default"/>
        <w:framePr w:w="828" w:wrap="auto" w:vAnchor="page" w:hAnchor="page" w:x="6150" w:y="15226"/>
        <w:spacing w:after="340"/>
        <w:rPr>
          <w:rFonts w:cs="Times New Roman"/>
          <w:color w:val="auto"/>
        </w:rPr>
      </w:pPr>
      <w:r>
        <w:rPr>
          <w:rFonts w:cs="Times New Roman"/>
          <w:noProof/>
          <w:color w:val="auto"/>
        </w:rPr>
        <w:drawing>
          <wp:inline distT="0" distB="0" distL="0" distR="0" wp14:anchorId="7599CFE1" wp14:editId="28C8EB3E">
            <wp:extent cx="11430" cy="11430"/>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26214804" w14:textId="77777777" w:rsidR="00541A14" w:rsidRDefault="00DD420F">
      <w:pPr>
        <w:pStyle w:val="CM195"/>
        <w:spacing w:after="353"/>
        <w:rPr>
          <w:rFonts w:ascii="DIN" w:hAnsi="DIN" w:cs="DIN"/>
          <w:sz w:val="15"/>
          <w:szCs w:val="15"/>
        </w:rPr>
      </w:pPr>
      <w:r>
        <w:rPr>
          <w:noProof/>
        </w:rPr>
        <w:drawing>
          <wp:inline distT="0" distB="0" distL="0" distR="0" wp14:anchorId="3EF570C8" wp14:editId="68F47887">
            <wp:extent cx="306705" cy="227330"/>
            <wp:effectExtent l="0" t="0" r="0" b="127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306705" cy="227330"/>
                    </a:xfrm>
                    <a:prstGeom prst="rect">
                      <a:avLst/>
                    </a:prstGeom>
                    <a:noFill/>
                    <a:ln>
                      <a:noFill/>
                    </a:ln>
                  </pic:spPr>
                </pic:pic>
              </a:graphicData>
            </a:graphic>
          </wp:inline>
        </w:drawing>
      </w:r>
      <w:r w:rsidR="00A450E1">
        <w:rPr>
          <w:rFonts w:ascii="DIN" w:hAnsi="DIN" w:cs="DIN"/>
          <w:sz w:val="15"/>
          <w:szCs w:val="15"/>
        </w:rPr>
        <w:t xml:space="preserve">International Association </w:t>
      </w:r>
    </w:p>
    <w:p w14:paraId="65D48E07" w14:textId="77777777" w:rsidR="00541A14" w:rsidRDefault="00A450E1">
      <w:pPr>
        <w:pStyle w:val="CM162"/>
        <w:spacing w:after="552"/>
        <w:ind w:left="1567"/>
        <w:rPr>
          <w:rFonts w:ascii="DIN" w:hAnsi="DIN" w:cs="DIN"/>
          <w:sz w:val="15"/>
          <w:szCs w:val="15"/>
        </w:rPr>
      </w:pPr>
      <w:r>
        <w:rPr>
          <w:rFonts w:ascii="DIN" w:hAnsi="DIN" w:cs="DIN"/>
          <w:sz w:val="15"/>
          <w:szCs w:val="15"/>
        </w:rPr>
        <w:t xml:space="preserve">of Marine Aids to Navigation and Lighthouse Authorities </w:t>
      </w:r>
    </w:p>
    <w:p w14:paraId="265994CF" w14:textId="77777777" w:rsidR="00541A14" w:rsidRDefault="00DD420F">
      <w:pPr>
        <w:pStyle w:val="Default"/>
        <w:framePr w:w="10739" w:wrap="auto" w:vAnchor="page" w:hAnchor="page" w:x="1434" w:y="16318"/>
        <w:rPr>
          <w:rFonts w:ascii="DIN" w:hAnsi="DIN" w:cs="DIN"/>
          <w:color w:val="auto"/>
          <w:sz w:val="15"/>
          <w:szCs w:val="15"/>
        </w:rPr>
      </w:pPr>
      <w:r>
        <w:rPr>
          <w:rFonts w:ascii="DIN" w:hAnsi="DIN" w:cs="DIN"/>
          <w:noProof/>
          <w:color w:val="auto"/>
          <w:sz w:val="15"/>
          <w:szCs w:val="15"/>
        </w:rPr>
        <w:drawing>
          <wp:inline distT="0" distB="0" distL="0" distR="0" wp14:anchorId="05C0C503" wp14:editId="4F52C221">
            <wp:extent cx="7542530" cy="391795"/>
            <wp:effectExtent l="0" t="0" r="127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55AEA31D" w14:textId="77777777" w:rsidR="00541A14" w:rsidRDefault="00541A14">
      <w:pPr>
        <w:pStyle w:val="Default"/>
        <w:rPr>
          <w:rFonts w:cs="Times New Roman"/>
          <w:color w:val="auto"/>
        </w:rPr>
        <w:sectPr w:rsidR="00541A14">
          <w:type w:val="continuous"/>
          <w:pgSz w:w="11905" w:h="17337"/>
          <w:pgMar w:top="1400" w:right="900" w:bottom="0" w:left="900" w:header="720" w:footer="720" w:gutter="0"/>
          <w:cols w:space="720"/>
          <w:noEndnote/>
        </w:sectPr>
      </w:pPr>
    </w:p>
    <w:p w14:paraId="27B4682D" w14:textId="77777777" w:rsidR="00541A14" w:rsidRDefault="00A450E1">
      <w:pPr>
        <w:pStyle w:val="Default"/>
        <w:pageBreakBefore/>
        <w:spacing w:after="5235"/>
        <w:rPr>
          <w:rFonts w:ascii="DIN" w:hAnsi="DIN" w:cs="DIN"/>
          <w:color w:val="EC1B22"/>
          <w:sz w:val="18"/>
          <w:szCs w:val="18"/>
        </w:rPr>
      </w:pPr>
      <w:r>
        <w:rPr>
          <w:rFonts w:ascii="DIN" w:hAnsi="DIN" w:cs="DIN"/>
          <w:b/>
          <w:bCs/>
          <w:color w:val="EC1B22"/>
          <w:sz w:val="18"/>
          <w:szCs w:val="18"/>
        </w:rPr>
        <w:t xml:space="preserve">8.3 Lighthouses </w:t>
      </w:r>
    </w:p>
    <w:p w14:paraId="4F0D5B9E" w14:textId="77777777" w:rsidR="00541A14" w:rsidRDefault="00A450E1">
      <w:pPr>
        <w:pStyle w:val="CM165"/>
        <w:spacing w:after="85"/>
        <w:ind w:left="302"/>
        <w:rPr>
          <w:rFonts w:ascii="DIN" w:hAnsi="DIN" w:cs="DIN"/>
          <w:color w:val="000000"/>
          <w:sz w:val="18"/>
          <w:szCs w:val="18"/>
        </w:rPr>
      </w:pPr>
      <w:r>
        <w:rPr>
          <w:rFonts w:ascii="DIN" w:hAnsi="DIN" w:cs="DIN"/>
          <w:b/>
          <w:bCs/>
          <w:color w:val="000000"/>
          <w:sz w:val="18"/>
          <w:szCs w:val="18"/>
        </w:rPr>
        <w:t xml:space="preserve">8.3.1 Definition of a Lighthouse </w:t>
      </w:r>
    </w:p>
    <w:p w14:paraId="4E808AFF" w14:textId="77777777" w:rsidR="00541A14" w:rsidRDefault="00A450E1">
      <w:pPr>
        <w:pStyle w:val="CM165"/>
        <w:spacing w:after="85" w:line="246" w:lineRule="atLeast"/>
        <w:ind w:left="802"/>
        <w:rPr>
          <w:rFonts w:ascii="DIN" w:hAnsi="DIN" w:cs="DIN"/>
          <w:color w:val="000000"/>
          <w:sz w:val="18"/>
          <w:szCs w:val="18"/>
        </w:rPr>
      </w:pPr>
      <w:r>
        <w:rPr>
          <w:rFonts w:ascii="DIN" w:hAnsi="DIN" w:cs="DIN"/>
          <w:color w:val="000000"/>
          <w:sz w:val="18"/>
          <w:szCs w:val="18"/>
        </w:rPr>
        <w:t xml:space="preserve">A lighthouse is a tower, or substantial building or structure, erected at a designated geographical location to carry a signal light and provides a significant daymark. It provides a long or medium range light for identification by night. </w:t>
      </w:r>
    </w:p>
    <w:p w14:paraId="3461473B" w14:textId="77777777" w:rsidR="00541A14" w:rsidRDefault="00A450E1">
      <w:pPr>
        <w:pStyle w:val="CM165"/>
        <w:spacing w:after="85" w:line="260" w:lineRule="atLeast"/>
        <w:ind w:left="295"/>
        <w:rPr>
          <w:rFonts w:ascii="DIN" w:hAnsi="DIN" w:cs="DIN"/>
          <w:color w:val="000000"/>
          <w:sz w:val="18"/>
          <w:szCs w:val="18"/>
        </w:rPr>
      </w:pPr>
      <w:r>
        <w:rPr>
          <w:rFonts w:ascii="DIN" w:hAnsi="DIN" w:cs="DIN"/>
          <w:b/>
          <w:bCs/>
          <w:color w:val="000000"/>
          <w:sz w:val="18"/>
          <w:szCs w:val="18"/>
        </w:rPr>
        <w:t xml:space="preserve">8.3.2 Description of a Lighthouse </w:t>
      </w:r>
    </w:p>
    <w:p w14:paraId="12F6802C" w14:textId="77777777" w:rsidR="00541A14" w:rsidRDefault="00A450E1">
      <w:pPr>
        <w:pStyle w:val="CM157"/>
        <w:ind w:left="800" w:right="85"/>
        <w:rPr>
          <w:rFonts w:ascii="DIN" w:hAnsi="DIN" w:cs="DIN"/>
          <w:color w:val="000000"/>
          <w:sz w:val="18"/>
          <w:szCs w:val="18"/>
        </w:rPr>
      </w:pPr>
      <w:r>
        <w:rPr>
          <w:rFonts w:ascii="DIN" w:hAnsi="DIN" w:cs="DIN"/>
          <w:color w:val="000000"/>
          <w:sz w:val="18"/>
          <w:szCs w:val="18"/>
        </w:rPr>
        <w:t xml:space="preserve">It may provide a platform for other AtoN such as DGNSS, Racon or AIS as an Aid to Navigation to assist marine navigation. A lighthouse is a structure that may provide a daymark for identification by day. A sector light may also be incorporated into the structure. </w:t>
      </w:r>
    </w:p>
    <w:p w14:paraId="159FD461" w14:textId="77777777" w:rsidR="00541A14" w:rsidRDefault="00A450E1">
      <w:pPr>
        <w:pStyle w:val="CM208"/>
        <w:spacing w:after="5235"/>
        <w:rPr>
          <w:rFonts w:ascii="DIN" w:hAnsi="DIN" w:cs="DIN"/>
          <w:color w:val="EC1B22"/>
          <w:sz w:val="18"/>
          <w:szCs w:val="18"/>
        </w:rPr>
      </w:pPr>
      <w:r>
        <w:rPr>
          <w:rFonts w:ascii="DIN" w:hAnsi="DIN" w:cs="DIN"/>
          <w:b/>
          <w:bCs/>
          <w:color w:val="EC1B22"/>
          <w:sz w:val="18"/>
          <w:szCs w:val="18"/>
        </w:rPr>
        <w:t xml:space="preserve">8.4 Beacons </w:t>
      </w:r>
    </w:p>
    <w:p w14:paraId="2FA35027" w14:textId="77777777" w:rsidR="00541A14" w:rsidRDefault="00A450E1">
      <w:pPr>
        <w:pStyle w:val="CM165"/>
        <w:spacing w:after="85"/>
        <w:ind w:left="302"/>
        <w:rPr>
          <w:rFonts w:ascii="DIN" w:hAnsi="DIN" w:cs="DIN"/>
          <w:color w:val="000000"/>
          <w:sz w:val="18"/>
          <w:szCs w:val="18"/>
        </w:rPr>
      </w:pPr>
      <w:r>
        <w:rPr>
          <w:rFonts w:ascii="DIN" w:hAnsi="DIN" w:cs="DIN"/>
          <w:b/>
          <w:bCs/>
          <w:color w:val="000000"/>
          <w:sz w:val="18"/>
          <w:szCs w:val="18"/>
        </w:rPr>
        <w:t xml:space="preserve">8.4.1 Definition of a Beacon </w:t>
      </w:r>
    </w:p>
    <w:p w14:paraId="2746A383" w14:textId="77777777" w:rsidR="00541A14" w:rsidRDefault="00A450E1">
      <w:pPr>
        <w:pStyle w:val="CM165"/>
        <w:spacing w:after="85" w:line="246" w:lineRule="atLeast"/>
        <w:ind w:left="802"/>
        <w:rPr>
          <w:rFonts w:ascii="DIN" w:hAnsi="DIN" w:cs="DIN"/>
          <w:color w:val="000000"/>
          <w:sz w:val="18"/>
          <w:szCs w:val="18"/>
        </w:rPr>
      </w:pPr>
      <w:r>
        <w:rPr>
          <w:rFonts w:ascii="DIN" w:hAnsi="DIN" w:cs="DIN"/>
          <w:color w:val="000000"/>
          <w:sz w:val="18"/>
          <w:szCs w:val="18"/>
        </w:rPr>
        <w:t>A fixed man-made navigation mark that can be recognised by its shape, colour, pattern, topmark, or light character, or a combina</w:t>
      </w:r>
      <w:r>
        <w:rPr>
          <w:rFonts w:ascii="DIN" w:hAnsi="DIN" w:cs="DIN"/>
          <w:color w:val="000000"/>
          <w:sz w:val="18"/>
          <w:szCs w:val="18"/>
        </w:rPr>
        <w:softHyphen/>
        <w:t xml:space="preserve">tion of these. </w:t>
      </w:r>
    </w:p>
    <w:p w14:paraId="5BFBAD08" w14:textId="77777777" w:rsidR="00541A14" w:rsidRDefault="00A450E1">
      <w:pPr>
        <w:pStyle w:val="CM165"/>
        <w:spacing w:after="85" w:line="260" w:lineRule="atLeast"/>
        <w:ind w:left="295"/>
        <w:rPr>
          <w:rFonts w:ascii="DIN" w:hAnsi="DIN" w:cs="DIN"/>
          <w:color w:val="000000"/>
          <w:sz w:val="18"/>
          <w:szCs w:val="18"/>
        </w:rPr>
      </w:pPr>
      <w:r>
        <w:rPr>
          <w:rFonts w:ascii="DIN" w:hAnsi="DIN" w:cs="DIN"/>
          <w:b/>
          <w:bCs/>
          <w:color w:val="000000"/>
          <w:sz w:val="18"/>
          <w:szCs w:val="18"/>
        </w:rPr>
        <w:t xml:space="preserve">8.4.2 Description of a Beacon </w:t>
      </w:r>
    </w:p>
    <w:p w14:paraId="612A00F1" w14:textId="77777777" w:rsidR="00541A14" w:rsidRDefault="00A450E1">
      <w:pPr>
        <w:pStyle w:val="Default"/>
        <w:numPr>
          <w:ilvl w:val="0"/>
          <w:numId w:val="202"/>
        </w:numPr>
        <w:rPr>
          <w:rFonts w:ascii="DIN" w:hAnsi="DIN" w:cs="DIN"/>
          <w:sz w:val="18"/>
          <w:szCs w:val="18"/>
        </w:rPr>
      </w:pPr>
      <w:r>
        <w:rPr>
          <w:rFonts w:ascii="DIN" w:hAnsi="DIN" w:cs="DIN"/>
          <w:sz w:val="18"/>
          <w:szCs w:val="18"/>
        </w:rPr>
        <w:t xml:space="preserve">Can carry a signal light and in this case is termed a light beacon or lighted beacon; </w:t>
      </w:r>
    </w:p>
    <w:p w14:paraId="2373131E" w14:textId="77777777" w:rsidR="00541A14" w:rsidRDefault="00A450E1">
      <w:pPr>
        <w:pStyle w:val="Default"/>
        <w:numPr>
          <w:ilvl w:val="0"/>
          <w:numId w:val="202"/>
        </w:numPr>
        <w:rPr>
          <w:rFonts w:ascii="DIN" w:hAnsi="DIN" w:cs="DIN"/>
          <w:sz w:val="18"/>
          <w:szCs w:val="18"/>
        </w:rPr>
      </w:pPr>
      <w:r>
        <w:rPr>
          <w:rFonts w:ascii="DIN" w:hAnsi="DIN" w:cs="DIN"/>
          <w:sz w:val="18"/>
          <w:szCs w:val="18"/>
        </w:rPr>
        <w:t xml:space="preserve">If not fitted with a light it is termed an unlighted or unlit beacon and provides only a day mark; </w:t>
      </w:r>
    </w:p>
    <w:p w14:paraId="10B11927" w14:textId="77777777" w:rsidR="00541A14" w:rsidRDefault="00A450E1">
      <w:pPr>
        <w:pStyle w:val="Default"/>
        <w:numPr>
          <w:ilvl w:val="0"/>
          <w:numId w:val="202"/>
        </w:numPr>
        <w:rPr>
          <w:rFonts w:ascii="DIN" w:hAnsi="DIN" w:cs="DIN"/>
          <w:sz w:val="18"/>
          <w:szCs w:val="18"/>
        </w:rPr>
      </w:pPr>
      <w:r>
        <w:rPr>
          <w:rFonts w:ascii="DIN" w:hAnsi="DIN" w:cs="DIN"/>
          <w:sz w:val="18"/>
          <w:szCs w:val="18"/>
        </w:rPr>
        <w:t xml:space="preserve">As a leading line/range or conspicuous radar mark; </w:t>
      </w:r>
    </w:p>
    <w:p w14:paraId="751EA9EF" w14:textId="77777777" w:rsidR="00541A14" w:rsidRDefault="00A450E1">
      <w:pPr>
        <w:pStyle w:val="Default"/>
        <w:numPr>
          <w:ilvl w:val="0"/>
          <w:numId w:val="202"/>
        </w:numPr>
        <w:rPr>
          <w:rFonts w:ascii="DIN" w:hAnsi="DIN" w:cs="DIN"/>
          <w:sz w:val="18"/>
          <w:szCs w:val="18"/>
        </w:rPr>
      </w:pPr>
      <w:r>
        <w:rPr>
          <w:rFonts w:ascii="DIN" w:hAnsi="DIN" w:cs="DIN"/>
          <w:sz w:val="18"/>
          <w:szCs w:val="18"/>
        </w:rPr>
        <w:t xml:space="preserve">It may also carry a topmark. </w:t>
      </w:r>
    </w:p>
    <w:p w14:paraId="346A1B94" w14:textId="77777777" w:rsidR="00541A14" w:rsidRDefault="00541A14">
      <w:pPr>
        <w:pStyle w:val="Default"/>
        <w:rPr>
          <w:rFonts w:ascii="DIN" w:hAnsi="DIN" w:cs="DIN"/>
          <w:sz w:val="18"/>
          <w:szCs w:val="18"/>
        </w:rPr>
      </w:pPr>
    </w:p>
    <w:p w14:paraId="65B0CA04"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708416" behindDoc="0" locked="0" layoutInCell="0" allowOverlap="1" wp14:anchorId="34EE551D" wp14:editId="36440D4E">
                <wp:simplePos x="0" y="0"/>
                <wp:positionH relativeFrom="page">
                  <wp:posOffset>951865</wp:posOffset>
                </wp:positionH>
                <wp:positionV relativeFrom="page">
                  <wp:posOffset>7569835</wp:posOffset>
                </wp:positionV>
                <wp:extent cx="3217545" cy="1864995"/>
                <wp:effectExtent l="0" t="0" r="0" b="0"/>
                <wp:wrapThrough wrapText="bothSides">
                  <wp:wrapPolygon edited="0">
                    <wp:start x="0" y="0"/>
                    <wp:lineTo x="21600" y="0"/>
                    <wp:lineTo x="21600" y="21600"/>
                    <wp:lineTo x="0" y="21600"/>
                    <wp:lineTo x="0" y="0"/>
                  </wp:wrapPolygon>
                </wp:wrapThrough>
                <wp:docPr id="507"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545" cy="1864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420"/>
                              <w:gridCol w:w="2847"/>
                            </w:tblGrid>
                            <w:tr w:rsidR="00541A14" w14:paraId="2E4ED5D9" w14:textId="77777777">
                              <w:trPr>
                                <w:trHeight w:val="647"/>
                              </w:trPr>
                              <w:tc>
                                <w:tcPr>
                                  <w:tcW w:w="1420" w:type="dxa"/>
                                  <w:tcBorders>
                                    <w:top w:val="single" w:sz="2" w:space="0" w:color="EC1B22"/>
                                    <w:left w:val="single" w:sz="2" w:space="0" w:color="EC1B22"/>
                                    <w:bottom w:val="single" w:sz="2" w:space="0" w:color="EC1B22"/>
                                    <w:right w:val="single" w:sz="2" w:space="0" w:color="EC1B22"/>
                                  </w:tcBorders>
                                  <w:vAlign w:val="center"/>
                                </w:tcPr>
                                <w:p w14:paraId="7AEC1BEE" w14:textId="77777777" w:rsidR="00541A14" w:rsidRDefault="00A450E1">
                                  <w:pPr>
                                    <w:pStyle w:val="Default"/>
                                    <w:rPr>
                                      <w:rFonts w:ascii="DIN" w:hAnsi="DIN" w:cs="DIN"/>
                                      <w:sz w:val="17"/>
                                      <w:szCs w:val="17"/>
                                    </w:rPr>
                                  </w:pPr>
                                  <w:r>
                                    <w:rPr>
                                      <w:rFonts w:ascii="DIN" w:hAnsi="DIN" w:cs="DIN"/>
                                      <w:b/>
                                      <w:bCs/>
                                      <w:sz w:val="17"/>
                                      <w:szCs w:val="17"/>
                                    </w:rPr>
                                    <w:t xml:space="preserve">Colour/Shape </w:t>
                                  </w:r>
                                </w:p>
                              </w:tc>
                              <w:tc>
                                <w:tcPr>
                                  <w:tcW w:w="2847" w:type="dxa"/>
                                  <w:tcBorders>
                                    <w:top w:val="single" w:sz="2" w:space="0" w:color="EC1B22"/>
                                    <w:left w:val="single" w:sz="2" w:space="0" w:color="EC1B22"/>
                                    <w:bottom w:val="single" w:sz="2" w:space="0" w:color="EC1B22"/>
                                    <w:right w:val="single" w:sz="2" w:space="0" w:color="EC1B22"/>
                                  </w:tcBorders>
                                </w:tcPr>
                                <w:p w14:paraId="4EF87FE2" w14:textId="77777777" w:rsidR="00541A14" w:rsidRDefault="00A450E1">
                                  <w:pPr>
                                    <w:pStyle w:val="Default"/>
                                    <w:rPr>
                                      <w:rFonts w:ascii="DIN" w:hAnsi="DIN" w:cs="DIN"/>
                                      <w:sz w:val="17"/>
                                      <w:szCs w:val="17"/>
                                    </w:rPr>
                                  </w:pPr>
                                  <w:r>
                                    <w:rPr>
                                      <w:rFonts w:ascii="DIN" w:hAnsi="DIN" w:cs="DIN"/>
                                      <w:b/>
                                      <w:bCs/>
                                      <w:color w:val="FFFFFF"/>
                                      <w:sz w:val="18"/>
                                      <w:szCs w:val="18"/>
                                    </w:rPr>
                                    <w:t xml:space="preserve">Description </w:t>
                                  </w:r>
                                  <w:r>
                                    <w:rPr>
                                      <w:rFonts w:ascii="DIN" w:hAnsi="DIN" w:cs="DIN"/>
                                      <w:sz w:val="17"/>
                                      <w:szCs w:val="17"/>
                                    </w:rPr>
                                    <w:t xml:space="preserve">Lighthouse structures can be of any colour, shape, or material generally designed to provide a distinctive daymark. </w:t>
                                  </w:r>
                                </w:p>
                              </w:tc>
                            </w:tr>
                            <w:tr w:rsidR="00541A14" w14:paraId="39217C85" w14:textId="77777777">
                              <w:trPr>
                                <w:trHeight w:val="151"/>
                              </w:trPr>
                              <w:tc>
                                <w:tcPr>
                                  <w:tcW w:w="1420" w:type="dxa"/>
                                  <w:tcBorders>
                                    <w:top w:val="single" w:sz="2" w:space="0" w:color="EC1B22"/>
                                    <w:left w:val="single" w:sz="2" w:space="0" w:color="EC1B22"/>
                                    <w:bottom w:val="single" w:sz="2" w:space="0" w:color="EC1B22"/>
                                  </w:tcBorders>
                                  <w:vAlign w:val="center"/>
                                </w:tcPr>
                                <w:p w14:paraId="216EAA05" w14:textId="77777777" w:rsidR="00541A14" w:rsidRDefault="00A450E1">
                                  <w:pPr>
                                    <w:pStyle w:val="Default"/>
                                    <w:rPr>
                                      <w:rFonts w:ascii="DIN" w:hAnsi="DIN" w:cs="DIN"/>
                                      <w:sz w:val="17"/>
                                      <w:szCs w:val="17"/>
                                    </w:rPr>
                                  </w:pPr>
                                  <w:r>
                                    <w:rPr>
                                      <w:rFonts w:ascii="DIN" w:hAnsi="DIN" w:cs="DIN"/>
                                      <w:b/>
                                      <w:bCs/>
                                      <w:sz w:val="17"/>
                                      <w:szCs w:val="17"/>
                                    </w:rPr>
                                    <w:t xml:space="preserve">Light </w:t>
                                  </w:r>
                                </w:p>
                              </w:tc>
                              <w:tc>
                                <w:tcPr>
                                  <w:tcW w:w="2847" w:type="dxa"/>
                                  <w:tcBorders>
                                    <w:top w:val="single" w:sz="2" w:space="0" w:color="EC1B22"/>
                                    <w:bottom w:val="single" w:sz="2" w:space="0" w:color="EC1B22"/>
                                    <w:right w:val="single" w:sz="2" w:space="0" w:color="EC1B22"/>
                                  </w:tcBorders>
                                </w:tcPr>
                                <w:p w14:paraId="2D7D4088" w14:textId="77777777" w:rsidR="00541A14" w:rsidRDefault="00541A14">
                                  <w:pPr>
                                    <w:pStyle w:val="Default"/>
                                    <w:rPr>
                                      <w:rFonts w:cs="Times New Roman"/>
                                      <w:color w:val="auto"/>
                                    </w:rPr>
                                  </w:pPr>
                                </w:p>
                              </w:tc>
                            </w:tr>
                            <w:tr w:rsidR="00541A14" w14:paraId="5D1C2F47" w14:textId="77777777">
                              <w:trPr>
                                <w:trHeight w:val="521"/>
                              </w:trPr>
                              <w:tc>
                                <w:tcPr>
                                  <w:tcW w:w="1420" w:type="dxa"/>
                                  <w:tcBorders>
                                    <w:top w:val="single" w:sz="2" w:space="0" w:color="EC1B22"/>
                                    <w:left w:val="single" w:sz="2" w:space="0" w:color="EC1B22"/>
                                    <w:bottom w:val="single" w:sz="2" w:space="0" w:color="EC1B22"/>
                                    <w:right w:val="single" w:sz="2" w:space="0" w:color="EC1B22"/>
                                  </w:tcBorders>
                                </w:tcPr>
                                <w:p w14:paraId="54B2CF5C" w14:textId="77777777" w:rsidR="00541A14" w:rsidRDefault="00A450E1">
                                  <w:pPr>
                                    <w:pStyle w:val="Default"/>
                                    <w:rPr>
                                      <w:rFonts w:ascii="DIN" w:hAnsi="DIN" w:cs="DIN"/>
                                      <w:sz w:val="17"/>
                                      <w:szCs w:val="17"/>
                                    </w:rPr>
                                  </w:pPr>
                                  <w:r>
                                    <w:rPr>
                                      <w:rFonts w:ascii="DIN" w:hAnsi="DIN" w:cs="DIN"/>
                                      <w:sz w:val="17"/>
                                      <w:szCs w:val="17"/>
                                    </w:rPr>
                                    <w:t xml:space="preserve">Colour Rhythm </w:t>
                                  </w:r>
                                </w:p>
                              </w:tc>
                              <w:tc>
                                <w:tcPr>
                                  <w:tcW w:w="2847" w:type="dxa"/>
                                  <w:tcBorders>
                                    <w:top w:val="single" w:sz="2" w:space="0" w:color="EC1B22"/>
                                    <w:left w:val="single" w:sz="2" w:space="0" w:color="EC1B22"/>
                                    <w:bottom w:val="single" w:sz="2" w:space="0" w:color="EC1B22"/>
                                    <w:right w:val="single" w:sz="2" w:space="0" w:color="EC1B22"/>
                                  </w:tcBorders>
                                </w:tcPr>
                                <w:p w14:paraId="6AC9DC7A" w14:textId="77777777" w:rsidR="00541A14" w:rsidRDefault="00A450E1">
                                  <w:pPr>
                                    <w:pStyle w:val="Default"/>
                                    <w:rPr>
                                      <w:rFonts w:ascii="DIN" w:hAnsi="DIN" w:cs="DIN"/>
                                      <w:sz w:val="17"/>
                                      <w:szCs w:val="17"/>
                                    </w:rPr>
                                  </w:pPr>
                                  <w:r>
                                    <w:rPr>
                                      <w:rFonts w:ascii="DIN" w:hAnsi="DIN" w:cs="DIN"/>
                                      <w:sz w:val="17"/>
                                      <w:szCs w:val="17"/>
                                    </w:rPr>
                                    <w:t xml:space="preserve">White, Red, or Green Any number of flashes, isophase or occulting or as appropriate, to allow light to be readily identifiable. </w:t>
                                  </w:r>
                                </w:p>
                              </w:tc>
                            </w:tr>
                          </w:tbl>
                          <w:p w14:paraId="08DEB627"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 o:spid="_x0000_s1075" type="#_x0000_t202" style="position:absolute;margin-left:74.95pt;margin-top:596.05pt;width:253.35pt;height:146.85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2847"/>
                        <w:gridCol w:w="5"/>
                      </w:tblGrid>
                      <w:tr w:rsidR="00000000" w14:paraId="2E4ED5D9" w14:textId="77777777">
                        <w:tblPrEx>
                          <w:tblCellMar>
                            <w:top w:w="0" w:type="dxa"/>
                            <w:bottom w:w="0" w:type="dxa"/>
                          </w:tblCellMar>
                        </w:tblPrEx>
                        <w:trPr>
                          <w:wAfter w:w="2409" w:type="dxa"/>
                          <w:trHeight w:val="647"/>
                        </w:trPr>
                        <w:tc>
                          <w:tcPr>
                            <w:tcW w:w="1420" w:type="dxa"/>
                            <w:tcBorders>
                              <w:top w:val="single" w:sz="2" w:space="0" w:color="EC1B22"/>
                              <w:left w:val="single" w:sz="2" w:space="0" w:color="EC1B22"/>
                              <w:bottom w:val="single" w:sz="2" w:space="0" w:color="EC1B22"/>
                              <w:right w:val="single" w:sz="2" w:space="0" w:color="EC1B22"/>
                            </w:tcBorders>
                            <w:vAlign w:val="center"/>
                          </w:tcPr>
                          <w:p w14:paraId="7AEC1BEE" w14:textId="77777777" w:rsidR="00000000" w:rsidRDefault="00A450E1">
                            <w:pPr>
                              <w:pStyle w:val="Default"/>
                              <w:rPr>
                                <w:rFonts w:ascii="DIN" w:hAnsi="DIN" w:cs="DIN"/>
                                <w:sz w:val="17"/>
                                <w:szCs w:val="17"/>
                              </w:rPr>
                            </w:pPr>
                            <w:r>
                              <w:rPr>
                                <w:rFonts w:ascii="DIN" w:hAnsi="DIN" w:cs="DIN"/>
                                <w:b/>
                                <w:bCs/>
                                <w:sz w:val="17"/>
                                <w:szCs w:val="17"/>
                              </w:rPr>
                              <w:t xml:space="preserve">Colour/Shape </w:t>
                            </w:r>
                          </w:p>
                        </w:tc>
                        <w:tc>
                          <w:tcPr>
                            <w:tcW w:w="2847" w:type="dxa"/>
                            <w:gridSpan w:val="2"/>
                            <w:tcBorders>
                              <w:top w:val="single" w:sz="2" w:space="0" w:color="EC1B22"/>
                              <w:left w:val="single" w:sz="2" w:space="0" w:color="EC1B22"/>
                              <w:bottom w:val="single" w:sz="2" w:space="0" w:color="EC1B22"/>
                              <w:right w:val="single" w:sz="2" w:space="0" w:color="EC1B22"/>
                            </w:tcBorders>
                          </w:tcPr>
                          <w:p w14:paraId="4EF87FE2" w14:textId="77777777" w:rsidR="00000000" w:rsidRDefault="00A450E1">
                            <w:pPr>
                              <w:pStyle w:val="Default"/>
                              <w:rPr>
                                <w:rFonts w:ascii="DIN" w:hAnsi="DIN" w:cs="DIN"/>
                                <w:sz w:val="17"/>
                                <w:szCs w:val="17"/>
                              </w:rPr>
                            </w:pPr>
                            <w:r>
                              <w:rPr>
                                <w:rFonts w:ascii="DIN" w:hAnsi="DIN" w:cs="DIN"/>
                                <w:b/>
                                <w:bCs/>
                                <w:color w:val="FFFFFF"/>
                                <w:sz w:val="18"/>
                                <w:szCs w:val="18"/>
                              </w:rPr>
                              <w:t xml:space="preserve">Description </w:t>
                            </w:r>
                            <w:r>
                              <w:rPr>
                                <w:rFonts w:ascii="DIN" w:hAnsi="DIN" w:cs="DIN"/>
                                <w:sz w:val="17"/>
                                <w:szCs w:val="17"/>
                              </w:rPr>
                              <w:t>Lighthouse structures can be of any colour, sha</w:t>
                            </w:r>
                            <w:r>
                              <w:rPr>
                                <w:rFonts w:ascii="DIN" w:hAnsi="DIN" w:cs="DIN"/>
                                <w:sz w:val="17"/>
                                <w:szCs w:val="17"/>
                              </w:rPr>
                              <w:t xml:space="preserve">pe, or material generally designed to provide a distinctive daymark. </w:t>
                            </w:r>
                          </w:p>
                        </w:tc>
                      </w:tr>
                      <w:tr w:rsidR="00000000" w14:paraId="39217C85" w14:textId="77777777">
                        <w:tblPrEx>
                          <w:tblCellMar>
                            <w:top w:w="0" w:type="dxa"/>
                            <w:bottom w:w="0" w:type="dxa"/>
                          </w:tblCellMar>
                        </w:tblPrEx>
                        <w:trPr>
                          <w:wAfter w:w="2409" w:type="dxa"/>
                          <w:trHeight w:val="151"/>
                        </w:trPr>
                        <w:tc>
                          <w:tcPr>
                            <w:tcW w:w="1420" w:type="dxa"/>
                            <w:tcBorders>
                              <w:top w:val="single" w:sz="2" w:space="0" w:color="EC1B22"/>
                              <w:left w:val="single" w:sz="2" w:space="0" w:color="EC1B22"/>
                              <w:bottom w:val="single" w:sz="2" w:space="0" w:color="EC1B22"/>
                            </w:tcBorders>
                            <w:vAlign w:val="center"/>
                          </w:tcPr>
                          <w:p w14:paraId="216EAA05" w14:textId="77777777" w:rsidR="00000000" w:rsidRDefault="00A450E1">
                            <w:pPr>
                              <w:pStyle w:val="Default"/>
                              <w:rPr>
                                <w:rFonts w:ascii="DIN" w:hAnsi="DIN" w:cs="DIN"/>
                                <w:sz w:val="17"/>
                                <w:szCs w:val="17"/>
                              </w:rPr>
                            </w:pPr>
                            <w:r>
                              <w:rPr>
                                <w:rFonts w:ascii="DIN" w:hAnsi="DIN" w:cs="DIN"/>
                                <w:b/>
                                <w:bCs/>
                                <w:sz w:val="17"/>
                                <w:szCs w:val="17"/>
                              </w:rPr>
                              <w:t xml:space="preserve">Light </w:t>
                            </w:r>
                          </w:p>
                        </w:tc>
                        <w:tc>
                          <w:tcPr>
                            <w:tcW w:w="2847" w:type="dxa"/>
                            <w:gridSpan w:val="2"/>
                            <w:tcBorders>
                              <w:top w:val="single" w:sz="2" w:space="0" w:color="EC1B22"/>
                              <w:bottom w:val="single" w:sz="2" w:space="0" w:color="EC1B22"/>
                              <w:right w:val="single" w:sz="2" w:space="0" w:color="EC1B22"/>
                            </w:tcBorders>
                          </w:tcPr>
                          <w:p w14:paraId="2D7D4088" w14:textId="77777777" w:rsidR="00000000" w:rsidRDefault="00A450E1">
                            <w:pPr>
                              <w:pStyle w:val="Default"/>
                              <w:rPr>
                                <w:rFonts w:cs="Times New Roman"/>
                                <w:color w:val="auto"/>
                              </w:rPr>
                            </w:pPr>
                          </w:p>
                        </w:tc>
                      </w:tr>
                      <w:tr w:rsidR="00000000" w14:paraId="5D1C2F47" w14:textId="77777777">
                        <w:tblPrEx>
                          <w:tblCellMar>
                            <w:top w:w="0" w:type="dxa"/>
                            <w:bottom w:w="0" w:type="dxa"/>
                          </w:tblCellMar>
                        </w:tblPrEx>
                        <w:trPr>
                          <w:wAfter w:w="2409" w:type="dxa"/>
                          <w:trHeight w:val="521"/>
                        </w:trPr>
                        <w:tc>
                          <w:tcPr>
                            <w:tcW w:w="1420" w:type="dxa"/>
                            <w:tcBorders>
                              <w:top w:val="single" w:sz="2" w:space="0" w:color="EC1B22"/>
                              <w:left w:val="single" w:sz="2" w:space="0" w:color="EC1B22"/>
                              <w:bottom w:val="single" w:sz="2" w:space="0" w:color="EC1B22"/>
                              <w:right w:val="single" w:sz="2" w:space="0" w:color="EC1B22"/>
                            </w:tcBorders>
                          </w:tcPr>
                          <w:p w14:paraId="54B2CF5C" w14:textId="77777777" w:rsidR="00000000" w:rsidRDefault="00A450E1">
                            <w:pPr>
                              <w:pStyle w:val="Default"/>
                              <w:rPr>
                                <w:rFonts w:ascii="DIN" w:hAnsi="DIN" w:cs="DIN"/>
                                <w:sz w:val="17"/>
                                <w:szCs w:val="17"/>
                              </w:rPr>
                            </w:pPr>
                            <w:r>
                              <w:rPr>
                                <w:rFonts w:ascii="DIN" w:hAnsi="DIN" w:cs="DIN"/>
                                <w:sz w:val="17"/>
                                <w:szCs w:val="17"/>
                              </w:rPr>
                              <w:t xml:space="preserve">Colour Rhythm </w:t>
                            </w:r>
                          </w:p>
                        </w:tc>
                        <w:tc>
                          <w:tcPr>
                            <w:tcW w:w="2847" w:type="dxa"/>
                            <w:gridSpan w:val="2"/>
                            <w:tcBorders>
                              <w:top w:val="single" w:sz="2" w:space="0" w:color="EC1B22"/>
                              <w:left w:val="single" w:sz="2" w:space="0" w:color="EC1B22"/>
                              <w:bottom w:val="single" w:sz="2" w:space="0" w:color="EC1B22"/>
                              <w:right w:val="single" w:sz="2" w:space="0" w:color="EC1B22"/>
                            </w:tcBorders>
                          </w:tcPr>
                          <w:p w14:paraId="6AC9DC7A" w14:textId="77777777" w:rsidR="00000000" w:rsidRDefault="00A450E1">
                            <w:pPr>
                              <w:pStyle w:val="Default"/>
                              <w:rPr>
                                <w:rFonts w:ascii="DIN" w:hAnsi="DIN" w:cs="DIN"/>
                                <w:sz w:val="17"/>
                                <w:szCs w:val="17"/>
                              </w:rPr>
                            </w:pPr>
                            <w:r>
                              <w:rPr>
                                <w:rFonts w:ascii="DIN" w:hAnsi="DIN" w:cs="DIN"/>
                                <w:sz w:val="17"/>
                                <w:szCs w:val="17"/>
                              </w:rPr>
                              <w:t xml:space="preserve">White, Red, or Green Any number of flashes, isophase or occulting or as appropriate, to allow light to be readily identifiable. </w:t>
                            </w:r>
                          </w:p>
                        </w:tc>
                      </w:tr>
                    </w:tbl>
                  </w:txbxContent>
                </v:textbox>
                <w10:wrap type="through" anchorx="page" anchory="page"/>
              </v:shape>
            </w:pict>
          </mc:Fallback>
        </mc:AlternateContent>
      </w:r>
    </w:p>
    <w:p w14:paraId="4A42DFB5"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709440" behindDoc="0" locked="0" layoutInCell="0" allowOverlap="1" wp14:anchorId="6BBF4605" wp14:editId="23EE221B">
                <wp:simplePos x="0" y="0"/>
                <wp:positionH relativeFrom="page">
                  <wp:posOffset>3993515</wp:posOffset>
                </wp:positionH>
                <wp:positionV relativeFrom="page">
                  <wp:posOffset>7456805</wp:posOffset>
                </wp:positionV>
                <wp:extent cx="3219450" cy="2049780"/>
                <wp:effectExtent l="0" t="0" r="0" b="0"/>
                <wp:wrapThrough wrapText="bothSides">
                  <wp:wrapPolygon edited="0">
                    <wp:start x="0" y="0"/>
                    <wp:lineTo x="21600" y="0"/>
                    <wp:lineTo x="21600" y="21600"/>
                    <wp:lineTo x="0" y="21600"/>
                    <wp:lineTo x="0" y="0"/>
                  </wp:wrapPolygon>
                </wp:wrapThrough>
                <wp:docPr id="506"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049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2848"/>
                            </w:tblGrid>
                            <w:tr w:rsidR="00541A14" w14:paraId="148E8679" w14:textId="77777777">
                              <w:trPr>
                                <w:trHeight w:val="877"/>
                              </w:trPr>
                              <w:tc>
                                <w:tcPr>
                                  <w:tcW w:w="1422" w:type="dxa"/>
                                  <w:tcBorders>
                                    <w:top w:val="single" w:sz="2" w:space="0" w:color="EC1B22"/>
                                    <w:left w:val="single" w:sz="2" w:space="0" w:color="EC1B22"/>
                                    <w:bottom w:val="single" w:sz="2" w:space="0" w:color="EC1B22"/>
                                    <w:right w:val="single" w:sz="2" w:space="0" w:color="EC1B22"/>
                                  </w:tcBorders>
                                  <w:vAlign w:val="bottom"/>
                                </w:tcPr>
                                <w:p w14:paraId="6A7CA39B" w14:textId="77777777" w:rsidR="00541A14" w:rsidRDefault="00A450E1">
                                  <w:pPr>
                                    <w:pStyle w:val="Default"/>
                                    <w:rPr>
                                      <w:rFonts w:ascii="DIN" w:hAnsi="DIN" w:cs="DIN"/>
                                      <w:sz w:val="17"/>
                                      <w:szCs w:val="17"/>
                                    </w:rPr>
                                  </w:pPr>
                                  <w:r>
                                    <w:rPr>
                                      <w:rFonts w:ascii="DIN" w:hAnsi="DIN" w:cs="DIN"/>
                                      <w:b/>
                                      <w:bCs/>
                                      <w:sz w:val="17"/>
                                      <w:szCs w:val="17"/>
                                    </w:rPr>
                                    <w:t xml:space="preserve">Colour Shape Topmark </w:t>
                                  </w:r>
                                  <w:r>
                                    <w:rPr>
                                      <w:rFonts w:ascii="DIN" w:hAnsi="DIN" w:cs="DIN"/>
                                      <w:sz w:val="17"/>
                                      <w:szCs w:val="17"/>
                                    </w:rPr>
                                    <w:t xml:space="preserve">(if any) </w:t>
                                  </w:r>
                                </w:p>
                              </w:tc>
                              <w:tc>
                                <w:tcPr>
                                  <w:tcW w:w="2847" w:type="dxa"/>
                                  <w:tcBorders>
                                    <w:top w:val="single" w:sz="2" w:space="0" w:color="EC1B22"/>
                                    <w:left w:val="single" w:sz="2" w:space="0" w:color="EC1B22"/>
                                    <w:bottom w:val="single" w:sz="2" w:space="0" w:color="EC1B22"/>
                                    <w:right w:val="single" w:sz="2" w:space="0" w:color="EC1B22"/>
                                  </w:tcBorders>
                                  <w:vAlign w:val="center"/>
                                </w:tcPr>
                                <w:p w14:paraId="4A9D6DEA" w14:textId="77777777" w:rsidR="00541A14" w:rsidRDefault="00A450E1">
                                  <w:pPr>
                                    <w:pStyle w:val="Default"/>
                                    <w:rPr>
                                      <w:rFonts w:ascii="DIN" w:hAnsi="DIN" w:cs="DIN"/>
                                      <w:sz w:val="17"/>
                                      <w:szCs w:val="17"/>
                                    </w:rPr>
                                  </w:pPr>
                                  <w:r>
                                    <w:rPr>
                                      <w:rFonts w:ascii="DIN" w:hAnsi="DIN" w:cs="DIN"/>
                                      <w:b/>
                                      <w:bCs/>
                                      <w:color w:val="FFFFFF"/>
                                      <w:sz w:val="18"/>
                                      <w:szCs w:val="18"/>
                                    </w:rPr>
                                    <w:t xml:space="preserve">Description </w:t>
                                  </w:r>
                                  <w:r>
                                    <w:rPr>
                                      <w:rFonts w:ascii="DIN" w:hAnsi="DIN" w:cs="DIN"/>
                                      <w:sz w:val="17"/>
                                      <w:szCs w:val="17"/>
                                    </w:rPr>
                                    <w:t xml:space="preserve">Any As appropriate, including cardinal mark As appropriate </w:t>
                                  </w:r>
                                </w:p>
                              </w:tc>
                            </w:tr>
                            <w:tr w:rsidR="00541A14" w14:paraId="6098C16D" w14:textId="77777777">
                              <w:trPr>
                                <w:trHeight w:val="201"/>
                              </w:trPr>
                              <w:tc>
                                <w:tcPr>
                                  <w:tcW w:w="4270" w:type="dxa"/>
                                  <w:gridSpan w:val="2"/>
                                  <w:tcBorders>
                                    <w:top w:val="single" w:sz="2" w:space="0" w:color="EC1B22"/>
                                    <w:left w:val="single" w:sz="2" w:space="0" w:color="EC1B22"/>
                                    <w:bottom w:val="single" w:sz="2" w:space="0" w:color="EC1B22"/>
                                    <w:right w:val="single" w:sz="2" w:space="0" w:color="EC1B22"/>
                                  </w:tcBorders>
                                  <w:vAlign w:val="center"/>
                                </w:tcPr>
                                <w:p w14:paraId="3AC988FA" w14:textId="77777777" w:rsidR="00541A14"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w:t>
                                  </w:r>
                                </w:p>
                              </w:tc>
                            </w:tr>
                            <w:tr w:rsidR="00541A14" w14:paraId="2A9886A0" w14:textId="77777777">
                              <w:trPr>
                                <w:trHeight w:val="331"/>
                              </w:trPr>
                              <w:tc>
                                <w:tcPr>
                                  <w:tcW w:w="1422" w:type="dxa"/>
                                  <w:tcBorders>
                                    <w:top w:val="single" w:sz="2" w:space="0" w:color="EC1B22"/>
                                    <w:left w:val="single" w:sz="2" w:space="0" w:color="EC1B22"/>
                                    <w:bottom w:val="single" w:sz="2" w:space="0" w:color="EC1B22"/>
                                    <w:right w:val="single" w:sz="2" w:space="0" w:color="EC1B22"/>
                                  </w:tcBorders>
                                  <w:vAlign w:val="center"/>
                                </w:tcPr>
                                <w:p w14:paraId="5F414DEF" w14:textId="77777777" w:rsidR="00541A14" w:rsidRDefault="00A450E1">
                                  <w:pPr>
                                    <w:pStyle w:val="Default"/>
                                    <w:rPr>
                                      <w:rFonts w:ascii="DIN" w:hAnsi="DIN" w:cs="DIN"/>
                                      <w:sz w:val="17"/>
                                      <w:szCs w:val="17"/>
                                    </w:rPr>
                                  </w:pPr>
                                  <w:r>
                                    <w:rPr>
                                      <w:rFonts w:ascii="DIN" w:hAnsi="DIN" w:cs="DIN"/>
                                      <w:sz w:val="17"/>
                                      <w:szCs w:val="17"/>
                                    </w:rPr>
                                    <w:t xml:space="preserve">Colour Rhythm </w:t>
                                  </w:r>
                                </w:p>
                              </w:tc>
                              <w:tc>
                                <w:tcPr>
                                  <w:tcW w:w="2847" w:type="dxa"/>
                                  <w:tcBorders>
                                    <w:top w:val="single" w:sz="2" w:space="0" w:color="EC1B22"/>
                                    <w:left w:val="single" w:sz="2" w:space="0" w:color="EC1B22"/>
                                    <w:bottom w:val="single" w:sz="2" w:space="0" w:color="EC1B22"/>
                                    <w:right w:val="single" w:sz="2" w:space="0" w:color="EC1B22"/>
                                  </w:tcBorders>
                                  <w:vAlign w:val="center"/>
                                </w:tcPr>
                                <w:p w14:paraId="6757B3C5" w14:textId="77777777" w:rsidR="00541A14" w:rsidRDefault="00A450E1">
                                  <w:pPr>
                                    <w:pStyle w:val="Default"/>
                                    <w:rPr>
                                      <w:rFonts w:ascii="DIN" w:hAnsi="DIN" w:cs="DIN"/>
                                      <w:sz w:val="17"/>
                                      <w:szCs w:val="17"/>
                                    </w:rPr>
                                  </w:pPr>
                                  <w:r>
                                    <w:rPr>
                                      <w:rFonts w:ascii="DIN" w:hAnsi="DIN" w:cs="DIN"/>
                                      <w:sz w:val="17"/>
                                      <w:szCs w:val="17"/>
                                    </w:rPr>
                                    <w:t xml:space="preserve">White, Red, or Green As appropriate </w:t>
                                  </w:r>
                                </w:p>
                              </w:tc>
                            </w:tr>
                          </w:tbl>
                          <w:p w14:paraId="60E3F7E9"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076" type="#_x0000_t202" style="position:absolute;margin-left:314.45pt;margin-top:587.15pt;width:253.5pt;height:161.4pt;z-index:251709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2847"/>
                        <w:gridCol w:w="5"/>
                      </w:tblGrid>
                      <w:tr w:rsidR="00000000" w14:paraId="148E8679" w14:textId="77777777">
                        <w:tblPrEx>
                          <w:tblCellMar>
                            <w:top w:w="0" w:type="dxa"/>
                            <w:bottom w:w="0" w:type="dxa"/>
                          </w:tblCellMar>
                        </w:tblPrEx>
                        <w:trPr>
                          <w:wAfter w:w="2408" w:type="dxa"/>
                          <w:trHeight w:val="877"/>
                        </w:trPr>
                        <w:tc>
                          <w:tcPr>
                            <w:tcW w:w="1422" w:type="dxa"/>
                            <w:tcBorders>
                              <w:top w:val="single" w:sz="2" w:space="0" w:color="EC1B22"/>
                              <w:left w:val="single" w:sz="2" w:space="0" w:color="EC1B22"/>
                              <w:bottom w:val="single" w:sz="2" w:space="0" w:color="EC1B22"/>
                              <w:right w:val="single" w:sz="2" w:space="0" w:color="EC1B22"/>
                            </w:tcBorders>
                            <w:vAlign w:val="bottom"/>
                          </w:tcPr>
                          <w:p w14:paraId="6A7CA39B" w14:textId="77777777" w:rsidR="00000000" w:rsidRDefault="00A450E1">
                            <w:pPr>
                              <w:pStyle w:val="Default"/>
                              <w:rPr>
                                <w:rFonts w:ascii="DIN" w:hAnsi="DIN" w:cs="DIN"/>
                                <w:sz w:val="17"/>
                                <w:szCs w:val="17"/>
                              </w:rPr>
                            </w:pPr>
                            <w:r>
                              <w:rPr>
                                <w:rFonts w:ascii="DIN" w:hAnsi="DIN" w:cs="DIN"/>
                                <w:b/>
                                <w:bCs/>
                                <w:sz w:val="17"/>
                                <w:szCs w:val="17"/>
                              </w:rPr>
                              <w:t xml:space="preserve">Colour Shape Topmark </w:t>
                            </w:r>
                            <w:r>
                              <w:rPr>
                                <w:rFonts w:ascii="DIN" w:hAnsi="DIN" w:cs="DIN"/>
                                <w:sz w:val="17"/>
                                <w:szCs w:val="17"/>
                              </w:rPr>
                              <w:t xml:space="preserve">(if any) </w:t>
                            </w:r>
                          </w:p>
                        </w:tc>
                        <w:tc>
                          <w:tcPr>
                            <w:tcW w:w="2847" w:type="dxa"/>
                            <w:gridSpan w:val="2"/>
                            <w:tcBorders>
                              <w:top w:val="single" w:sz="2" w:space="0" w:color="EC1B22"/>
                              <w:left w:val="single" w:sz="2" w:space="0" w:color="EC1B22"/>
                              <w:bottom w:val="single" w:sz="2" w:space="0" w:color="EC1B22"/>
                              <w:right w:val="single" w:sz="2" w:space="0" w:color="EC1B22"/>
                            </w:tcBorders>
                            <w:vAlign w:val="center"/>
                          </w:tcPr>
                          <w:p w14:paraId="4A9D6DEA" w14:textId="77777777" w:rsidR="00000000" w:rsidRDefault="00A450E1">
                            <w:pPr>
                              <w:pStyle w:val="Default"/>
                              <w:rPr>
                                <w:rFonts w:ascii="DIN" w:hAnsi="DIN" w:cs="DIN"/>
                                <w:sz w:val="17"/>
                                <w:szCs w:val="17"/>
                              </w:rPr>
                            </w:pPr>
                            <w:r>
                              <w:rPr>
                                <w:rFonts w:ascii="DIN" w:hAnsi="DIN" w:cs="DIN"/>
                                <w:b/>
                                <w:bCs/>
                                <w:color w:val="FFFFFF"/>
                                <w:sz w:val="18"/>
                                <w:szCs w:val="18"/>
                              </w:rPr>
                              <w:t xml:space="preserve">Description </w:t>
                            </w:r>
                            <w:r>
                              <w:rPr>
                                <w:rFonts w:ascii="DIN" w:hAnsi="DIN" w:cs="DIN"/>
                                <w:sz w:val="17"/>
                                <w:szCs w:val="17"/>
                              </w:rPr>
                              <w:t xml:space="preserve">Any As appropriate, including cardinal mark As appropriate </w:t>
                            </w:r>
                          </w:p>
                        </w:tc>
                      </w:tr>
                      <w:tr w:rsidR="00000000" w14:paraId="6098C16D" w14:textId="77777777">
                        <w:tblPrEx>
                          <w:tblCellMar>
                            <w:top w:w="0" w:type="dxa"/>
                            <w:bottom w:w="0" w:type="dxa"/>
                          </w:tblCellMar>
                        </w:tblPrEx>
                        <w:trPr>
                          <w:wAfter w:w="2407" w:type="dxa"/>
                          <w:trHeight w:val="201"/>
                        </w:trPr>
                        <w:tc>
                          <w:tcPr>
                            <w:tcW w:w="4270" w:type="dxa"/>
                            <w:gridSpan w:val="3"/>
                            <w:tcBorders>
                              <w:top w:val="single" w:sz="2" w:space="0" w:color="EC1B22"/>
                              <w:left w:val="single" w:sz="2" w:space="0" w:color="EC1B22"/>
                              <w:bottom w:val="single" w:sz="2" w:space="0" w:color="EC1B22"/>
                              <w:right w:val="single" w:sz="2" w:space="0" w:color="EC1B22"/>
                            </w:tcBorders>
                            <w:vAlign w:val="center"/>
                          </w:tcPr>
                          <w:p w14:paraId="3AC988FA" w14:textId="77777777" w:rsidR="00000000"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w:t>
                            </w:r>
                          </w:p>
                        </w:tc>
                      </w:tr>
                      <w:tr w:rsidR="00000000" w14:paraId="2A9886A0" w14:textId="77777777">
                        <w:tblPrEx>
                          <w:tblCellMar>
                            <w:top w:w="0" w:type="dxa"/>
                            <w:bottom w:w="0" w:type="dxa"/>
                          </w:tblCellMar>
                        </w:tblPrEx>
                        <w:trPr>
                          <w:wAfter w:w="2408" w:type="dxa"/>
                          <w:trHeight w:val="331"/>
                        </w:trPr>
                        <w:tc>
                          <w:tcPr>
                            <w:tcW w:w="1422" w:type="dxa"/>
                            <w:tcBorders>
                              <w:top w:val="single" w:sz="2" w:space="0" w:color="EC1B22"/>
                              <w:left w:val="single" w:sz="2" w:space="0" w:color="EC1B22"/>
                              <w:bottom w:val="single" w:sz="2" w:space="0" w:color="EC1B22"/>
                              <w:right w:val="single" w:sz="2" w:space="0" w:color="EC1B22"/>
                            </w:tcBorders>
                            <w:vAlign w:val="center"/>
                          </w:tcPr>
                          <w:p w14:paraId="5F414DEF" w14:textId="77777777" w:rsidR="00000000" w:rsidRDefault="00A450E1">
                            <w:pPr>
                              <w:pStyle w:val="Default"/>
                              <w:rPr>
                                <w:rFonts w:ascii="DIN" w:hAnsi="DIN" w:cs="DIN"/>
                                <w:sz w:val="17"/>
                                <w:szCs w:val="17"/>
                              </w:rPr>
                            </w:pPr>
                            <w:r>
                              <w:rPr>
                                <w:rFonts w:ascii="DIN" w:hAnsi="DIN" w:cs="DIN"/>
                                <w:sz w:val="17"/>
                                <w:szCs w:val="17"/>
                              </w:rPr>
                              <w:t xml:space="preserve">Colour Rhythm </w:t>
                            </w:r>
                          </w:p>
                        </w:tc>
                        <w:tc>
                          <w:tcPr>
                            <w:tcW w:w="2847" w:type="dxa"/>
                            <w:gridSpan w:val="2"/>
                            <w:tcBorders>
                              <w:top w:val="single" w:sz="2" w:space="0" w:color="EC1B22"/>
                              <w:left w:val="single" w:sz="2" w:space="0" w:color="EC1B22"/>
                              <w:bottom w:val="single" w:sz="2" w:space="0" w:color="EC1B22"/>
                              <w:right w:val="single" w:sz="2" w:space="0" w:color="EC1B22"/>
                            </w:tcBorders>
                            <w:vAlign w:val="center"/>
                          </w:tcPr>
                          <w:p w14:paraId="6757B3C5" w14:textId="77777777" w:rsidR="00000000" w:rsidRDefault="00A450E1">
                            <w:pPr>
                              <w:pStyle w:val="Default"/>
                              <w:rPr>
                                <w:rFonts w:ascii="DIN" w:hAnsi="DIN" w:cs="DIN"/>
                                <w:sz w:val="17"/>
                                <w:szCs w:val="17"/>
                              </w:rPr>
                            </w:pPr>
                            <w:r>
                              <w:rPr>
                                <w:rFonts w:ascii="DIN" w:hAnsi="DIN" w:cs="DIN"/>
                                <w:sz w:val="17"/>
                                <w:szCs w:val="17"/>
                              </w:rPr>
                              <w:t xml:space="preserve">White, Red, or Green As appropriate </w:t>
                            </w:r>
                          </w:p>
                        </w:tc>
                      </w:tr>
                    </w:tbl>
                  </w:txbxContent>
                </v:textbox>
                <w10:wrap type="through" anchorx="page" anchory="page"/>
              </v:shape>
            </w:pict>
          </mc:Fallback>
        </mc:AlternateContent>
      </w:r>
    </w:p>
    <w:p w14:paraId="028CFDF2" w14:textId="77777777" w:rsidR="00541A14" w:rsidRDefault="00DD420F">
      <w:pPr>
        <w:pStyle w:val="Default"/>
        <w:framePr w:w="1317" w:wrap="auto" w:vAnchor="page" w:hAnchor="page" w:x="5669" w:y="15191"/>
        <w:spacing w:after="640"/>
        <w:rPr>
          <w:rFonts w:cs="Times New Roman"/>
          <w:color w:val="auto"/>
        </w:rPr>
      </w:pPr>
      <w:r>
        <w:rPr>
          <w:rFonts w:cs="Times New Roman"/>
          <w:noProof/>
          <w:color w:val="auto"/>
        </w:rPr>
        <w:drawing>
          <wp:inline distT="0" distB="0" distL="0" distR="0" wp14:anchorId="019F3C0E" wp14:editId="54CF9B2F">
            <wp:extent cx="22860" cy="2286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22860" cy="22860"/>
                    </a:xfrm>
                    <a:prstGeom prst="rect">
                      <a:avLst/>
                    </a:prstGeom>
                    <a:noFill/>
                    <a:ln>
                      <a:noFill/>
                    </a:ln>
                  </pic:spPr>
                </pic:pic>
              </a:graphicData>
            </a:graphic>
          </wp:inline>
        </w:drawing>
      </w:r>
    </w:p>
    <w:p w14:paraId="75F6E28F" w14:textId="77777777" w:rsidR="00541A14" w:rsidRDefault="00A450E1">
      <w:pPr>
        <w:pStyle w:val="CM12"/>
        <w:jc w:val="both"/>
        <w:rPr>
          <w:rFonts w:ascii="DIN" w:hAnsi="DIN" w:cs="DIN"/>
          <w:sz w:val="15"/>
          <w:szCs w:val="15"/>
        </w:rPr>
      </w:pPr>
      <w:r>
        <w:rPr>
          <w:rFonts w:ascii="DIN" w:hAnsi="DIN" w:cs="DIN"/>
          <w:sz w:val="15"/>
          <w:szCs w:val="15"/>
        </w:rPr>
        <w:t xml:space="preserve">Maritime Buoyage System </w:t>
      </w:r>
    </w:p>
    <w:p w14:paraId="1B5E8A41" w14:textId="77777777" w:rsidR="00541A14" w:rsidRDefault="00A450E1">
      <w:pPr>
        <w:pStyle w:val="CM164"/>
        <w:spacing w:after="1215"/>
        <w:jc w:val="both"/>
        <w:rPr>
          <w:rFonts w:ascii="DIN" w:hAnsi="DIN" w:cs="DIN"/>
          <w:color w:val="EC1B22"/>
          <w:sz w:val="15"/>
          <w:szCs w:val="15"/>
        </w:rPr>
      </w:pPr>
      <w:r>
        <w:rPr>
          <w:rFonts w:ascii="DIN" w:hAnsi="DIN" w:cs="DIN"/>
          <w:color w:val="EC1B22"/>
          <w:sz w:val="15"/>
          <w:szCs w:val="15"/>
        </w:rPr>
        <w:t xml:space="preserve">Marks </w:t>
      </w:r>
    </w:p>
    <w:p w14:paraId="14EAA53A" w14:textId="77777777" w:rsidR="00541A14" w:rsidRDefault="00A450E1">
      <w:pPr>
        <w:pStyle w:val="CM162"/>
        <w:spacing w:after="552"/>
        <w:ind w:left="4827"/>
        <w:rPr>
          <w:rFonts w:ascii="DIN" w:hAnsi="DIN" w:cs="DIN"/>
          <w:color w:val="6B6D6F"/>
          <w:sz w:val="47"/>
          <w:szCs w:val="47"/>
        </w:rPr>
      </w:pPr>
      <w:r>
        <w:rPr>
          <w:rFonts w:ascii="DIN" w:hAnsi="DIN" w:cs="DIN"/>
          <w:color w:val="6B6D6F"/>
          <w:sz w:val="47"/>
          <w:szCs w:val="47"/>
        </w:rPr>
        <w:t xml:space="preserve">20 </w:t>
      </w:r>
    </w:p>
    <w:p w14:paraId="08D14BBC" w14:textId="77777777" w:rsidR="00541A14" w:rsidRDefault="00DD420F">
      <w:pPr>
        <w:pStyle w:val="Default"/>
        <w:framePr w:w="10730" w:wrap="auto" w:vAnchor="page" w:hAnchor="page" w:x="608" w:y="16318"/>
        <w:rPr>
          <w:rFonts w:ascii="DIN" w:hAnsi="DIN" w:cs="DIN"/>
          <w:color w:val="6B6D6F"/>
          <w:sz w:val="47"/>
          <w:szCs w:val="47"/>
        </w:rPr>
      </w:pPr>
      <w:r>
        <w:rPr>
          <w:rFonts w:ascii="DIN" w:hAnsi="DIN" w:cs="DIN"/>
          <w:noProof/>
          <w:color w:val="6B6D6F"/>
          <w:sz w:val="47"/>
          <w:szCs w:val="47"/>
        </w:rPr>
        <w:drawing>
          <wp:inline distT="0" distB="0" distL="0" distR="0" wp14:anchorId="3B813976" wp14:editId="67862B92">
            <wp:extent cx="7553960" cy="39179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60531E79" w14:textId="77777777" w:rsidR="00541A14" w:rsidRDefault="00541A14">
      <w:pPr>
        <w:pStyle w:val="Default"/>
        <w:rPr>
          <w:rFonts w:cs="Times New Roman"/>
          <w:color w:val="auto"/>
        </w:rPr>
        <w:sectPr w:rsidR="00541A14">
          <w:type w:val="continuous"/>
          <w:pgSz w:w="11905" w:h="17337"/>
          <w:pgMar w:top="1400" w:right="900" w:bottom="0" w:left="900" w:header="720" w:footer="720" w:gutter="0"/>
          <w:cols w:num="2" w:space="720" w:equalWidth="0">
            <w:col w:w="4810" w:space="331"/>
            <w:col w:w="4819"/>
          </w:cols>
          <w:noEndnote/>
        </w:sectPr>
      </w:pPr>
    </w:p>
    <w:p w14:paraId="6FC4E41E" w14:textId="77777777" w:rsidR="00541A14" w:rsidRDefault="00A450E1">
      <w:pPr>
        <w:pStyle w:val="Default"/>
        <w:pageBreakBefore/>
        <w:spacing w:after="2867"/>
        <w:jc w:val="center"/>
        <w:rPr>
          <w:rFonts w:ascii="DIN" w:hAnsi="DIN" w:cs="DIN"/>
          <w:color w:val="EC1B22"/>
          <w:sz w:val="17"/>
          <w:szCs w:val="17"/>
        </w:rPr>
      </w:pPr>
      <w:r>
        <w:rPr>
          <w:rFonts w:ascii="DIN" w:hAnsi="DIN" w:cs="DIN"/>
          <w:b/>
          <w:bCs/>
          <w:color w:val="EC1B22"/>
          <w:sz w:val="17"/>
          <w:szCs w:val="17"/>
        </w:rPr>
        <w:t xml:space="preserve">8.5 Major Floating Aids </w:t>
      </w:r>
    </w:p>
    <w:p w14:paraId="6F703CC5" w14:textId="77777777" w:rsidR="00541A14" w:rsidRDefault="00A450E1">
      <w:pPr>
        <w:pStyle w:val="CM165"/>
        <w:spacing w:after="85" w:line="251" w:lineRule="atLeast"/>
        <w:rPr>
          <w:rFonts w:ascii="DIN" w:hAnsi="DIN" w:cs="DIN"/>
          <w:color w:val="000000"/>
          <w:sz w:val="17"/>
          <w:szCs w:val="17"/>
        </w:rPr>
      </w:pPr>
      <w:r>
        <w:rPr>
          <w:rFonts w:ascii="DIN" w:hAnsi="DIN" w:cs="DIN"/>
          <w:b/>
          <w:bCs/>
          <w:color w:val="000000"/>
          <w:sz w:val="17"/>
          <w:szCs w:val="17"/>
        </w:rPr>
        <w:t xml:space="preserve">8.5.1 Definition of Major Floating Aids </w:t>
      </w:r>
    </w:p>
    <w:p w14:paraId="3FD844BB" w14:textId="77777777" w:rsidR="00541A14" w:rsidRDefault="00A450E1">
      <w:pPr>
        <w:pStyle w:val="CM172"/>
        <w:spacing w:after="202" w:line="243" w:lineRule="atLeast"/>
        <w:jc w:val="center"/>
        <w:rPr>
          <w:rFonts w:ascii="DIN" w:hAnsi="DIN" w:cs="DIN"/>
          <w:color w:val="000000"/>
          <w:sz w:val="17"/>
          <w:szCs w:val="17"/>
        </w:rPr>
      </w:pPr>
      <w:r>
        <w:rPr>
          <w:rFonts w:ascii="DIN" w:hAnsi="DIN" w:cs="DIN"/>
          <w:color w:val="000000"/>
          <w:sz w:val="17"/>
          <w:szCs w:val="17"/>
        </w:rPr>
        <w:t xml:space="preserve">Major floating aids include lightvessels, light floats and large navigational buoys. </w:t>
      </w:r>
    </w:p>
    <w:p w14:paraId="66D19AD0" w14:textId="77777777" w:rsidR="00541A14" w:rsidRDefault="00A450E1">
      <w:pPr>
        <w:pStyle w:val="CM165"/>
        <w:spacing w:after="85" w:line="251" w:lineRule="atLeast"/>
        <w:rPr>
          <w:rFonts w:ascii="DIN" w:hAnsi="DIN" w:cs="DIN"/>
          <w:color w:val="000000"/>
          <w:sz w:val="17"/>
          <w:szCs w:val="17"/>
        </w:rPr>
      </w:pPr>
      <w:r>
        <w:rPr>
          <w:rFonts w:ascii="DIN" w:hAnsi="DIN" w:cs="DIN"/>
          <w:b/>
          <w:bCs/>
          <w:color w:val="000000"/>
          <w:sz w:val="17"/>
          <w:szCs w:val="17"/>
        </w:rPr>
        <w:t xml:space="preserve">8.5.2 Description of Major Floating Aids </w:t>
      </w:r>
    </w:p>
    <w:p w14:paraId="122D1873" w14:textId="77777777" w:rsidR="00541A14" w:rsidRDefault="00A450E1">
      <w:pPr>
        <w:pStyle w:val="CM173"/>
        <w:spacing w:after="340" w:line="246" w:lineRule="atLeast"/>
        <w:ind w:left="477"/>
        <w:rPr>
          <w:rFonts w:ascii="DIN" w:hAnsi="DIN" w:cs="DIN"/>
          <w:color w:val="000000"/>
          <w:sz w:val="17"/>
          <w:szCs w:val="17"/>
        </w:rPr>
      </w:pPr>
      <w:r>
        <w:rPr>
          <w:rFonts w:ascii="DIN" w:hAnsi="DIN" w:cs="DIN"/>
          <w:color w:val="000000"/>
          <w:sz w:val="17"/>
          <w:szCs w:val="17"/>
        </w:rPr>
        <w:t xml:space="preserve">Major floating aids are generally deployed at critical locations, intended to mark approaches from offshore areas, where shipping traffic concentrations are high. It may provide a platform for other Aids to Navigation such as, Racon or AIS as an Aid to Navigation to assist marine navigation. </w:t>
      </w:r>
    </w:p>
    <w:p w14:paraId="670FA30E" w14:textId="77777777" w:rsidR="00541A14" w:rsidRDefault="00DD420F">
      <w:pPr>
        <w:pStyle w:val="Default"/>
        <w:rPr>
          <w:rFonts w:cs="Times New Roman"/>
          <w:color w:val="auto"/>
        </w:rPr>
      </w:pPr>
      <w:r>
        <w:rPr>
          <w:noProof/>
        </w:rPr>
        <mc:AlternateContent>
          <mc:Choice Requires="wps">
            <w:drawing>
              <wp:anchor distT="0" distB="0" distL="114300" distR="114300" simplePos="0" relativeHeight="251710464" behindDoc="0" locked="0" layoutInCell="0" allowOverlap="1" wp14:anchorId="214279BA" wp14:editId="0E448773">
                <wp:simplePos x="0" y="0"/>
                <wp:positionH relativeFrom="page">
                  <wp:posOffset>953770</wp:posOffset>
                </wp:positionH>
                <wp:positionV relativeFrom="page">
                  <wp:posOffset>5228590</wp:posOffset>
                </wp:positionV>
                <wp:extent cx="3211195" cy="1779270"/>
                <wp:effectExtent l="0" t="0" r="0" b="0"/>
                <wp:wrapThrough wrapText="bothSides">
                  <wp:wrapPolygon edited="0">
                    <wp:start x="0" y="0"/>
                    <wp:lineTo x="21600" y="0"/>
                    <wp:lineTo x="21600" y="21600"/>
                    <wp:lineTo x="0" y="21600"/>
                    <wp:lineTo x="0" y="0"/>
                  </wp:wrapPolygon>
                </wp:wrapThrough>
                <wp:docPr id="505"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1195" cy="1779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nil"/>
                                <w:left w:val="nil"/>
                                <w:bottom w:val="nil"/>
                                <w:right w:val="nil"/>
                              </w:tblBorders>
                              <w:tblLayout w:type="fixed"/>
                              <w:tblLook w:val="0000" w:firstRow="0" w:lastRow="0" w:firstColumn="0" w:lastColumn="0" w:noHBand="0" w:noVBand="0"/>
                            </w:tblPr>
                            <w:tblGrid>
                              <w:gridCol w:w="1417"/>
                              <w:gridCol w:w="2840"/>
                            </w:tblGrid>
                            <w:tr w:rsidR="00541A14" w14:paraId="1B1D826D" w14:textId="77777777">
                              <w:trPr>
                                <w:trHeight w:val="636"/>
                              </w:trPr>
                              <w:tc>
                                <w:tcPr>
                                  <w:tcW w:w="1417" w:type="dxa"/>
                                  <w:tcBorders>
                                    <w:top w:val="single" w:sz="2" w:space="0" w:color="EC1B22"/>
                                    <w:left w:val="single" w:sz="2" w:space="0" w:color="EC1B22"/>
                                    <w:bottom w:val="single" w:sz="2" w:space="0" w:color="EC1B22"/>
                                    <w:right w:val="single" w:sz="2" w:space="0" w:color="EC1B22"/>
                                  </w:tcBorders>
                                  <w:vAlign w:val="center"/>
                                </w:tcPr>
                                <w:p w14:paraId="74F59983" w14:textId="77777777" w:rsidR="00541A14" w:rsidRDefault="00A450E1">
                                  <w:pPr>
                                    <w:pStyle w:val="Default"/>
                                    <w:rPr>
                                      <w:rFonts w:ascii="DIN" w:hAnsi="DIN" w:cs="DIN"/>
                                      <w:sz w:val="17"/>
                                      <w:szCs w:val="17"/>
                                    </w:rPr>
                                  </w:pPr>
                                  <w:r>
                                    <w:rPr>
                                      <w:rFonts w:ascii="DIN" w:hAnsi="DIN" w:cs="DIN"/>
                                      <w:b/>
                                      <w:bCs/>
                                      <w:sz w:val="17"/>
                                      <w:szCs w:val="17"/>
                                    </w:rPr>
                                    <w:t xml:space="preserve">Colour Shape </w:t>
                                  </w:r>
                                </w:p>
                              </w:tc>
                              <w:tc>
                                <w:tcPr>
                                  <w:tcW w:w="2840" w:type="dxa"/>
                                  <w:tcBorders>
                                    <w:top w:val="single" w:sz="2" w:space="0" w:color="EC1B22"/>
                                    <w:left w:val="single" w:sz="2" w:space="0" w:color="EC1B22"/>
                                    <w:bottom w:val="single" w:sz="2" w:space="0" w:color="EC1B22"/>
                                    <w:right w:val="single" w:sz="2" w:space="0" w:color="EC1B22"/>
                                  </w:tcBorders>
                                </w:tcPr>
                                <w:p w14:paraId="0D0F32D3" w14:textId="77777777" w:rsidR="00541A14" w:rsidRDefault="00A450E1">
                                  <w:pPr>
                                    <w:pStyle w:val="Default"/>
                                    <w:rPr>
                                      <w:rFonts w:ascii="DIN" w:hAnsi="DIN" w:cs="DIN"/>
                                      <w:sz w:val="17"/>
                                      <w:szCs w:val="17"/>
                                    </w:rPr>
                                  </w:pPr>
                                  <w:r>
                                    <w:rPr>
                                      <w:rFonts w:ascii="DIN" w:hAnsi="DIN" w:cs="DIN"/>
                                      <w:b/>
                                      <w:bCs/>
                                      <w:color w:val="FFFFFF"/>
                                      <w:sz w:val="17"/>
                                      <w:szCs w:val="17"/>
                                    </w:rPr>
                                    <w:t xml:space="preserve">Description </w:t>
                                  </w:r>
                                  <w:r>
                                    <w:rPr>
                                      <w:rFonts w:ascii="DIN" w:hAnsi="DIN" w:cs="DIN"/>
                                      <w:sz w:val="17"/>
                                      <w:szCs w:val="17"/>
                                    </w:rPr>
                                    <w:t xml:space="preserve">As appropriate - predominantly red Vessel or buoy shape with light tower </w:t>
                                  </w:r>
                                </w:p>
                              </w:tc>
                            </w:tr>
                            <w:tr w:rsidR="00541A14" w14:paraId="55591E99" w14:textId="77777777">
                              <w:trPr>
                                <w:trHeight w:val="213"/>
                              </w:trPr>
                              <w:tc>
                                <w:tcPr>
                                  <w:tcW w:w="4257" w:type="dxa"/>
                                  <w:gridSpan w:val="2"/>
                                  <w:tcBorders>
                                    <w:top w:val="single" w:sz="2" w:space="0" w:color="EC1B22"/>
                                    <w:left w:val="single" w:sz="2" w:space="0" w:color="EC1B22"/>
                                    <w:bottom w:val="single" w:sz="2" w:space="0" w:color="EC1B22"/>
                                    <w:right w:val="single" w:sz="2" w:space="0" w:color="EC1B22"/>
                                  </w:tcBorders>
                                  <w:shd w:val="clear" w:color="auto" w:fill="FCE2D7"/>
                                  <w:vAlign w:val="center"/>
                                </w:tcPr>
                                <w:p w14:paraId="562144CC" w14:textId="77777777" w:rsidR="00541A14"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including off station lights </w:t>
                                  </w:r>
                                </w:p>
                              </w:tc>
                            </w:tr>
                            <w:tr w:rsidR="00541A14" w14:paraId="1FCC0FB3" w14:textId="77777777">
                              <w:trPr>
                                <w:trHeight w:val="386"/>
                              </w:trPr>
                              <w:tc>
                                <w:tcPr>
                                  <w:tcW w:w="1417" w:type="dxa"/>
                                  <w:tcBorders>
                                    <w:top w:val="single" w:sz="2" w:space="0" w:color="EC1B22"/>
                                    <w:left w:val="single" w:sz="2" w:space="0" w:color="EC1B22"/>
                                    <w:bottom w:val="single" w:sz="2" w:space="0" w:color="EC1B22"/>
                                    <w:right w:val="single" w:sz="2" w:space="0" w:color="EC1B22"/>
                                  </w:tcBorders>
                                  <w:vAlign w:val="center"/>
                                </w:tcPr>
                                <w:p w14:paraId="56F7C147" w14:textId="77777777" w:rsidR="00541A14" w:rsidRDefault="00A450E1">
                                  <w:pPr>
                                    <w:pStyle w:val="Default"/>
                                    <w:rPr>
                                      <w:rFonts w:ascii="DIN" w:hAnsi="DIN" w:cs="DIN"/>
                                      <w:sz w:val="17"/>
                                      <w:szCs w:val="17"/>
                                    </w:rPr>
                                  </w:pPr>
                                  <w:r>
                                    <w:rPr>
                                      <w:rFonts w:ascii="DIN" w:hAnsi="DIN" w:cs="DIN"/>
                                      <w:sz w:val="17"/>
                                      <w:szCs w:val="17"/>
                                    </w:rPr>
                                    <w:t xml:space="preserve">Colour Rhythm </w:t>
                                  </w:r>
                                </w:p>
                              </w:tc>
                              <w:tc>
                                <w:tcPr>
                                  <w:tcW w:w="2840" w:type="dxa"/>
                                  <w:tcBorders>
                                    <w:top w:val="single" w:sz="2" w:space="0" w:color="EC1B22"/>
                                    <w:left w:val="single" w:sz="2" w:space="0" w:color="EC1B22"/>
                                    <w:bottom w:val="single" w:sz="2" w:space="0" w:color="EC1B22"/>
                                    <w:right w:val="single" w:sz="2" w:space="0" w:color="EC1B22"/>
                                  </w:tcBorders>
                                  <w:vAlign w:val="center"/>
                                </w:tcPr>
                                <w:p w14:paraId="79BE97A2" w14:textId="77777777" w:rsidR="00541A14" w:rsidRDefault="00A450E1">
                                  <w:pPr>
                                    <w:pStyle w:val="Default"/>
                                    <w:rPr>
                                      <w:rFonts w:ascii="DIN" w:hAnsi="DIN" w:cs="DIN"/>
                                      <w:sz w:val="17"/>
                                      <w:szCs w:val="17"/>
                                    </w:rPr>
                                  </w:pPr>
                                  <w:r>
                                    <w:rPr>
                                      <w:rFonts w:ascii="DIN" w:hAnsi="DIN" w:cs="DIN"/>
                                      <w:sz w:val="17"/>
                                      <w:szCs w:val="17"/>
                                    </w:rPr>
                                    <w:t xml:space="preserve">As appropriate As appropriate </w:t>
                                  </w:r>
                                </w:p>
                              </w:tc>
                            </w:tr>
                          </w:tbl>
                          <w:p w14:paraId="3E9E4A8D" w14:textId="77777777" w:rsidR="00000000" w:rsidRDefault="009E3F2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 o:spid="_x0000_s1077" type="#_x0000_t202" style="position:absolute;margin-left:75.1pt;margin-top:411.7pt;width:252.85pt;height:140.1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" o:allowincell="f" filled="f" stroked="f">
                <v:textbox>
                  <w:txbxContent>
                    <w:tbl>
                      <w:tblPr>
                        <w:tblW w:w="0" w:type="auto"/>
                        <w:tblBorders>
                          <w:top w:val="nil"/>
                          <w:left w:val="nil"/>
                          <w:bottom w:val="nil"/>
                          <w:right w:val="nil"/>
                        </w:tblBorders>
                        <w:tblLayout w:type="fixed"/>
                        <w:tblLook w:val="0000" w:firstRow="0" w:lastRow="0" w:firstColumn="0" w:lastColumn="0" w:noHBand="0" w:noVBand="0"/>
                      </w:tblPr>
                      <w:tblGrid>
                        <w:gridCol w:w="1422"/>
                        <w:gridCol w:w="2847"/>
                      </w:tblGrid>
                      <w:tr w:rsidR="00000000" w14:paraId="1B1D826D" w14:textId="77777777">
                        <w:tblPrEx>
                          <w:tblCellMar>
                            <w:top w:w="0" w:type="dxa"/>
                            <w:bottom w:w="0" w:type="dxa"/>
                          </w:tblCellMar>
                        </w:tblPrEx>
                        <w:trPr>
                          <w:wAfter w:w="2414" w:type="dxa"/>
                          <w:trHeight w:val="636"/>
                        </w:trPr>
                        <w:tc>
                          <w:tcPr>
                            <w:tcW w:w="1417" w:type="dxa"/>
                            <w:tcBorders>
                              <w:top w:val="single" w:sz="2" w:space="0" w:color="EC1B22"/>
                              <w:left w:val="single" w:sz="2" w:space="0" w:color="EC1B22"/>
                              <w:bottom w:val="single" w:sz="2" w:space="0" w:color="EC1B22"/>
                              <w:right w:val="single" w:sz="2" w:space="0" w:color="EC1B22"/>
                            </w:tcBorders>
                            <w:vAlign w:val="center"/>
                          </w:tcPr>
                          <w:p w14:paraId="74F59983" w14:textId="77777777" w:rsidR="00000000" w:rsidRDefault="00A450E1">
                            <w:pPr>
                              <w:pStyle w:val="Default"/>
                              <w:rPr>
                                <w:rFonts w:ascii="DIN" w:hAnsi="DIN" w:cs="DIN"/>
                                <w:sz w:val="17"/>
                                <w:szCs w:val="17"/>
                              </w:rPr>
                            </w:pPr>
                            <w:r>
                              <w:rPr>
                                <w:rFonts w:ascii="DIN" w:hAnsi="DIN" w:cs="DIN"/>
                                <w:b/>
                                <w:bCs/>
                                <w:sz w:val="17"/>
                                <w:szCs w:val="17"/>
                              </w:rPr>
                              <w:t xml:space="preserve">Colour Shape </w:t>
                            </w:r>
                          </w:p>
                        </w:tc>
                        <w:tc>
                          <w:tcPr>
                            <w:tcW w:w="2840" w:type="dxa"/>
                            <w:tcBorders>
                              <w:top w:val="single" w:sz="2" w:space="0" w:color="EC1B22"/>
                              <w:left w:val="single" w:sz="2" w:space="0" w:color="EC1B22"/>
                              <w:bottom w:val="single" w:sz="2" w:space="0" w:color="EC1B22"/>
                              <w:right w:val="single" w:sz="2" w:space="0" w:color="EC1B22"/>
                            </w:tcBorders>
                          </w:tcPr>
                          <w:p w14:paraId="0D0F32D3" w14:textId="77777777" w:rsidR="00000000" w:rsidRDefault="00A450E1">
                            <w:pPr>
                              <w:pStyle w:val="Default"/>
                              <w:rPr>
                                <w:rFonts w:ascii="DIN" w:hAnsi="DIN" w:cs="DIN"/>
                                <w:sz w:val="17"/>
                                <w:szCs w:val="17"/>
                              </w:rPr>
                            </w:pPr>
                            <w:r>
                              <w:rPr>
                                <w:rFonts w:ascii="DIN" w:hAnsi="DIN" w:cs="DIN"/>
                                <w:b/>
                                <w:bCs/>
                                <w:color w:val="FFFFFF"/>
                                <w:sz w:val="17"/>
                                <w:szCs w:val="17"/>
                              </w:rPr>
                              <w:t xml:space="preserve">Description </w:t>
                            </w:r>
                            <w:r>
                              <w:rPr>
                                <w:rFonts w:ascii="DIN" w:hAnsi="DIN" w:cs="DIN"/>
                                <w:sz w:val="17"/>
                                <w:szCs w:val="17"/>
                              </w:rPr>
                              <w:t xml:space="preserve">As appropriate - predominantly red Vessel or buoy shape with light tower </w:t>
                            </w:r>
                          </w:p>
                        </w:tc>
                      </w:tr>
                      <w:tr w:rsidR="00000000" w14:paraId="55591E99" w14:textId="77777777">
                        <w:tblPrEx>
                          <w:tblCellMar>
                            <w:top w:w="0" w:type="dxa"/>
                            <w:bottom w:w="0" w:type="dxa"/>
                          </w:tblCellMar>
                        </w:tblPrEx>
                        <w:trPr>
                          <w:wAfter w:w="2414" w:type="dxa"/>
                          <w:trHeight w:val="213"/>
                        </w:trPr>
                        <w:tc>
                          <w:tcPr>
                            <w:tcW w:w="4257" w:type="dxa"/>
                            <w:gridSpan w:val="2"/>
                            <w:tcBorders>
                              <w:top w:val="single" w:sz="2" w:space="0" w:color="EC1B22"/>
                              <w:left w:val="single" w:sz="2" w:space="0" w:color="EC1B22"/>
                              <w:bottom w:val="single" w:sz="2" w:space="0" w:color="EC1B22"/>
                              <w:right w:val="single" w:sz="2" w:space="0" w:color="EC1B22"/>
                            </w:tcBorders>
                            <w:shd w:val="clear" w:color="auto" w:fill="FCE2D7"/>
                            <w:vAlign w:val="center"/>
                          </w:tcPr>
                          <w:p w14:paraId="562144CC" w14:textId="77777777" w:rsidR="00000000" w:rsidRDefault="00A450E1">
                            <w:pPr>
                              <w:pStyle w:val="Default"/>
                              <w:rPr>
                                <w:rFonts w:ascii="DIN" w:hAnsi="DIN" w:cs="DIN"/>
                                <w:sz w:val="17"/>
                                <w:szCs w:val="17"/>
                              </w:rPr>
                            </w:pPr>
                            <w:r>
                              <w:rPr>
                                <w:rFonts w:ascii="DIN" w:hAnsi="DIN" w:cs="DIN"/>
                                <w:b/>
                                <w:bCs/>
                                <w:sz w:val="17"/>
                                <w:szCs w:val="17"/>
                              </w:rPr>
                              <w:t xml:space="preserve">Light </w:t>
                            </w:r>
                            <w:r>
                              <w:rPr>
                                <w:rFonts w:ascii="DIN" w:hAnsi="DIN" w:cs="DIN"/>
                                <w:sz w:val="17"/>
                                <w:szCs w:val="17"/>
                              </w:rPr>
                              <w:t xml:space="preserve">(when fitted) including off station lights </w:t>
                            </w:r>
                          </w:p>
                        </w:tc>
                      </w:tr>
                      <w:tr w:rsidR="00000000" w14:paraId="1FCC0FB3" w14:textId="77777777">
                        <w:tblPrEx>
                          <w:tblCellMar>
                            <w:top w:w="0" w:type="dxa"/>
                            <w:bottom w:w="0" w:type="dxa"/>
                          </w:tblCellMar>
                        </w:tblPrEx>
                        <w:trPr>
                          <w:wAfter w:w="2414" w:type="dxa"/>
                          <w:trHeight w:val="386"/>
                        </w:trPr>
                        <w:tc>
                          <w:tcPr>
                            <w:tcW w:w="1417" w:type="dxa"/>
                            <w:tcBorders>
                              <w:top w:val="single" w:sz="2" w:space="0" w:color="EC1B22"/>
                              <w:left w:val="single" w:sz="2" w:space="0" w:color="EC1B22"/>
                              <w:bottom w:val="single" w:sz="2" w:space="0" w:color="EC1B22"/>
                              <w:right w:val="single" w:sz="2" w:space="0" w:color="EC1B22"/>
                            </w:tcBorders>
                            <w:vAlign w:val="center"/>
                          </w:tcPr>
                          <w:p w14:paraId="56F7C147" w14:textId="77777777" w:rsidR="00000000" w:rsidRDefault="00A450E1">
                            <w:pPr>
                              <w:pStyle w:val="Default"/>
                              <w:rPr>
                                <w:rFonts w:ascii="DIN" w:hAnsi="DIN" w:cs="DIN"/>
                                <w:sz w:val="17"/>
                                <w:szCs w:val="17"/>
                              </w:rPr>
                            </w:pPr>
                            <w:r>
                              <w:rPr>
                                <w:rFonts w:ascii="DIN" w:hAnsi="DIN" w:cs="DIN"/>
                                <w:sz w:val="17"/>
                                <w:szCs w:val="17"/>
                              </w:rPr>
                              <w:t xml:space="preserve">Colour Rhythm </w:t>
                            </w:r>
                          </w:p>
                        </w:tc>
                        <w:tc>
                          <w:tcPr>
                            <w:tcW w:w="2840" w:type="dxa"/>
                            <w:tcBorders>
                              <w:top w:val="single" w:sz="2" w:space="0" w:color="EC1B22"/>
                              <w:left w:val="single" w:sz="2" w:space="0" w:color="EC1B22"/>
                              <w:bottom w:val="single" w:sz="2" w:space="0" w:color="EC1B22"/>
                              <w:right w:val="single" w:sz="2" w:space="0" w:color="EC1B22"/>
                            </w:tcBorders>
                            <w:vAlign w:val="center"/>
                          </w:tcPr>
                          <w:p w14:paraId="79BE97A2" w14:textId="77777777" w:rsidR="00000000" w:rsidRDefault="00A450E1">
                            <w:pPr>
                              <w:pStyle w:val="Default"/>
                              <w:rPr>
                                <w:rFonts w:ascii="DIN" w:hAnsi="DIN" w:cs="DIN"/>
                                <w:sz w:val="17"/>
                                <w:szCs w:val="17"/>
                              </w:rPr>
                            </w:pPr>
                            <w:r>
                              <w:rPr>
                                <w:rFonts w:ascii="DIN" w:hAnsi="DIN" w:cs="DIN"/>
                                <w:sz w:val="17"/>
                                <w:szCs w:val="17"/>
                              </w:rPr>
                              <w:t xml:space="preserve">As appropriate As appropriate </w:t>
                            </w:r>
                          </w:p>
                        </w:tc>
                      </w:tr>
                    </w:tbl>
                  </w:txbxContent>
                </v:textbox>
                <w10:wrap type="through" anchorx="page" anchory="page"/>
              </v:shape>
            </w:pict>
          </mc:Fallback>
        </mc:AlternateContent>
      </w:r>
    </w:p>
    <w:p w14:paraId="5DEF4187" w14:textId="77777777" w:rsidR="00541A14" w:rsidRDefault="00A450E1">
      <w:pPr>
        <w:pStyle w:val="CM1"/>
        <w:spacing w:after="4180"/>
        <w:jc w:val="center"/>
        <w:rPr>
          <w:rFonts w:ascii="DIN" w:hAnsi="DIN" w:cs="DIN"/>
          <w:color w:val="EC1B22"/>
          <w:sz w:val="17"/>
          <w:szCs w:val="17"/>
        </w:rPr>
      </w:pPr>
      <w:r>
        <w:rPr>
          <w:rFonts w:ascii="DIN" w:hAnsi="DIN" w:cs="DIN"/>
          <w:b/>
          <w:bCs/>
          <w:color w:val="EC1B22"/>
          <w:sz w:val="17"/>
          <w:szCs w:val="17"/>
        </w:rPr>
        <w:t xml:space="preserve">8.6 Auxiliary Marks </w:t>
      </w:r>
    </w:p>
    <w:p w14:paraId="3EB1B208" w14:textId="77777777" w:rsidR="00541A14" w:rsidRDefault="00A450E1">
      <w:pPr>
        <w:pStyle w:val="CM165"/>
        <w:spacing w:after="85" w:line="251" w:lineRule="atLeast"/>
        <w:rPr>
          <w:rFonts w:ascii="DIN" w:hAnsi="DIN" w:cs="DIN"/>
          <w:color w:val="000000"/>
          <w:sz w:val="17"/>
          <w:szCs w:val="17"/>
        </w:rPr>
      </w:pPr>
      <w:r>
        <w:rPr>
          <w:rFonts w:ascii="DIN" w:hAnsi="DIN" w:cs="DIN"/>
          <w:b/>
          <w:bCs/>
          <w:color w:val="000000"/>
          <w:sz w:val="17"/>
          <w:szCs w:val="17"/>
        </w:rPr>
        <w:t xml:space="preserve">8.6.1 Definition of Auxiliary Marks </w:t>
      </w:r>
    </w:p>
    <w:p w14:paraId="4207BC84" w14:textId="77777777" w:rsidR="00541A14" w:rsidRDefault="00A450E1">
      <w:pPr>
        <w:pStyle w:val="CM173"/>
        <w:spacing w:after="340" w:line="246" w:lineRule="atLeast"/>
        <w:ind w:left="477"/>
        <w:rPr>
          <w:rFonts w:ascii="DIN" w:hAnsi="DIN" w:cs="DIN"/>
          <w:color w:val="000000"/>
          <w:sz w:val="17"/>
          <w:szCs w:val="17"/>
        </w:rPr>
      </w:pPr>
      <w:r>
        <w:rPr>
          <w:rFonts w:ascii="DIN" w:hAnsi="DIN" w:cs="DIN"/>
          <w:color w:val="000000"/>
          <w:sz w:val="17"/>
          <w:szCs w:val="17"/>
        </w:rPr>
        <w:t xml:space="preserve">Minor aids that have not been previously described. </w:t>
      </w:r>
    </w:p>
    <w:p w14:paraId="3DD7E51A" w14:textId="77777777" w:rsidR="00541A14" w:rsidRDefault="00A450E1">
      <w:pPr>
        <w:pStyle w:val="CM165"/>
        <w:spacing w:after="85" w:line="251" w:lineRule="atLeast"/>
        <w:rPr>
          <w:rFonts w:ascii="DIN" w:hAnsi="DIN" w:cs="DIN"/>
          <w:color w:val="000000"/>
          <w:sz w:val="17"/>
          <w:szCs w:val="17"/>
        </w:rPr>
      </w:pPr>
      <w:r>
        <w:rPr>
          <w:rFonts w:ascii="DIN" w:hAnsi="DIN" w:cs="DIN"/>
          <w:b/>
          <w:bCs/>
          <w:color w:val="000000"/>
          <w:sz w:val="17"/>
          <w:szCs w:val="17"/>
        </w:rPr>
        <w:t xml:space="preserve">8.6.2 Description of Auxiliary Marks </w:t>
      </w:r>
    </w:p>
    <w:p w14:paraId="1E7CE56C" w14:textId="77777777" w:rsidR="00541A14" w:rsidRDefault="00A450E1">
      <w:pPr>
        <w:pStyle w:val="CM174"/>
        <w:spacing w:after="437" w:line="246" w:lineRule="atLeast"/>
        <w:ind w:left="477"/>
        <w:rPr>
          <w:rFonts w:ascii="DIN" w:hAnsi="DIN" w:cs="DIN"/>
          <w:color w:val="000000"/>
          <w:sz w:val="17"/>
          <w:szCs w:val="17"/>
        </w:rPr>
      </w:pPr>
      <w:r>
        <w:rPr>
          <w:rFonts w:ascii="DIN" w:hAnsi="DIN" w:cs="DIN"/>
          <w:color w:val="000000"/>
          <w:sz w:val="17"/>
          <w:szCs w:val="17"/>
        </w:rPr>
        <w:t xml:space="preserve">These marks are usually outside of defined channels and generally do not indicate the port and starboard sides of the route to be followed or obstructions to be avoided. They also include those marks used to convey information related to navigation safety. These marks shall not conflict with other navigational marks and shall be promulgated in appropriate nautical charts and documents. Should not generally be used if a more appropriate mark is available within the MBS. </w:t>
      </w:r>
    </w:p>
    <w:p w14:paraId="387A24F2" w14:textId="77777777" w:rsidR="00541A14" w:rsidRDefault="00DD420F">
      <w:pPr>
        <w:pStyle w:val="Default"/>
        <w:framePr w:w="13090" w:wrap="auto" w:vAnchor="page" w:hAnchor="page" w:x="101" w:y="14255"/>
        <w:spacing w:after="220"/>
        <w:rPr>
          <w:rFonts w:ascii="DIN" w:hAnsi="DIN" w:cs="DIN"/>
          <w:sz w:val="17"/>
          <w:szCs w:val="17"/>
        </w:rPr>
      </w:pPr>
      <w:r>
        <w:rPr>
          <w:rFonts w:ascii="DIN" w:hAnsi="DIN" w:cs="DIN"/>
          <w:noProof/>
          <w:sz w:val="17"/>
          <w:szCs w:val="17"/>
        </w:rPr>
        <w:drawing>
          <wp:inline distT="0" distB="0" distL="0" distR="0" wp14:anchorId="760D0710" wp14:editId="6CD4EB2B">
            <wp:extent cx="7417435" cy="3032760"/>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7417435" cy="3032760"/>
                    </a:xfrm>
                    <a:prstGeom prst="rect">
                      <a:avLst/>
                    </a:prstGeom>
                    <a:noFill/>
                    <a:ln>
                      <a:noFill/>
                    </a:ln>
                  </pic:spPr>
                </pic:pic>
              </a:graphicData>
            </a:graphic>
          </wp:inline>
        </w:drawing>
      </w:r>
    </w:p>
    <w:p w14:paraId="40E8210B" w14:textId="77777777" w:rsidR="00541A14" w:rsidRDefault="00DD420F">
      <w:pPr>
        <w:pStyle w:val="Default"/>
        <w:framePr w:w="10739" w:wrap="auto" w:vAnchor="page" w:hAnchor="page" w:x="1434" w:y="16318"/>
        <w:rPr>
          <w:rFonts w:ascii="DIN" w:hAnsi="DIN" w:cs="DIN"/>
          <w:sz w:val="17"/>
          <w:szCs w:val="17"/>
        </w:rPr>
      </w:pPr>
      <w:r>
        <w:rPr>
          <w:rFonts w:ascii="DIN" w:hAnsi="DIN" w:cs="DIN"/>
          <w:noProof/>
          <w:sz w:val="17"/>
          <w:szCs w:val="17"/>
        </w:rPr>
        <w:drawing>
          <wp:inline distT="0" distB="0" distL="0" distR="0" wp14:anchorId="3F4EC24A" wp14:editId="4B80597D">
            <wp:extent cx="7542530" cy="391795"/>
            <wp:effectExtent l="0" t="0" r="127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244887A0" w14:textId="77777777" w:rsidR="00541A14" w:rsidRDefault="00DD420F">
      <w:pPr>
        <w:pStyle w:val="Default"/>
        <w:pageBreakBefore/>
        <w:framePr w:w="1323" w:wrap="auto" w:vAnchor="page" w:hAnchor="page" w:x="5669" w:y="15269"/>
        <w:rPr>
          <w:rFonts w:ascii="DIN" w:hAnsi="DIN" w:cs="DIN"/>
          <w:sz w:val="17"/>
          <w:szCs w:val="17"/>
        </w:rPr>
      </w:pPr>
      <w:r>
        <w:rPr>
          <w:rFonts w:ascii="DIN" w:hAnsi="DIN" w:cs="DIN"/>
          <w:noProof/>
          <w:sz w:val="17"/>
          <w:szCs w:val="17"/>
        </w:rPr>
        <w:drawing>
          <wp:inline distT="0" distB="0" distL="0" distR="0" wp14:anchorId="15F5EAA0" wp14:editId="1636CA47">
            <wp:extent cx="11430" cy="22860"/>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11430" cy="22860"/>
                    </a:xfrm>
                    <a:prstGeom prst="rect">
                      <a:avLst/>
                    </a:prstGeom>
                    <a:noFill/>
                    <a:ln>
                      <a:noFill/>
                    </a:ln>
                  </pic:spPr>
                </pic:pic>
              </a:graphicData>
            </a:graphic>
          </wp:inline>
        </w:drawing>
      </w:r>
    </w:p>
    <w:p w14:paraId="0D87DCCB" w14:textId="77777777" w:rsidR="00541A14" w:rsidRDefault="00DD420F">
      <w:pPr>
        <w:pStyle w:val="Default"/>
        <w:framePr w:w="829" w:wrap="auto" w:vAnchor="page" w:hAnchor="page" w:x="6150" w:y="15302"/>
        <w:spacing w:after="120"/>
        <w:rPr>
          <w:rFonts w:ascii="DIN" w:hAnsi="DIN" w:cs="DIN"/>
          <w:sz w:val="17"/>
          <w:szCs w:val="17"/>
        </w:rPr>
      </w:pPr>
      <w:r>
        <w:rPr>
          <w:rFonts w:ascii="DIN" w:hAnsi="DIN" w:cs="DIN"/>
          <w:noProof/>
          <w:sz w:val="17"/>
          <w:szCs w:val="17"/>
        </w:rPr>
        <w:drawing>
          <wp:inline distT="0" distB="0" distL="0" distR="0" wp14:anchorId="4EFACA94" wp14:editId="063A5FDE">
            <wp:extent cx="11430" cy="22860"/>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11430" cy="22860"/>
                    </a:xfrm>
                    <a:prstGeom prst="rect">
                      <a:avLst/>
                    </a:prstGeom>
                    <a:noFill/>
                    <a:ln>
                      <a:noFill/>
                    </a:ln>
                  </pic:spPr>
                </pic:pic>
              </a:graphicData>
            </a:graphic>
          </wp:inline>
        </w:drawing>
      </w:r>
    </w:p>
    <w:p w14:paraId="302E1F27" w14:textId="77777777" w:rsidR="00541A14" w:rsidRDefault="00541A14">
      <w:pPr>
        <w:pStyle w:val="Default"/>
        <w:rPr>
          <w:rFonts w:cs="Times New Roman"/>
          <w:color w:val="auto"/>
        </w:rPr>
        <w:sectPr w:rsidR="00541A14">
          <w:type w:val="continuous"/>
          <w:pgSz w:w="11905" w:h="17337"/>
          <w:pgMar w:top="1400" w:right="900" w:bottom="0" w:left="900" w:header="720" w:footer="720" w:gutter="0"/>
          <w:cols w:space="720"/>
          <w:noEndnote/>
        </w:sectPr>
      </w:pPr>
    </w:p>
    <w:p w14:paraId="746DF8FA" w14:textId="77777777" w:rsidR="00541A14" w:rsidRDefault="00A450E1">
      <w:pPr>
        <w:pStyle w:val="Default"/>
        <w:jc w:val="both"/>
        <w:rPr>
          <w:rFonts w:ascii="DIN" w:hAnsi="DIN" w:cs="DIN"/>
          <w:color w:val="auto"/>
          <w:sz w:val="15"/>
          <w:szCs w:val="15"/>
        </w:rPr>
      </w:pPr>
      <w:r>
        <w:rPr>
          <w:rFonts w:ascii="DIN" w:hAnsi="DIN" w:cs="DIN"/>
          <w:color w:val="auto"/>
          <w:sz w:val="15"/>
          <w:szCs w:val="15"/>
        </w:rPr>
        <w:t xml:space="preserve">Maritime Buoyage System </w:t>
      </w:r>
    </w:p>
    <w:p w14:paraId="39F5788B" w14:textId="77777777" w:rsidR="00541A14" w:rsidRDefault="00A450E1">
      <w:pPr>
        <w:pStyle w:val="CM172"/>
        <w:spacing w:after="202"/>
        <w:jc w:val="both"/>
        <w:rPr>
          <w:rFonts w:ascii="DIN" w:hAnsi="DIN" w:cs="DIN"/>
          <w:color w:val="EC1B22"/>
          <w:sz w:val="15"/>
          <w:szCs w:val="15"/>
        </w:rPr>
      </w:pPr>
      <w:r>
        <w:rPr>
          <w:rFonts w:ascii="DIN" w:hAnsi="DIN" w:cs="DIN"/>
          <w:color w:val="EC1B22"/>
          <w:sz w:val="15"/>
          <w:szCs w:val="15"/>
        </w:rPr>
        <w:t xml:space="preserve">Region A </w:t>
      </w:r>
    </w:p>
    <w:p w14:paraId="191E51BA" w14:textId="77777777" w:rsidR="00541A14" w:rsidRDefault="00A450E1">
      <w:pPr>
        <w:pStyle w:val="CM174"/>
        <w:spacing w:after="437"/>
        <w:ind w:left="4890"/>
        <w:rPr>
          <w:rFonts w:ascii="DIN" w:hAnsi="DIN" w:cs="DIN"/>
          <w:color w:val="6B6D6F"/>
          <w:sz w:val="47"/>
          <w:szCs w:val="47"/>
        </w:rPr>
      </w:pPr>
      <w:r>
        <w:rPr>
          <w:rFonts w:ascii="DIN" w:hAnsi="DIN" w:cs="DIN"/>
          <w:color w:val="6B6D6F"/>
          <w:sz w:val="47"/>
          <w:szCs w:val="47"/>
        </w:rPr>
        <w:t xml:space="preserve">22 </w:t>
      </w:r>
    </w:p>
    <w:p w14:paraId="3B320F42" w14:textId="77777777" w:rsidR="00541A14" w:rsidRDefault="00DD420F">
      <w:pPr>
        <w:pStyle w:val="Default"/>
        <w:framePr w:w="10730" w:wrap="auto" w:vAnchor="page" w:hAnchor="page" w:x="608" w:y="16318"/>
        <w:rPr>
          <w:rFonts w:ascii="DIN" w:hAnsi="DIN" w:cs="DIN"/>
          <w:color w:val="6B6D6F"/>
          <w:sz w:val="47"/>
          <w:szCs w:val="47"/>
        </w:rPr>
      </w:pPr>
      <w:r>
        <w:rPr>
          <w:rFonts w:ascii="DIN" w:hAnsi="DIN" w:cs="DIN"/>
          <w:noProof/>
          <w:color w:val="6B6D6F"/>
          <w:sz w:val="47"/>
          <w:szCs w:val="47"/>
        </w:rPr>
        <w:drawing>
          <wp:inline distT="0" distB="0" distL="0" distR="0" wp14:anchorId="087C81CC" wp14:editId="2B8C20CA">
            <wp:extent cx="7553960" cy="39179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0A8023C8" w14:textId="77777777" w:rsidR="00541A14" w:rsidRDefault="00DD420F">
      <w:pPr>
        <w:pStyle w:val="Default"/>
        <w:pageBreakBefore/>
        <w:framePr w:w="1322" w:wrap="auto" w:vAnchor="page" w:hAnchor="page" w:x="5636" w:y="15305"/>
        <w:rPr>
          <w:rFonts w:ascii="DIN" w:hAnsi="DIN" w:cs="DIN"/>
          <w:color w:val="6B6D6F"/>
          <w:sz w:val="47"/>
          <w:szCs w:val="47"/>
        </w:rPr>
      </w:pPr>
      <w:r>
        <w:rPr>
          <w:rFonts w:ascii="DIN" w:hAnsi="DIN" w:cs="DIN"/>
          <w:noProof/>
          <w:color w:val="6B6D6F"/>
          <w:sz w:val="47"/>
          <w:szCs w:val="47"/>
        </w:rPr>
        <w:drawing>
          <wp:inline distT="0" distB="0" distL="0" distR="0" wp14:anchorId="39D2A945" wp14:editId="61B48545">
            <wp:extent cx="11430" cy="1143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70E96A19" w14:textId="77777777" w:rsidR="00541A14" w:rsidRDefault="00DD420F">
      <w:pPr>
        <w:pStyle w:val="Default"/>
        <w:framePr w:w="829" w:wrap="auto" w:vAnchor="page" w:hAnchor="page" w:x="6117" w:y="15338"/>
        <w:spacing w:after="340"/>
        <w:rPr>
          <w:rFonts w:ascii="DIN" w:hAnsi="DIN" w:cs="DIN"/>
          <w:color w:val="6B6D6F"/>
          <w:sz w:val="47"/>
          <w:szCs w:val="47"/>
        </w:rPr>
      </w:pPr>
      <w:r>
        <w:rPr>
          <w:rFonts w:ascii="DIN" w:hAnsi="DIN" w:cs="DIN"/>
          <w:noProof/>
          <w:color w:val="6B6D6F"/>
          <w:sz w:val="47"/>
          <w:szCs w:val="47"/>
        </w:rPr>
        <w:drawing>
          <wp:inline distT="0" distB="0" distL="0" distR="0" wp14:anchorId="656993A9" wp14:editId="1E52B44E">
            <wp:extent cx="11430" cy="11430"/>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1430" cy="11430"/>
                    </a:xfrm>
                    <a:prstGeom prst="rect">
                      <a:avLst/>
                    </a:prstGeom>
                    <a:noFill/>
                    <a:ln>
                      <a:noFill/>
                    </a:ln>
                  </pic:spPr>
                </pic:pic>
              </a:graphicData>
            </a:graphic>
          </wp:inline>
        </w:drawing>
      </w:r>
    </w:p>
    <w:p w14:paraId="459834FF" w14:textId="77777777" w:rsidR="00541A14" w:rsidRDefault="00DD420F">
      <w:pPr>
        <w:pStyle w:val="CM195"/>
        <w:spacing w:after="353"/>
        <w:rPr>
          <w:rFonts w:ascii="DIN" w:hAnsi="DIN" w:cs="DIN"/>
          <w:color w:val="000000"/>
          <w:sz w:val="15"/>
          <w:szCs w:val="15"/>
        </w:rPr>
      </w:pPr>
      <w:r>
        <w:rPr>
          <w:rFonts w:ascii="DIN" w:hAnsi="DIN" w:cs="DIN"/>
          <w:noProof/>
          <w:color w:val="6B6D6F"/>
          <w:sz w:val="47"/>
          <w:szCs w:val="47"/>
        </w:rPr>
        <w:drawing>
          <wp:inline distT="0" distB="0" distL="0" distR="0" wp14:anchorId="65DBDC1E" wp14:editId="3E984530">
            <wp:extent cx="318135" cy="227330"/>
            <wp:effectExtent l="0" t="0" r="12065" b="127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318135" cy="227330"/>
                    </a:xfrm>
                    <a:prstGeom prst="rect">
                      <a:avLst/>
                    </a:prstGeom>
                    <a:noFill/>
                    <a:ln>
                      <a:noFill/>
                    </a:ln>
                  </pic:spPr>
                </pic:pic>
              </a:graphicData>
            </a:graphic>
          </wp:inline>
        </w:drawing>
      </w:r>
      <w:r w:rsidR="00A450E1">
        <w:rPr>
          <w:rFonts w:ascii="DIN" w:hAnsi="DIN" w:cs="DIN"/>
          <w:color w:val="000000"/>
          <w:sz w:val="15"/>
          <w:szCs w:val="15"/>
        </w:rPr>
        <w:t xml:space="preserve">Maritime Buoyage System </w:t>
      </w:r>
    </w:p>
    <w:p w14:paraId="7B35F479" w14:textId="77777777" w:rsidR="00541A14" w:rsidRDefault="00A450E1">
      <w:pPr>
        <w:pStyle w:val="CM174"/>
        <w:spacing w:after="437"/>
        <w:ind w:left="4747"/>
        <w:rPr>
          <w:rFonts w:ascii="DIN" w:hAnsi="DIN" w:cs="DIN"/>
          <w:color w:val="EC1B22"/>
          <w:sz w:val="15"/>
          <w:szCs w:val="15"/>
        </w:rPr>
      </w:pPr>
      <w:r>
        <w:rPr>
          <w:rFonts w:ascii="DIN" w:hAnsi="DIN" w:cs="DIN"/>
          <w:color w:val="EC1B22"/>
          <w:sz w:val="15"/>
          <w:szCs w:val="15"/>
        </w:rPr>
        <w:t xml:space="preserve">Region B </w:t>
      </w:r>
    </w:p>
    <w:p w14:paraId="5FF0BDFE" w14:textId="77777777" w:rsidR="00541A14" w:rsidRDefault="00DD420F">
      <w:pPr>
        <w:pStyle w:val="Default"/>
        <w:framePr w:w="10739" w:wrap="auto" w:vAnchor="page" w:hAnchor="page" w:x="1434" w:y="16318"/>
        <w:rPr>
          <w:rFonts w:ascii="DIN" w:hAnsi="DIN" w:cs="DIN"/>
          <w:color w:val="EC1B22"/>
          <w:sz w:val="15"/>
          <w:szCs w:val="15"/>
        </w:rPr>
      </w:pPr>
      <w:r>
        <w:rPr>
          <w:rFonts w:ascii="DIN" w:hAnsi="DIN" w:cs="DIN"/>
          <w:noProof/>
          <w:color w:val="EC1B22"/>
          <w:sz w:val="15"/>
          <w:szCs w:val="15"/>
        </w:rPr>
        <w:drawing>
          <wp:inline distT="0" distB="0" distL="0" distR="0" wp14:anchorId="72A3178E" wp14:editId="75CB899C">
            <wp:extent cx="7542530" cy="391795"/>
            <wp:effectExtent l="0" t="0" r="127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7542530" cy="391795"/>
                    </a:xfrm>
                    <a:prstGeom prst="rect">
                      <a:avLst/>
                    </a:prstGeom>
                    <a:noFill/>
                    <a:ln>
                      <a:noFill/>
                    </a:ln>
                  </pic:spPr>
                </pic:pic>
              </a:graphicData>
            </a:graphic>
          </wp:inline>
        </w:drawing>
      </w:r>
    </w:p>
    <w:p w14:paraId="31B592D0" w14:textId="77777777" w:rsidR="00541A14" w:rsidRDefault="00DD420F">
      <w:pPr>
        <w:pStyle w:val="Default"/>
        <w:pageBreakBefore/>
        <w:framePr w:w="10730" w:wrap="auto" w:vAnchor="page" w:hAnchor="page" w:x="608" w:y="16318"/>
        <w:rPr>
          <w:rFonts w:ascii="DIN" w:hAnsi="DIN" w:cs="DIN"/>
          <w:color w:val="EC1B22"/>
          <w:sz w:val="15"/>
          <w:szCs w:val="15"/>
        </w:rPr>
      </w:pPr>
      <w:r>
        <w:rPr>
          <w:rFonts w:ascii="DIN" w:hAnsi="DIN" w:cs="DIN"/>
          <w:noProof/>
          <w:color w:val="EC1B22"/>
          <w:sz w:val="15"/>
          <w:szCs w:val="15"/>
        </w:rPr>
        <w:drawing>
          <wp:inline distT="0" distB="0" distL="0" distR="0" wp14:anchorId="1C6B1C96" wp14:editId="54346428">
            <wp:extent cx="7553960" cy="39179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1DCE11BA" w14:textId="77777777" w:rsidR="00541A14" w:rsidRDefault="00DD420F">
      <w:pPr>
        <w:pStyle w:val="Default"/>
        <w:pageBreakBefore/>
        <w:framePr w:w="12700" w:wrap="auto" w:vAnchor="page" w:hAnchor="page" w:x="10" w:y="1"/>
        <w:spacing w:after="440"/>
        <w:rPr>
          <w:rFonts w:ascii="DIN" w:hAnsi="DIN" w:cs="DIN"/>
          <w:color w:val="EC1B22"/>
          <w:sz w:val="15"/>
          <w:szCs w:val="15"/>
        </w:rPr>
      </w:pPr>
      <w:r>
        <w:rPr>
          <w:rFonts w:ascii="DIN" w:hAnsi="DIN" w:cs="DIN"/>
          <w:noProof/>
          <w:color w:val="EC1B22"/>
          <w:sz w:val="15"/>
          <w:szCs w:val="15"/>
        </w:rPr>
        <w:drawing>
          <wp:inline distT="0" distB="0" distL="0" distR="0" wp14:anchorId="78F33F2D" wp14:editId="26CB89BA">
            <wp:extent cx="7542530" cy="2095500"/>
            <wp:effectExtent l="0" t="0" r="1270" b="1270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7542530" cy="2095500"/>
                    </a:xfrm>
                    <a:prstGeom prst="rect">
                      <a:avLst/>
                    </a:prstGeom>
                    <a:noFill/>
                    <a:ln>
                      <a:noFill/>
                    </a:ln>
                  </pic:spPr>
                </pic:pic>
              </a:graphicData>
            </a:graphic>
          </wp:inline>
        </w:drawing>
      </w:r>
    </w:p>
    <w:p w14:paraId="058AD016" w14:textId="77777777" w:rsidR="00541A14" w:rsidRDefault="00541A14">
      <w:pPr>
        <w:pStyle w:val="Default"/>
        <w:rPr>
          <w:rFonts w:cs="Times New Roman"/>
          <w:color w:val="auto"/>
        </w:rPr>
        <w:sectPr w:rsidR="00541A14">
          <w:type w:val="continuous"/>
          <w:pgSz w:w="11905" w:h="17337"/>
          <w:pgMar w:top="1400" w:right="900" w:bottom="0" w:left="900" w:header="720" w:footer="720" w:gutter="0"/>
          <w:cols w:num="2" w:space="720" w:equalWidth="0">
            <w:col w:w="1803" w:space="331"/>
            <w:col w:w="615"/>
          </w:cols>
          <w:noEndnote/>
        </w:sectPr>
      </w:pPr>
    </w:p>
    <w:p w14:paraId="395D825B" w14:textId="77777777" w:rsidR="00541A14" w:rsidRDefault="00A450E1">
      <w:pPr>
        <w:pStyle w:val="Default"/>
        <w:spacing w:after="353" w:line="353" w:lineRule="atLeast"/>
        <w:jc w:val="both"/>
        <w:rPr>
          <w:rFonts w:ascii="Palatino" w:hAnsi="Palatino" w:cs="Palatino"/>
          <w:sz w:val="18"/>
          <w:szCs w:val="18"/>
        </w:rPr>
      </w:pPr>
      <w:r>
        <w:rPr>
          <w:rFonts w:ascii="Palatino" w:hAnsi="Palatino" w:cs="Palatino"/>
          <w:sz w:val="18"/>
          <w:szCs w:val="18"/>
        </w:rPr>
        <w:t xml:space="preserve">Table 1 – Minimum Maritime User Requirements </w:t>
      </w:r>
    </w:p>
    <w:p w14:paraId="535EB6E6" w14:textId="77777777" w:rsidR="00541A14" w:rsidRDefault="00A450E1">
      <w:pPr>
        <w:pStyle w:val="CM195"/>
        <w:spacing w:after="353" w:line="360" w:lineRule="atLeast"/>
        <w:ind w:firstLine="8810"/>
        <w:jc w:val="both"/>
        <w:rPr>
          <w:rFonts w:ascii="Palatino" w:hAnsi="Palatino" w:cs="Palatino"/>
          <w:color w:val="000000"/>
          <w:sz w:val="18"/>
          <w:szCs w:val="18"/>
        </w:rPr>
      </w:pPr>
      <w:r>
        <w:rPr>
          <w:rFonts w:ascii="Palatino" w:hAnsi="Palatino" w:cs="Palatino"/>
          <w:color w:val="000000"/>
          <w:sz w:val="18"/>
          <w:szCs w:val="18"/>
        </w:rPr>
        <w:t xml:space="preserve">16 Table 2 – Accuracy of Some Position-Fixing Processes and Systems 21 Table 3 – Description of Some Common Levels Relevant to Navigation in Coastal and Restricted Waters 24 Table 4 – Chart Scales, Applications And Related Accuracy Considerations 26 Table 5 – IALA Geographical Range Table 33 Table 6 – Photometric Units of Measurement 45 Table 7 – Classification of the Rhythmic Characters of Lights 50 Table 8 – Rhythmic Characters of the Lights in the IALA Maritime Buoyage System 56 Table 9 – Maximum Period for Rhythmic Characters of Aids to Navigation Lights 57 Table 10 – Timing of Astronomical Events 58 Table 11 – IALA Conversion Table for Luminous Intensity and Nominal Range for Night Observations 59 Table 12 – IALA Conversion Table for Luminous Intensity and Nominal Daytime Range. 61 Table 13 Required Illuminance in Varying Meteorological Conditions 63 Table 14 – Typical Operational Range of Daymarks 64 Table 15 (Night and Day with Background) For Guidance Only – Not to be used for Nominal Range Publication 65 Table 16 – Availability Targets 69 Table 17 ELORAN Predicted Performance 94 Table 18 – Preferred Terminology for the Description of Racon Operating Frequencies 98 Table 19 – Nominal Range 130 Table 20 – Usual Range 130 Table 21 - Sample of the COMSAR/Circ15 Standard Terms 133 Table 22 – A Suggested Expanded List of Terms and Definitions for use in Navigation Warnings 134 Table 23 – Power Sources for Operating Lighted Aids to Navigation 139 Table 24 – Silicon Solar Cell Technology 140 Table 25 – Contents of SOLAS Convention </w:t>
      </w:r>
    </w:p>
    <w:p w14:paraId="739B6739"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147 Table 26 – Indicative Accuracies of Aids to Navigation Systems </w:t>
      </w:r>
    </w:p>
    <w:p w14:paraId="2BD3F576"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152 Table 27 – Comparison of the Advantages and Disadvantages Of Different Types of Aids to Navigation </w:t>
      </w:r>
    </w:p>
    <w:p w14:paraId="7D7C7E2A"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153 Table 28 – Category / Availability Table </w:t>
      </w:r>
    </w:p>
    <w:p w14:paraId="2C010A58" w14:textId="77777777" w:rsidR="00541A14" w:rsidRDefault="00A450E1">
      <w:pPr>
        <w:pStyle w:val="Default"/>
        <w:spacing w:line="358" w:lineRule="atLeast"/>
        <w:ind w:left="8722"/>
        <w:jc w:val="both"/>
        <w:rPr>
          <w:rFonts w:ascii="Palatino" w:hAnsi="Palatino" w:cs="Palatino"/>
          <w:sz w:val="18"/>
          <w:szCs w:val="18"/>
        </w:rPr>
      </w:pPr>
      <w:r>
        <w:rPr>
          <w:rFonts w:ascii="Palatino" w:hAnsi="Palatino" w:cs="Palatino"/>
          <w:sz w:val="18"/>
          <w:szCs w:val="18"/>
        </w:rPr>
        <w:t xml:space="preserve">160 </w:t>
      </w:r>
    </w:p>
    <w:p w14:paraId="3EF699D3" w14:textId="77777777" w:rsidR="00541A14" w:rsidRDefault="00A450E1">
      <w:pPr>
        <w:pStyle w:val="CM195"/>
        <w:spacing w:after="353" w:line="216" w:lineRule="atLeast"/>
        <w:ind w:left="812" w:right="1757" w:hanging="813"/>
        <w:jc w:val="both"/>
        <w:rPr>
          <w:rFonts w:ascii="Palatino" w:hAnsi="Palatino" w:cs="Palatino"/>
          <w:color w:val="000000"/>
          <w:sz w:val="18"/>
          <w:szCs w:val="18"/>
        </w:rPr>
      </w:pPr>
      <w:r>
        <w:rPr>
          <w:rFonts w:ascii="Palatino" w:hAnsi="Palatino" w:cs="Palatino"/>
          <w:color w:val="000000"/>
          <w:sz w:val="18"/>
          <w:szCs w:val="18"/>
        </w:rPr>
        <w:t xml:space="preserve">Table 29 – Terminology for Historical Glass Lens Systems and Associated Quantities of Mercury used in Rotating Lens Systems </w:t>
      </w:r>
    </w:p>
    <w:p w14:paraId="157814EA"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178 Table 30 – Skill Development Processes For Aids To Navigation Work </w:t>
      </w:r>
    </w:p>
    <w:p w14:paraId="3AC6FFA5"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180 Table 31 – IALA Worldwide AcadEmy Responding To The Challenges </w:t>
      </w:r>
    </w:p>
    <w:p w14:paraId="7F4A1DFA" w14:textId="77777777" w:rsidR="00541A14" w:rsidRDefault="00A450E1">
      <w:pPr>
        <w:pStyle w:val="CM195"/>
        <w:spacing w:after="353" w:line="358" w:lineRule="atLeast"/>
        <w:ind w:left="8722"/>
        <w:rPr>
          <w:rFonts w:ascii="Palatino" w:hAnsi="Palatino" w:cs="Palatino"/>
          <w:color w:val="000000"/>
          <w:sz w:val="18"/>
          <w:szCs w:val="18"/>
        </w:rPr>
      </w:pPr>
      <w:r>
        <w:rPr>
          <w:rFonts w:ascii="Palatino" w:hAnsi="Palatino" w:cs="Palatino"/>
          <w:color w:val="000000"/>
          <w:sz w:val="18"/>
          <w:szCs w:val="18"/>
        </w:rPr>
        <w:t xml:space="preserve">183 Figure 1 - IALA National Members </w:t>
      </w:r>
    </w:p>
    <w:p w14:paraId="596CF322" w14:textId="77777777" w:rsidR="00541A14" w:rsidRDefault="00DD420F">
      <w:pPr>
        <w:pStyle w:val="Default"/>
        <w:framePr w:w="12686" w:wrap="auto" w:vAnchor="page" w:hAnchor="page" w:x="24" w:y="16106"/>
        <w:rPr>
          <w:rFonts w:ascii="Palatino" w:hAnsi="Palatino" w:cs="Palatino"/>
          <w:sz w:val="18"/>
          <w:szCs w:val="18"/>
        </w:rPr>
      </w:pPr>
      <w:r>
        <w:rPr>
          <w:rFonts w:ascii="Palatino" w:hAnsi="Palatino" w:cs="Palatino"/>
          <w:noProof/>
          <w:sz w:val="18"/>
          <w:szCs w:val="18"/>
        </w:rPr>
        <w:drawing>
          <wp:inline distT="0" distB="0" distL="0" distR="0" wp14:anchorId="696F5918" wp14:editId="6FB9D438">
            <wp:extent cx="7542530" cy="420370"/>
            <wp:effectExtent l="0" t="0" r="1270" b="1143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7542530" cy="420370"/>
                    </a:xfrm>
                    <a:prstGeom prst="rect">
                      <a:avLst/>
                    </a:prstGeom>
                    <a:noFill/>
                    <a:ln>
                      <a:noFill/>
                    </a:ln>
                  </pic:spPr>
                </pic:pic>
              </a:graphicData>
            </a:graphic>
          </wp:inline>
        </w:drawing>
      </w:r>
    </w:p>
    <w:p w14:paraId="43B84E2C" w14:textId="77777777" w:rsidR="00541A14" w:rsidRDefault="00DD420F">
      <w:pPr>
        <w:pStyle w:val="Default"/>
        <w:pageBreakBefore/>
        <w:framePr w:w="12710" w:wrap="auto" w:vAnchor="page" w:hAnchor="page" w:x="101" w:y="1278"/>
        <w:spacing w:after="120"/>
        <w:rPr>
          <w:rFonts w:ascii="Palatino" w:hAnsi="Palatino" w:cs="Palatino"/>
          <w:sz w:val="18"/>
          <w:szCs w:val="18"/>
        </w:rPr>
      </w:pPr>
      <w:r>
        <w:rPr>
          <w:rFonts w:ascii="Palatino" w:hAnsi="Palatino" w:cs="Palatino"/>
          <w:noProof/>
          <w:sz w:val="18"/>
          <w:szCs w:val="18"/>
        </w:rPr>
        <w:drawing>
          <wp:inline distT="0" distB="0" distL="0" distR="0" wp14:anchorId="470F54C4" wp14:editId="3233B6C0">
            <wp:extent cx="7553960" cy="208407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7553960" cy="2084070"/>
                    </a:xfrm>
                    <a:prstGeom prst="rect">
                      <a:avLst/>
                    </a:prstGeom>
                    <a:noFill/>
                    <a:ln>
                      <a:noFill/>
                    </a:ln>
                  </pic:spPr>
                </pic:pic>
              </a:graphicData>
            </a:graphic>
          </wp:inline>
        </w:drawing>
      </w:r>
    </w:p>
    <w:p w14:paraId="109BBA44" w14:textId="77777777" w:rsidR="00541A14" w:rsidRDefault="00A450E1">
      <w:pPr>
        <w:pStyle w:val="CM195"/>
        <w:spacing w:after="353" w:line="340" w:lineRule="atLeast"/>
        <w:ind w:firstLine="8895"/>
        <w:jc w:val="both"/>
        <w:rPr>
          <w:rFonts w:ascii="Palatino" w:hAnsi="Palatino" w:cs="Palatino"/>
          <w:color w:val="000000"/>
          <w:sz w:val="18"/>
          <w:szCs w:val="18"/>
        </w:rPr>
      </w:pPr>
      <w:r>
        <w:rPr>
          <w:rFonts w:ascii="Palatino" w:hAnsi="Palatino" w:cs="Palatino"/>
          <w:color w:val="000000"/>
          <w:sz w:val="18"/>
          <w:szCs w:val="18"/>
        </w:rPr>
        <w:t xml:space="preserve">3 Figure 2 – IALA Organisational Structure </w:t>
      </w:r>
    </w:p>
    <w:p w14:paraId="414572BB" w14:textId="77777777" w:rsidR="00541A14" w:rsidRDefault="00A450E1">
      <w:pPr>
        <w:pStyle w:val="CM195"/>
        <w:spacing w:after="353" w:line="331" w:lineRule="atLeast"/>
        <w:ind w:firstLine="8895"/>
        <w:rPr>
          <w:rFonts w:ascii="Palatino" w:hAnsi="Palatino" w:cs="Palatino"/>
          <w:color w:val="000000"/>
          <w:sz w:val="18"/>
          <w:szCs w:val="18"/>
        </w:rPr>
      </w:pPr>
      <w:r>
        <w:rPr>
          <w:rFonts w:ascii="Palatino" w:hAnsi="Palatino" w:cs="Palatino"/>
          <w:color w:val="000000"/>
          <w:sz w:val="18"/>
          <w:szCs w:val="18"/>
        </w:rPr>
        <w:t xml:space="preserve">5 Figure 3 – Nautical Chart Provided By Lidar 22 Figure 4 – Levelling Or Vertical Control Datums 23 Figure 5 – GPS Notes On Charts 25 Figure 6 – Illustration Of The Colour zones On The 1931 CIE Chromaticity Diagram. 30 Figure 7 – IALA Allowed Chromaticity Areas For Red, Orange, Yellow, Green, Blue, White                   and Black of Ordinary Surface Colours 30 Figure 8 - Spectral Sensitivity Distributions or V( </w:t>
      </w:r>
    </w:p>
    <w:p w14:paraId="204F5A56" w14:textId="77777777" w:rsidR="00541A14" w:rsidRDefault="00DD420F">
      <w:pPr>
        <w:pStyle w:val="Default"/>
        <w:framePr w:w="927" w:wrap="auto" w:vAnchor="page" w:hAnchor="page" w:x="5054" w:y="6111"/>
        <w:rPr>
          <w:rFonts w:ascii="Palatino" w:hAnsi="Palatino" w:cs="Palatino"/>
          <w:sz w:val="18"/>
          <w:szCs w:val="18"/>
        </w:rPr>
      </w:pPr>
      <w:r>
        <w:rPr>
          <w:rFonts w:ascii="Palatino" w:hAnsi="Palatino" w:cs="Palatino"/>
          <w:noProof/>
          <w:sz w:val="18"/>
          <w:szCs w:val="18"/>
        </w:rPr>
        <w:drawing>
          <wp:inline distT="0" distB="0" distL="0" distR="0" wp14:anchorId="04F6AB89" wp14:editId="061F5AB3">
            <wp:extent cx="73660" cy="102235"/>
            <wp:effectExtent l="0" t="0" r="254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73660" cy="102235"/>
                    </a:xfrm>
                    <a:prstGeom prst="rect">
                      <a:avLst/>
                    </a:prstGeom>
                    <a:noFill/>
                    <a:ln>
                      <a:noFill/>
                    </a:ln>
                  </pic:spPr>
                </pic:pic>
              </a:graphicData>
            </a:graphic>
          </wp:inline>
        </w:drawing>
      </w:r>
      <w:r w:rsidR="00A450E1">
        <w:rPr>
          <w:rFonts w:ascii="Palatino" w:hAnsi="Palatino" w:cs="Palatino"/>
          <w:sz w:val="18"/>
          <w:szCs w:val="18"/>
        </w:rPr>
        <w:t xml:space="preserve">) And V’( </w:t>
      </w:r>
    </w:p>
    <w:p w14:paraId="1F494606" w14:textId="77777777" w:rsidR="00541A14" w:rsidRDefault="00DD420F">
      <w:pPr>
        <w:pStyle w:val="Default"/>
        <w:framePr w:w="927" w:wrap="auto" w:vAnchor="page" w:hAnchor="page" w:x="5925" w:y="6111"/>
        <w:rPr>
          <w:rFonts w:ascii="Palatino" w:hAnsi="Palatino" w:cs="Palatino"/>
          <w:sz w:val="18"/>
          <w:szCs w:val="18"/>
        </w:rPr>
      </w:pPr>
      <w:r>
        <w:rPr>
          <w:rFonts w:ascii="Palatino" w:hAnsi="Palatino" w:cs="Palatino"/>
          <w:noProof/>
          <w:sz w:val="18"/>
          <w:szCs w:val="18"/>
        </w:rPr>
        <w:drawing>
          <wp:inline distT="0" distB="0" distL="0" distR="0" wp14:anchorId="7BE733C7" wp14:editId="6FBA66AE">
            <wp:extent cx="90805" cy="102235"/>
            <wp:effectExtent l="0" t="0" r="1079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0805" cy="102235"/>
                    </a:xfrm>
                    <a:prstGeom prst="rect">
                      <a:avLst/>
                    </a:prstGeom>
                    <a:noFill/>
                    <a:ln>
                      <a:noFill/>
                    </a:ln>
                  </pic:spPr>
                </pic:pic>
              </a:graphicData>
            </a:graphic>
          </wp:inline>
        </w:drawing>
      </w:r>
      <w:r w:rsidR="00A450E1">
        <w:rPr>
          <w:rFonts w:ascii="Palatino" w:hAnsi="Palatino" w:cs="Palatino"/>
          <w:sz w:val="18"/>
          <w:szCs w:val="18"/>
        </w:rPr>
        <w:t xml:space="preserve">) Curves for the Human Observer                   also Showing the Difference Between Day and Night Vision. 44 Figure 9 – Illustration of the Inverse-Square-Law Concept. 46 Figure 10 – CIE 1931 Colour Functions 48 Figure 11 – CIE 1931 X,Y Chromaticity Chart 49 Figure 12 – Daytime Luminous Range Diagram 62 Figure 13 – Some Examples of Floating Aids 68 Figure 14 – Angle of Uncertainty 73 Figure 15 – Sector Light Application 75 Figure 16 – Shows Several Applications for Sector Lights. 76 Figure 17 - Ship to Shore Portion of The Proposed e-Navigation Architecture 84 Figure 18:  Example of a Racon and a Radar Display With and Without the Racon Character 95 Figure 19:  Simplified LRIT Concept (Courtesy of Inmarsat) 98 Figure 20 - LRIT System Architecture 99 Figure 21 – Overview of the AIS System 101 Figure 22 – Vessel Manoeuvring Phases. 116 Figure 23 – Sample Marking System for Offshore Aquaculture Farms 123 Figure 24 - Sample Marking of a Wind Farm 125 Figure 25 – Limits of NAVAREAS 130 Figure 26: Traditional UKC Measurement Rules Based on Static Data </w:t>
      </w:r>
    </w:p>
    <w:p w14:paraId="5910112C"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136 Figure 27: UKC Measurement Based on Real Time Data for Each Element </w:t>
      </w:r>
    </w:p>
    <w:p w14:paraId="586F9947"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136 Figure 28 – Comparison of Performance of Wind Generator Types </w:t>
      </w:r>
    </w:p>
    <w:p w14:paraId="4C581FE5"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140 Figure 29 – The Risk Assessment and Risk Management Process. </w:t>
      </w:r>
    </w:p>
    <w:p w14:paraId="6BCC6BA1" w14:textId="77777777" w:rsidR="00541A14" w:rsidRDefault="00A450E1">
      <w:pPr>
        <w:pStyle w:val="CM161"/>
        <w:rPr>
          <w:rFonts w:ascii="Palatino" w:hAnsi="Palatino" w:cs="Palatino"/>
          <w:color w:val="000000"/>
          <w:sz w:val="18"/>
          <w:szCs w:val="18"/>
        </w:rPr>
      </w:pPr>
      <w:r>
        <w:rPr>
          <w:rFonts w:ascii="Palatino" w:hAnsi="Palatino" w:cs="Palatino"/>
          <w:color w:val="000000"/>
          <w:sz w:val="18"/>
          <w:szCs w:val="18"/>
        </w:rPr>
        <w:t xml:space="preserve">153 </w:t>
      </w:r>
    </w:p>
    <w:p w14:paraId="1C49FEB8" w14:textId="77777777" w:rsidR="00541A14" w:rsidRDefault="00A450E1">
      <w:pPr>
        <w:pStyle w:val="CM195"/>
        <w:spacing w:after="353" w:line="216" w:lineRule="atLeast"/>
        <w:ind w:left="897" w:right="1230" w:hanging="898"/>
        <w:jc w:val="both"/>
        <w:rPr>
          <w:rFonts w:ascii="Palatino" w:hAnsi="Palatino" w:cs="Palatino"/>
          <w:color w:val="000000"/>
          <w:sz w:val="18"/>
          <w:szCs w:val="18"/>
        </w:rPr>
      </w:pPr>
      <w:r>
        <w:rPr>
          <w:rFonts w:ascii="Palatino" w:hAnsi="Palatino" w:cs="Palatino"/>
          <w:color w:val="000000"/>
          <w:sz w:val="18"/>
          <w:szCs w:val="18"/>
        </w:rPr>
        <w:t xml:space="preserve">Figure 30 – The Septigon Model Illustrating Relevant Human Factors Elements to be Considered in the                      Risk Management Process </w:t>
      </w:r>
    </w:p>
    <w:p w14:paraId="5DBD9CCD"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155 Figure 31 – Risk Matrix </w:t>
      </w:r>
    </w:p>
    <w:p w14:paraId="4E355B02"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155 Figure 32 – The Cost of Reliability </w:t>
      </w:r>
    </w:p>
    <w:p w14:paraId="6FF14333"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160 Figure 33 – Diagram From ISO 9001 Showing the Emphasis on Satisfying Customer Requirements. </w:t>
      </w:r>
    </w:p>
    <w:p w14:paraId="15ABF5D0" w14:textId="77777777" w:rsidR="00541A14" w:rsidRDefault="00A450E1">
      <w:pPr>
        <w:pStyle w:val="CM195"/>
        <w:spacing w:after="353" w:line="348" w:lineRule="atLeast"/>
        <w:ind w:firstLine="8722"/>
        <w:jc w:val="both"/>
        <w:rPr>
          <w:rFonts w:ascii="Palatino" w:hAnsi="Palatino" w:cs="Palatino"/>
          <w:color w:val="000000"/>
          <w:sz w:val="18"/>
          <w:szCs w:val="18"/>
        </w:rPr>
      </w:pPr>
      <w:r>
        <w:rPr>
          <w:rFonts w:ascii="Palatino" w:hAnsi="Palatino" w:cs="Palatino"/>
          <w:color w:val="000000"/>
          <w:sz w:val="18"/>
          <w:szCs w:val="18"/>
        </w:rPr>
        <w:t xml:space="preserve">165 Figure 34 – Potential IALA World Wide Academy Organisational Structure </w:t>
      </w:r>
    </w:p>
    <w:p w14:paraId="0101F0D4" w14:textId="77777777" w:rsidR="00541A14" w:rsidRDefault="00A450E1">
      <w:pPr>
        <w:pStyle w:val="CM163"/>
        <w:spacing w:after="642" w:line="340" w:lineRule="atLeast"/>
        <w:rPr>
          <w:rFonts w:ascii="Palatino" w:hAnsi="Palatino" w:cs="Palatino"/>
          <w:color w:val="000000"/>
          <w:sz w:val="18"/>
          <w:szCs w:val="18"/>
        </w:rPr>
      </w:pPr>
      <w:r>
        <w:rPr>
          <w:rFonts w:ascii="Palatino" w:hAnsi="Palatino" w:cs="Palatino"/>
          <w:color w:val="000000"/>
          <w:sz w:val="18"/>
          <w:szCs w:val="18"/>
        </w:rPr>
        <w:t xml:space="preserve">181 </w:t>
      </w:r>
    </w:p>
    <w:p w14:paraId="42809456" w14:textId="77777777" w:rsidR="00541A14" w:rsidRDefault="00DD420F">
      <w:pPr>
        <w:pStyle w:val="Default"/>
        <w:framePr w:w="10730" w:wrap="auto" w:vAnchor="page" w:hAnchor="page" w:x="608" w:y="16318"/>
        <w:rPr>
          <w:rFonts w:ascii="Palatino" w:hAnsi="Palatino" w:cs="Palatino"/>
          <w:sz w:val="18"/>
          <w:szCs w:val="18"/>
        </w:rPr>
      </w:pPr>
      <w:r>
        <w:rPr>
          <w:rFonts w:ascii="Palatino" w:hAnsi="Palatino" w:cs="Palatino"/>
          <w:noProof/>
          <w:sz w:val="18"/>
          <w:szCs w:val="18"/>
        </w:rPr>
        <w:drawing>
          <wp:inline distT="0" distB="0" distL="0" distR="0" wp14:anchorId="5D02181F" wp14:editId="3464414B">
            <wp:extent cx="7553960" cy="39179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7553960" cy="391795"/>
                    </a:xfrm>
                    <a:prstGeom prst="rect">
                      <a:avLst/>
                    </a:prstGeom>
                    <a:noFill/>
                    <a:ln>
                      <a:noFill/>
                    </a:ln>
                  </pic:spPr>
                </pic:pic>
              </a:graphicData>
            </a:graphic>
          </wp:inline>
        </w:drawing>
      </w:r>
    </w:p>
    <w:p w14:paraId="59C77E3C" w14:textId="77777777" w:rsidR="00541A14" w:rsidRDefault="00DD420F">
      <w:pPr>
        <w:pStyle w:val="Default"/>
        <w:pageBreakBefore/>
        <w:framePr w:w="1452" w:wrap="auto" w:vAnchor="page" w:hAnchor="page" w:x="15" w:y="6986"/>
        <w:rPr>
          <w:rFonts w:ascii="Palatino" w:hAnsi="Palatino" w:cs="Palatino"/>
          <w:sz w:val="18"/>
          <w:szCs w:val="18"/>
        </w:rPr>
      </w:pPr>
      <w:r>
        <w:rPr>
          <w:rFonts w:ascii="Palatino" w:hAnsi="Palatino" w:cs="Palatino"/>
          <w:noProof/>
          <w:sz w:val="18"/>
          <w:szCs w:val="18"/>
        </w:rPr>
        <w:drawing>
          <wp:inline distT="0" distB="0" distL="0" distR="0" wp14:anchorId="0529A088" wp14:editId="2900436B">
            <wp:extent cx="340995" cy="11430"/>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340995" cy="11430"/>
                    </a:xfrm>
                    <a:prstGeom prst="rect">
                      <a:avLst/>
                    </a:prstGeom>
                    <a:noFill/>
                    <a:ln>
                      <a:noFill/>
                    </a:ln>
                  </pic:spPr>
                </pic:pic>
              </a:graphicData>
            </a:graphic>
          </wp:inline>
        </w:drawing>
      </w:r>
    </w:p>
    <w:p w14:paraId="5542A4AE" w14:textId="77777777" w:rsidR="00541A14" w:rsidRDefault="00A450E1">
      <w:pPr>
        <w:pStyle w:val="Default"/>
        <w:jc w:val="center"/>
        <w:rPr>
          <w:rFonts w:ascii="Palatino" w:hAnsi="Palatino" w:cs="Palatino"/>
          <w:sz w:val="18"/>
          <w:szCs w:val="18"/>
        </w:rPr>
      </w:pPr>
      <w:r>
        <w:rPr>
          <w:rFonts w:ascii="华文宋体" w:eastAsia="华文宋体" w:hAnsi="华文宋体" w:cs="华文宋体" w:hint="eastAsia"/>
          <w:sz w:val="18"/>
          <w:szCs w:val="18"/>
        </w:rPr>
        <w:t>䰀䔀䐀</w:t>
      </w:r>
      <w:r>
        <w:rPr>
          <w:rFonts w:ascii="Palatino" w:hAnsi="Palatino" w:cs="Palatino"/>
          <w:sz w:val="18"/>
          <w:szCs w:val="18"/>
        </w:rPr>
        <w:t xml:space="preserve">.. </w:t>
      </w:r>
    </w:p>
    <w:p w14:paraId="78B47BBA" w14:textId="77777777" w:rsidR="00541A14" w:rsidRDefault="00A450E1">
      <w:pPr>
        <w:pStyle w:val="Default"/>
        <w:jc w:val="center"/>
        <w:rPr>
          <w:rFonts w:ascii="Palatino" w:hAnsi="Palatino" w:cs="Palatino"/>
          <w:sz w:val="18"/>
          <w:szCs w:val="18"/>
        </w:rPr>
      </w:pPr>
      <w:r>
        <w:rPr>
          <w:rFonts w:ascii="Palatino" w:hAnsi="Palatino" w:cs="Palatino"/>
          <w:sz w:val="18"/>
          <w:szCs w:val="18"/>
        </w:rPr>
        <w:t>................</w:t>
      </w:r>
    </w:p>
    <w:p w14:paraId="3EFB8A94" w14:textId="77777777" w:rsidR="00541A14" w:rsidRDefault="00A450E1">
      <w:pPr>
        <w:pStyle w:val="Default"/>
        <w:spacing w:after="7260"/>
        <w:jc w:val="center"/>
        <w:rPr>
          <w:rFonts w:ascii="Palatino" w:hAnsi="Palatino" w:cs="Palatino"/>
          <w:sz w:val="18"/>
          <w:szCs w:val="18"/>
        </w:rPr>
      </w:pPr>
      <w:r>
        <w:rPr>
          <w:rFonts w:ascii="Palatino" w:hAnsi="Palatino" w:cs="Palatino"/>
          <w:sz w:val="18"/>
          <w:szCs w:val="18"/>
        </w:rPr>
        <w:t>.......</w:t>
      </w:r>
    </w:p>
    <w:p w14:paraId="53001AEB" w14:textId="77777777" w:rsidR="00541A14" w:rsidRDefault="00A450E1">
      <w:pPr>
        <w:pStyle w:val="Default"/>
        <w:spacing w:after="570"/>
        <w:jc w:val="center"/>
        <w:rPr>
          <w:rFonts w:ascii="Palatino" w:hAnsi="Palatino" w:cs="Palatino"/>
          <w:sz w:val="20"/>
          <w:szCs w:val="20"/>
        </w:rPr>
      </w:pPr>
      <w:r>
        <w:rPr>
          <w:rFonts w:ascii="Palatino" w:hAnsi="Palatino" w:cs="Palatino"/>
          <w:i/>
          <w:iCs/>
          <w:sz w:val="20"/>
          <w:szCs w:val="20"/>
        </w:rPr>
        <w:t>....... .......................</w:t>
      </w:r>
    </w:p>
    <w:p w14:paraId="46158A54" w14:textId="77777777" w:rsidR="00541A14" w:rsidRDefault="00A450E1">
      <w:pPr>
        <w:pStyle w:val="Default"/>
        <w:spacing w:after="1487"/>
        <w:jc w:val="center"/>
        <w:rPr>
          <w:rFonts w:ascii="Palatino" w:hAnsi="Palatino" w:cs="Palatino"/>
          <w:sz w:val="20"/>
          <w:szCs w:val="20"/>
        </w:rPr>
      </w:pPr>
      <w:r>
        <w:rPr>
          <w:rFonts w:ascii="Palatino" w:hAnsi="Palatino" w:cs="Palatino"/>
          <w:i/>
          <w:iCs/>
          <w:sz w:val="20"/>
          <w:szCs w:val="20"/>
        </w:rPr>
        <w:t>....................................</w:t>
      </w:r>
    </w:p>
    <w:p w14:paraId="43689401" w14:textId="77777777" w:rsidR="00541A14" w:rsidRDefault="00A450E1">
      <w:pPr>
        <w:pStyle w:val="Default"/>
        <w:spacing w:after="1047"/>
        <w:jc w:val="center"/>
        <w:rPr>
          <w:rFonts w:ascii="Palatino" w:hAnsi="Palatino" w:cs="Palatino"/>
          <w:sz w:val="20"/>
          <w:szCs w:val="20"/>
        </w:rPr>
      </w:pPr>
      <w:r>
        <w:rPr>
          <w:rFonts w:ascii="Palatino" w:hAnsi="Palatino" w:cs="Palatino"/>
          <w:b/>
          <w:bCs/>
          <w:sz w:val="20"/>
          <w:szCs w:val="20"/>
        </w:rPr>
        <w:t>........................................................................................</w:t>
      </w:r>
    </w:p>
    <w:p w14:paraId="1E02BBE3" w14:textId="77777777" w:rsidR="00541A14" w:rsidRDefault="00A450E1">
      <w:pPr>
        <w:pStyle w:val="Default"/>
        <w:spacing w:after="682"/>
        <w:jc w:val="center"/>
        <w:rPr>
          <w:rFonts w:ascii="Palatino" w:hAnsi="Palatino" w:cs="Palatino"/>
          <w:sz w:val="20"/>
          <w:szCs w:val="20"/>
        </w:rPr>
      </w:pPr>
      <w:r>
        <w:rPr>
          <w:rFonts w:ascii="Palatino" w:hAnsi="Palatino" w:cs="Palatino"/>
          <w:i/>
          <w:iCs/>
          <w:sz w:val="20"/>
          <w:szCs w:val="20"/>
        </w:rPr>
        <w:t>....................................</w:t>
      </w:r>
    </w:p>
    <w:p w14:paraId="69EEBEEA" w14:textId="77777777" w:rsidR="00541A14" w:rsidRDefault="00A450E1">
      <w:pPr>
        <w:pStyle w:val="Default"/>
        <w:spacing w:after="1482" w:line="240" w:lineRule="atLeast"/>
        <w:jc w:val="center"/>
        <w:rPr>
          <w:sz w:val="20"/>
          <w:szCs w:val="20"/>
        </w:rPr>
      </w:pPr>
      <w:r>
        <w:rPr>
          <w:sz w:val="20"/>
          <w:szCs w:val="20"/>
        </w:rPr>
        <w:t>......................................</w:t>
      </w:r>
    </w:p>
    <w:p w14:paraId="071F13D8" w14:textId="77777777" w:rsidR="00541A14" w:rsidRDefault="00A450E1">
      <w:pPr>
        <w:pStyle w:val="Default"/>
        <w:jc w:val="center"/>
        <w:rPr>
          <w:sz w:val="20"/>
          <w:szCs w:val="20"/>
        </w:rPr>
      </w:pPr>
      <w:r>
        <w:rPr>
          <w:sz w:val="20"/>
          <w:szCs w:val="20"/>
        </w:rPr>
        <w:t>................................</w:t>
      </w:r>
    </w:p>
    <w:p w14:paraId="4E48EA1C" w14:textId="77777777" w:rsidR="00541A14" w:rsidRDefault="00A450E1">
      <w:pPr>
        <w:pStyle w:val="Default"/>
        <w:spacing w:after="587"/>
        <w:jc w:val="center"/>
        <w:rPr>
          <w:rFonts w:ascii="Palatino" w:hAnsi="Palatino" w:cs="Palatino"/>
          <w:sz w:val="20"/>
          <w:szCs w:val="20"/>
        </w:rPr>
      </w:pPr>
      <w:r>
        <w:rPr>
          <w:rFonts w:ascii="Palatino" w:hAnsi="Palatino" w:cs="Palatino"/>
          <w:i/>
          <w:iCs/>
          <w:sz w:val="20"/>
          <w:szCs w:val="20"/>
        </w:rPr>
        <w:t>.................................</w:t>
      </w:r>
    </w:p>
    <w:p w14:paraId="5E4A0731" w14:textId="77777777" w:rsidR="00541A14" w:rsidRDefault="00A450E1">
      <w:pPr>
        <w:pStyle w:val="Default"/>
        <w:jc w:val="center"/>
        <w:rPr>
          <w:sz w:val="20"/>
          <w:szCs w:val="20"/>
        </w:rPr>
      </w:pPr>
      <w:r>
        <w:rPr>
          <w:sz w:val="20"/>
          <w:szCs w:val="20"/>
        </w:rPr>
        <w:t>...............</w:t>
      </w:r>
    </w:p>
    <w:p w14:paraId="5902C687" w14:textId="77777777" w:rsidR="00541A14" w:rsidRDefault="00A450E1">
      <w:pPr>
        <w:pStyle w:val="Default"/>
        <w:spacing w:after="540"/>
        <w:jc w:val="center"/>
        <w:rPr>
          <w:sz w:val="20"/>
          <w:szCs w:val="20"/>
        </w:rPr>
      </w:pPr>
      <w:r>
        <w:rPr>
          <w:sz w:val="20"/>
          <w:szCs w:val="20"/>
        </w:rPr>
        <w:t>...............................</w:t>
      </w:r>
    </w:p>
    <w:p w14:paraId="5A87202D" w14:textId="77777777" w:rsidR="00541A14" w:rsidRDefault="00A450E1">
      <w:pPr>
        <w:pStyle w:val="Default"/>
        <w:spacing w:after="832"/>
        <w:jc w:val="center"/>
      </w:pPr>
      <w:r>
        <w:rPr>
          <w:sz w:val="20"/>
          <w:szCs w:val="20"/>
        </w:rPr>
        <w:t>...................</w:t>
      </w:r>
    </w:p>
    <w:sectPr w:rsidR="00541A14">
      <w:type w:val="continuous"/>
      <w:pgSz w:w="11905" w:h="17337"/>
      <w:pgMar w:top="1400" w:right="900" w:bottom="0" w:left="900" w:header="720" w:footer="720" w:gutter="0"/>
      <w:cols w:space="720"/>
      <w:noEndnote/>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martinb" w:date="2012-04-05T17:25:00Z" w:initials="m">
    <w:p w14:paraId="0A273AB0" w14:textId="77777777" w:rsidR="00541A14" w:rsidRDefault="00A450E1">
      <w:pPr>
        <w:pStyle w:val="Default"/>
        <w:rPr>
          <w:rFonts w:cs="Times New Roman"/>
          <w:sz w:val="20"/>
          <w:szCs w:val="20"/>
        </w:rPr>
      </w:pPr>
      <w:r>
        <w:rPr>
          <w:rFonts w:cs="Times New Roman"/>
          <w:sz w:val="20"/>
          <w:szCs w:val="20"/>
        </w:rPr>
        <w:t>evaluation</w:t>
      </w:r>
    </w:p>
  </w:comment>
  <w:comment w:id="2" w:author="martinb" w:date="2012-04-05T16:39:00Z" w:initials="m">
    <w:p w14:paraId="1E032B1C" w14:textId="77777777" w:rsidR="00541A14" w:rsidRDefault="009E3F25">
      <w:pPr>
        <w:pStyle w:val="Default"/>
        <w:rPr>
          <w:rFonts w:cs="Times New Roman"/>
          <w:color w:val="auto"/>
        </w:rPr>
      </w:pPr>
      <w:r>
        <w:rPr>
          <w:rStyle w:val="CommentReference"/>
        </w:rPr>
        <w:annotationRef/>
      </w:r>
    </w:p>
  </w:comment>
  <w:comment w:id="3" w:author="martinb" w:date="2012-04-05T16:54:00Z" w:initials="m">
    <w:p w14:paraId="7A999B59" w14:textId="77777777" w:rsidR="00541A14" w:rsidRDefault="009E3F25">
      <w:pPr>
        <w:pStyle w:val="Default"/>
        <w:rPr>
          <w:rFonts w:cs="Times New Roman"/>
          <w:color w:val="auto"/>
        </w:rPr>
      </w:pPr>
      <w:r>
        <w:rPr>
          <w:rStyle w:val="CommentReference"/>
        </w:rPr>
        <w:annotationRef/>
      </w:r>
    </w:p>
  </w:comment>
  <w:comment w:id="4" w:author="martinb" w:date="2012-04-05T16:55:00Z" w:initials="m">
    <w:p w14:paraId="71E99ECA" w14:textId="77777777" w:rsidR="00541A14" w:rsidRDefault="009E3F25">
      <w:pPr>
        <w:pStyle w:val="Default"/>
        <w:rPr>
          <w:rFonts w:cs="Times New Roman"/>
          <w:color w:val="auto"/>
        </w:rPr>
      </w:pPr>
      <w:r>
        <w:rPr>
          <w:rStyle w:val="CommentReference"/>
        </w:rPr>
        <w:annotationRef/>
      </w:r>
    </w:p>
  </w:comment>
  <w:comment w:id="5" w:author="martinb" w:date="2012-04-05T16:59:00Z" w:initials="m">
    <w:p w14:paraId="2A7D9628" w14:textId="77777777" w:rsidR="00541A14" w:rsidRDefault="009E3F25">
      <w:pPr>
        <w:pStyle w:val="Default"/>
        <w:rPr>
          <w:rFonts w:cs="Times New Roman"/>
          <w:color w:val="auto"/>
        </w:rPr>
      </w:pPr>
      <w:r>
        <w:rPr>
          <w:rStyle w:val="CommentReference"/>
        </w:rPr>
        <w:annotationRef/>
      </w:r>
    </w:p>
  </w:comment>
  <w:comment w:id="6" w:author="martinb" w:date="2012-04-05T16:56:00Z" w:initials="m">
    <w:p w14:paraId="2EF6503A" w14:textId="77777777" w:rsidR="00541A14" w:rsidRDefault="009E3F25">
      <w:pPr>
        <w:pStyle w:val="Default"/>
        <w:rPr>
          <w:rFonts w:cs="Times New Roman"/>
          <w:color w:val="auto"/>
        </w:rPr>
      </w:pPr>
      <w:r>
        <w:rPr>
          <w:rStyle w:val="CommentReference"/>
        </w:rPr>
        <w:annotationRef/>
      </w:r>
    </w:p>
  </w:comment>
  <w:comment w:id="7" w:author="martinb" w:date="2012-04-05T16:56:00Z" w:initials="m">
    <w:p w14:paraId="3A7096CA" w14:textId="77777777" w:rsidR="00541A14" w:rsidRDefault="009E3F25">
      <w:pPr>
        <w:pStyle w:val="Default"/>
        <w:rPr>
          <w:rFonts w:cs="Times New Roman"/>
          <w:color w:val="auto"/>
        </w:rPr>
      </w:pPr>
      <w:r>
        <w:rPr>
          <w:rStyle w:val="CommentReference"/>
        </w:rPr>
        <w:annotationRef/>
      </w:r>
    </w:p>
  </w:comment>
  <w:comment w:id="8" w:author="martinb" w:date="2012-04-05T16:57:00Z" w:initials="m">
    <w:p w14:paraId="0C55956F" w14:textId="77777777" w:rsidR="00541A14" w:rsidRDefault="009E3F25">
      <w:pPr>
        <w:pStyle w:val="Default"/>
        <w:rPr>
          <w:rFonts w:cs="Times New Roman"/>
          <w:color w:val="auto"/>
        </w:rPr>
      </w:pPr>
      <w:r>
        <w:rPr>
          <w:rStyle w:val="CommentReference"/>
        </w:rPr>
        <w:annotationRef/>
      </w:r>
    </w:p>
  </w:comment>
  <w:comment w:id="9" w:author="martinb" w:date="2012-04-05T16:57:00Z" w:initials="m">
    <w:p w14:paraId="4A5272D4" w14:textId="77777777" w:rsidR="00541A14" w:rsidRDefault="009E3F25">
      <w:pPr>
        <w:pStyle w:val="Default"/>
        <w:rPr>
          <w:rFonts w:cs="Times New Roman"/>
          <w:color w:val="auto"/>
        </w:rPr>
      </w:pPr>
      <w:r>
        <w:rPr>
          <w:rStyle w:val="CommentReference"/>
        </w:rPr>
        <w:annotationRef/>
      </w:r>
    </w:p>
  </w:comment>
  <w:comment w:id="10" w:author="martinb" w:date="2012-04-05T16:57:00Z" w:initials="m">
    <w:p w14:paraId="580C0EFF" w14:textId="77777777" w:rsidR="00541A14" w:rsidRDefault="009E3F25">
      <w:pPr>
        <w:pStyle w:val="Default"/>
        <w:rPr>
          <w:rFonts w:cs="Times New Roman"/>
          <w:color w:val="auto"/>
        </w:rPr>
      </w:pPr>
      <w:r>
        <w:rPr>
          <w:rStyle w:val="CommentReference"/>
        </w:rPr>
        <w:annotationRef/>
      </w:r>
    </w:p>
  </w:comment>
  <w:comment w:id="11" w:author="martinb" w:date="2012-04-05T17:24:00Z" w:initials="m">
    <w:p w14:paraId="61A840A0" w14:textId="77777777" w:rsidR="00541A14" w:rsidRDefault="009E3F25">
      <w:pPr>
        <w:pStyle w:val="Default"/>
        <w:rPr>
          <w:rFonts w:cs="Times New Roman"/>
          <w:color w:val="auto"/>
        </w:rPr>
      </w:pPr>
      <w:r>
        <w:rPr>
          <w:rStyle w:val="CommentReference"/>
        </w:rPr>
        <w:annotationRef/>
      </w:r>
    </w:p>
  </w:comment>
  <w:comment w:id="12" w:author="martinb" w:date="2012-04-05T17:24:00Z" w:initials="m">
    <w:p w14:paraId="0EC41ADC" w14:textId="77777777" w:rsidR="00541A14" w:rsidRDefault="00A450E1">
      <w:pPr>
        <w:pStyle w:val="Default"/>
        <w:rPr>
          <w:rFonts w:cs="Times New Roman"/>
          <w:sz w:val="20"/>
          <w:szCs w:val="20"/>
        </w:rPr>
      </w:pPr>
      <w:r>
        <w:rPr>
          <w:rFonts w:cs="Times New Roman"/>
          <w:sz w:val="20"/>
          <w:szCs w:val="20"/>
        </w:rPr>
        <w:t xml:space="preserve">safe transit </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auto"/>
    <w:pitch w:val="variable"/>
    <w:sig w:usb0="E0002AFF" w:usb1="C0007841" w:usb2="00000009" w:usb3="00000000" w:csb0="000001FF" w:csb1="00000000"/>
  </w:font>
  <w:font w:name="Dax Condensed">
    <w:altName w:val="Arial"/>
    <w:panose1 w:val="00000000000000000000"/>
    <w:charset w:val="00"/>
    <w:family w:val="swiss"/>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Futura ExtraBold">
    <w:altName w:val="Arial"/>
    <w:panose1 w:val="00000000000000000000"/>
    <w:charset w:val="00"/>
    <w:family w:val="swiss"/>
    <w:notTrueType/>
    <w:pitch w:val="default"/>
    <w:sig w:usb0="00000003" w:usb1="00000000" w:usb2="00000000" w:usb3="00000000" w:csb0="00000001" w:csb1="00000000"/>
  </w:font>
  <w:font w:name="Palatino">
    <w:altName w:val="Palatino"/>
    <w:panose1 w:val="02000500000000000000"/>
    <w:charset w:val="00"/>
    <w:family w:val="auto"/>
    <w:pitch w:val="variable"/>
    <w:sig w:usb0="00000003" w:usb1="00000000" w:usb2="00000000" w:usb3="00000000" w:csb0="00000001" w:csb1="00000000"/>
  </w:font>
  <w:font w:name="Futura Book">
    <w:altName w:val="Arial"/>
    <w:panose1 w:val="00000000000000000000"/>
    <w:charset w:val="00"/>
    <w:family w:val="swiss"/>
    <w:notTrueType/>
    <w:pitch w:val="default"/>
    <w:sig w:usb0="00000003" w:usb1="00000000" w:usb2="00000000" w:usb3="00000000" w:csb0="00000001" w:csb1="00000000"/>
  </w:font>
  <w:font w:name="Myriad Pro">
    <w:altName w:val="Myriad Pro"/>
    <w:panose1 w:val="020B0503030403020204"/>
    <w:charset w:val="00"/>
    <w:family w:val="auto"/>
    <w:pitch w:val="variable"/>
    <w:sig w:usb0="20000287" w:usb1="00000001" w:usb2="00000000" w:usb3="00000000" w:csb0="0000019F" w:csb1="00000000"/>
  </w:font>
  <w:font w:name="Helvetica 55 Roman">
    <w:altName w:val="Arial"/>
    <w:panose1 w:val="00000000000000000000"/>
    <w:charset w:val="00"/>
    <w:family w:val="roman"/>
    <w:notTrueType/>
    <w:pitch w:val="default"/>
    <w:sig w:usb0="00000003" w:usb1="00000000" w:usb2="00000000" w:usb3="00000000" w:csb0="00000001" w:csb1="00000000"/>
  </w:font>
  <w:font w:name="Helvetica 65 Medium">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Symbol">
    <w:altName w:val="Symbol"/>
    <w:panose1 w:val="00000000000000000000"/>
    <w:charset w:val="02"/>
    <w:family w:val="auto"/>
    <w:pitch w:val="variable"/>
    <w:sig w:usb0="00000000" w:usb1="10000000" w:usb2="00000000" w:usb3="00000000" w:csb0="80000000" w:csb1="00000000"/>
  </w:font>
  <w:font w:name="Menlo Regular">
    <w:panose1 w:val="020B0609030804020204"/>
    <w:charset w:val="00"/>
    <w:family w:val="auto"/>
    <w:pitch w:val="variable"/>
    <w:sig w:usb0="E60022FF" w:usb1="D200F9FB" w:usb2="02000028" w:usb3="00000000" w:csb0="000001DF" w:csb1="00000000"/>
  </w:font>
  <w:font w:name="Mshtakan">
    <w:altName w:val="Arial"/>
    <w:panose1 w:val="00000000000000000000"/>
    <w:charset w:val="00"/>
    <w:family w:val="swiss"/>
    <w:notTrueType/>
    <w:pitch w:val="default"/>
    <w:sig w:usb0="00000003" w:usb1="00000000" w:usb2="00000000" w:usb3="00000000" w:csb0="00000001" w:csb1="00000000"/>
  </w:font>
  <w:font w:name="Arial">
    <w:altName w:val="Arial"/>
    <w:panose1 w:val="020B0604020202020204"/>
    <w:charset w:val="00"/>
    <w:family w:val="auto"/>
    <w:pitch w:val="variable"/>
    <w:sig w:usb0="E0002AFF" w:usb1="C0007843" w:usb2="00000009" w:usb3="00000000" w:csb0="000001FF" w:csb1="00000000"/>
  </w:font>
  <w:font w:name="Trebuchet MS">
    <w:altName w:val="Trebuchet MS"/>
    <w:panose1 w:val="020B0603020202020204"/>
    <w:charset w:val="00"/>
    <w:family w:val="auto"/>
    <w:pitch w:val="variable"/>
    <w:sig w:usb0="00000287" w:usb1="00000000" w:usb2="00000000" w:usb3="00000000" w:csb0="0000009F" w:csb1="00000000"/>
  </w:font>
  <w:font w:name="DIN">
    <w:altName w:val="Arial"/>
    <w:panose1 w:val="00000000000000000000"/>
    <w:charset w:val="00"/>
    <w:family w:val="swiss"/>
    <w:notTrueType/>
    <w:pitch w:val="default"/>
    <w:sig w:usb0="00000003" w:usb1="00000000" w:usb2="00000000" w:usb3="00000000" w:csb0="00000001" w:csb1="00000000"/>
  </w:font>
  <w:font w:name="华文宋体">
    <w:charset w:val="50"/>
    <w:family w:val="auto"/>
    <w:pitch w:val="variable"/>
    <w:sig w:usb0="00000287" w:usb1="080F0000" w:usb2="00000010" w:usb3="00000000" w:csb0="000400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3488AB"/>
    <w:multiLevelType w:val="hybridMultilevel"/>
    <w:tmpl w:val="D9E67CD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80D62D9E"/>
    <w:multiLevelType w:val="hybridMultilevel"/>
    <w:tmpl w:val="1925F60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8172CD46"/>
    <w:multiLevelType w:val="hybridMultilevel"/>
    <w:tmpl w:val="BC31CC4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82F96169"/>
    <w:multiLevelType w:val="hybridMultilevel"/>
    <w:tmpl w:val="B1FF6BBB"/>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837623D1"/>
    <w:multiLevelType w:val="hybridMultilevel"/>
    <w:tmpl w:val="5202167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83ED9BFF"/>
    <w:multiLevelType w:val="hybridMultilevel"/>
    <w:tmpl w:val="6CB341B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8649E36A"/>
    <w:multiLevelType w:val="hybridMultilevel"/>
    <w:tmpl w:val="04CFD23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86877F4C"/>
    <w:multiLevelType w:val="hybridMultilevel"/>
    <w:tmpl w:val="E4F4E4B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896F4E04"/>
    <w:multiLevelType w:val="hybridMultilevel"/>
    <w:tmpl w:val="2BB68A1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8A6C1826"/>
    <w:multiLevelType w:val="hybridMultilevel"/>
    <w:tmpl w:val="45F0819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8AAA9444"/>
    <w:multiLevelType w:val="hybridMultilevel"/>
    <w:tmpl w:val="E0CB4B7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8F0F0558"/>
    <w:multiLevelType w:val="hybridMultilevel"/>
    <w:tmpl w:val="5E2048A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8FEC49A4"/>
    <w:multiLevelType w:val="hybridMultilevel"/>
    <w:tmpl w:val="16402EE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91EC2ED8"/>
    <w:multiLevelType w:val="hybridMultilevel"/>
    <w:tmpl w:val="E845D7E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93347490"/>
    <w:multiLevelType w:val="hybridMultilevel"/>
    <w:tmpl w:val="102E30A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95858AC3"/>
    <w:multiLevelType w:val="hybridMultilevel"/>
    <w:tmpl w:val="800E611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9631F3F0"/>
    <w:multiLevelType w:val="hybridMultilevel"/>
    <w:tmpl w:val="50854C2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96B0C0E3"/>
    <w:multiLevelType w:val="hybridMultilevel"/>
    <w:tmpl w:val="D68E298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972A2352"/>
    <w:multiLevelType w:val="hybridMultilevel"/>
    <w:tmpl w:val="7C18CF3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98ED0C8C"/>
    <w:multiLevelType w:val="hybridMultilevel"/>
    <w:tmpl w:val="9E27C70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990F6461"/>
    <w:multiLevelType w:val="hybridMultilevel"/>
    <w:tmpl w:val="8849383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9946E2F1"/>
    <w:multiLevelType w:val="hybridMultilevel"/>
    <w:tmpl w:val="B3A319B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9AFFD070"/>
    <w:multiLevelType w:val="hybridMultilevel"/>
    <w:tmpl w:val="EA376AA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9BD02CA3"/>
    <w:multiLevelType w:val="hybridMultilevel"/>
    <w:tmpl w:val="8166EE8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9C322284"/>
    <w:multiLevelType w:val="hybridMultilevel"/>
    <w:tmpl w:val="BE0C75B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9D50A5FC"/>
    <w:multiLevelType w:val="hybridMultilevel"/>
    <w:tmpl w:val="C2CFA83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9E8E73AD"/>
    <w:multiLevelType w:val="hybridMultilevel"/>
    <w:tmpl w:val="EB95F28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9F853EA6"/>
    <w:multiLevelType w:val="hybridMultilevel"/>
    <w:tmpl w:val="9D44652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A05D3583"/>
    <w:multiLevelType w:val="hybridMultilevel"/>
    <w:tmpl w:val="6236D0B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A1150B75"/>
    <w:multiLevelType w:val="hybridMultilevel"/>
    <w:tmpl w:val="D989D8D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A18AEFBA"/>
    <w:multiLevelType w:val="hybridMultilevel"/>
    <w:tmpl w:val="3C8038B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A18F1034"/>
    <w:multiLevelType w:val="hybridMultilevel"/>
    <w:tmpl w:val="683B976B"/>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A53857DC"/>
    <w:multiLevelType w:val="hybridMultilevel"/>
    <w:tmpl w:val="41E8E90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A5D7DD8E"/>
    <w:multiLevelType w:val="hybridMultilevel"/>
    <w:tmpl w:val="3F01876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A6D23615"/>
    <w:multiLevelType w:val="hybridMultilevel"/>
    <w:tmpl w:val="1AD909B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A6EBFFDC"/>
    <w:multiLevelType w:val="hybridMultilevel"/>
    <w:tmpl w:val="4CA7A2C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A8F9C3BC"/>
    <w:multiLevelType w:val="hybridMultilevel"/>
    <w:tmpl w:val="5F85670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AA1FF93A"/>
    <w:multiLevelType w:val="hybridMultilevel"/>
    <w:tmpl w:val="B81A81B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AEB21DC4"/>
    <w:multiLevelType w:val="hybridMultilevel"/>
    <w:tmpl w:val="C910C7D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AF5726A5"/>
    <w:multiLevelType w:val="hybridMultilevel"/>
    <w:tmpl w:val="E4966D9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nsid w:val="AFF380D8"/>
    <w:multiLevelType w:val="hybridMultilevel"/>
    <w:tmpl w:val="7D0A320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B1A9F038"/>
    <w:multiLevelType w:val="hybridMultilevel"/>
    <w:tmpl w:val="F6A315B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nsid w:val="B252FF41"/>
    <w:multiLevelType w:val="hybridMultilevel"/>
    <w:tmpl w:val="DF9928C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B25C80BF"/>
    <w:multiLevelType w:val="hybridMultilevel"/>
    <w:tmpl w:val="36AA44E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nsid w:val="B2866191"/>
    <w:multiLevelType w:val="hybridMultilevel"/>
    <w:tmpl w:val="776D348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nsid w:val="B4BA7ADE"/>
    <w:multiLevelType w:val="hybridMultilevel"/>
    <w:tmpl w:val="AE4592E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nsid w:val="B826B30A"/>
    <w:multiLevelType w:val="hybridMultilevel"/>
    <w:tmpl w:val="0AEFAA8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nsid w:val="B83710D5"/>
    <w:multiLevelType w:val="hybridMultilevel"/>
    <w:tmpl w:val="7B8484E9"/>
    <w:lvl w:ilvl="0" w:tplc="FFFFFFFF">
      <w:start w:val="1"/>
      <w:numFmt w:val="bullet"/>
      <w:lvlText w:val="•"/>
      <w:lvlJc w:val="left"/>
    </w:lvl>
    <w:lvl w:ilvl="1" w:tplc="FFFFFFFF">
      <w:start w:val="1"/>
      <w:numFmt w:val="ideographDigital"/>
      <w:lvlText w:val="•"/>
      <w:lvlJc w:val="left"/>
    </w:lvl>
    <w:lvl w:ilvl="2" w:tplc="FFFFFFFF">
      <w:start w:val="1"/>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nsid w:val="B9CEE555"/>
    <w:multiLevelType w:val="hybridMultilevel"/>
    <w:tmpl w:val="132E3AE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9">
    <w:nsid w:val="B9FE4DCB"/>
    <w:multiLevelType w:val="hybridMultilevel"/>
    <w:tmpl w:val="8D2C085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nsid w:val="BA6043E3"/>
    <w:multiLevelType w:val="hybridMultilevel"/>
    <w:tmpl w:val="8DD6D09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nsid w:val="BAD26E17"/>
    <w:multiLevelType w:val="hybridMultilevel"/>
    <w:tmpl w:val="EA7E213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nsid w:val="BBE2A39E"/>
    <w:multiLevelType w:val="hybridMultilevel"/>
    <w:tmpl w:val="6B1A526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nsid w:val="BBFDCD21"/>
    <w:multiLevelType w:val="hybridMultilevel"/>
    <w:tmpl w:val="8B54EBA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4">
    <w:nsid w:val="BC8BD3DE"/>
    <w:multiLevelType w:val="hybridMultilevel"/>
    <w:tmpl w:val="4527165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nsid w:val="BDAF3690"/>
    <w:multiLevelType w:val="hybridMultilevel"/>
    <w:tmpl w:val="EC6568D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nsid w:val="BDE4B03A"/>
    <w:multiLevelType w:val="hybridMultilevel"/>
    <w:tmpl w:val="B8748D2B"/>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nsid w:val="BF8025C7"/>
    <w:multiLevelType w:val="hybridMultilevel"/>
    <w:tmpl w:val="8CDD392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8">
    <w:nsid w:val="BFFA5A18"/>
    <w:multiLevelType w:val="hybridMultilevel"/>
    <w:tmpl w:val="0314D41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nsid w:val="C08AE0CE"/>
    <w:multiLevelType w:val="hybridMultilevel"/>
    <w:tmpl w:val="86952F6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nsid w:val="C29A4EF2"/>
    <w:multiLevelType w:val="hybridMultilevel"/>
    <w:tmpl w:val="97A9136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1">
    <w:nsid w:val="C2E87300"/>
    <w:multiLevelType w:val="hybridMultilevel"/>
    <w:tmpl w:val="757ECD6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2">
    <w:nsid w:val="C317964E"/>
    <w:multiLevelType w:val="hybridMultilevel"/>
    <w:tmpl w:val="1260341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3">
    <w:nsid w:val="C31B0A3E"/>
    <w:multiLevelType w:val="hybridMultilevel"/>
    <w:tmpl w:val="D36C684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4">
    <w:nsid w:val="C34F2CB1"/>
    <w:multiLevelType w:val="hybridMultilevel"/>
    <w:tmpl w:val="28035E5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5">
    <w:nsid w:val="C5E66FF4"/>
    <w:multiLevelType w:val="hybridMultilevel"/>
    <w:tmpl w:val="59867D3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6">
    <w:nsid w:val="C983D022"/>
    <w:multiLevelType w:val="hybridMultilevel"/>
    <w:tmpl w:val="204ABA7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7">
    <w:nsid w:val="CA5C2DF4"/>
    <w:multiLevelType w:val="hybridMultilevel"/>
    <w:tmpl w:val="E35160E8"/>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nsid w:val="CC70BAF0"/>
    <w:multiLevelType w:val="hybridMultilevel"/>
    <w:tmpl w:val="4BE2CF1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9">
    <w:nsid w:val="CDBEEBC9"/>
    <w:multiLevelType w:val="hybridMultilevel"/>
    <w:tmpl w:val="2BBAECE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0">
    <w:nsid w:val="CEB48A05"/>
    <w:multiLevelType w:val="hybridMultilevel"/>
    <w:tmpl w:val="17EE8F6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nsid w:val="D058BE2D"/>
    <w:multiLevelType w:val="hybridMultilevel"/>
    <w:tmpl w:val="D7C85D8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2">
    <w:nsid w:val="D276393C"/>
    <w:multiLevelType w:val="hybridMultilevel"/>
    <w:tmpl w:val="793EF69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3">
    <w:nsid w:val="D4B2D145"/>
    <w:multiLevelType w:val="hybridMultilevel"/>
    <w:tmpl w:val="5F949C0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4">
    <w:nsid w:val="D72036BB"/>
    <w:multiLevelType w:val="hybridMultilevel"/>
    <w:tmpl w:val="16BAE40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5">
    <w:nsid w:val="D7EEB54C"/>
    <w:multiLevelType w:val="hybridMultilevel"/>
    <w:tmpl w:val="49F2E37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6">
    <w:nsid w:val="D91E1B49"/>
    <w:multiLevelType w:val="hybridMultilevel"/>
    <w:tmpl w:val="35E97E2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7">
    <w:nsid w:val="DA2AE375"/>
    <w:multiLevelType w:val="hybridMultilevel"/>
    <w:tmpl w:val="AC9589A0"/>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8">
    <w:nsid w:val="DE5AD2F3"/>
    <w:multiLevelType w:val="hybridMultilevel"/>
    <w:tmpl w:val="E1D8721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9">
    <w:nsid w:val="DE86E47C"/>
    <w:multiLevelType w:val="hybridMultilevel"/>
    <w:tmpl w:val="2F341F33"/>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0">
    <w:nsid w:val="E334A316"/>
    <w:multiLevelType w:val="hybridMultilevel"/>
    <w:tmpl w:val="28F73D2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1">
    <w:nsid w:val="E4169AD5"/>
    <w:multiLevelType w:val="hybridMultilevel"/>
    <w:tmpl w:val="3C0A659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2">
    <w:nsid w:val="E74A3B52"/>
    <w:multiLevelType w:val="hybridMultilevel"/>
    <w:tmpl w:val="EFBC775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3">
    <w:nsid w:val="E84AB47D"/>
    <w:multiLevelType w:val="hybridMultilevel"/>
    <w:tmpl w:val="87B880B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4">
    <w:nsid w:val="EA4219EB"/>
    <w:multiLevelType w:val="hybridMultilevel"/>
    <w:tmpl w:val="1C80294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5">
    <w:nsid w:val="EAAC6271"/>
    <w:multiLevelType w:val="hybridMultilevel"/>
    <w:tmpl w:val="0351DE1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6">
    <w:nsid w:val="ED740705"/>
    <w:multiLevelType w:val="hybridMultilevel"/>
    <w:tmpl w:val="15AA9CB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7">
    <w:nsid w:val="F080423F"/>
    <w:multiLevelType w:val="hybridMultilevel"/>
    <w:tmpl w:val="F29C83B5"/>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8">
    <w:nsid w:val="F0F188F7"/>
    <w:multiLevelType w:val="hybridMultilevel"/>
    <w:tmpl w:val="58E6AF9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9">
    <w:nsid w:val="F1344D64"/>
    <w:multiLevelType w:val="hybridMultilevel"/>
    <w:tmpl w:val="10203F0B"/>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0">
    <w:nsid w:val="F31E8181"/>
    <w:multiLevelType w:val="hybridMultilevel"/>
    <w:tmpl w:val="A21090B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1">
    <w:nsid w:val="F380A787"/>
    <w:multiLevelType w:val="hybridMultilevel"/>
    <w:tmpl w:val="C5775CA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2">
    <w:nsid w:val="F4B48289"/>
    <w:multiLevelType w:val="hybridMultilevel"/>
    <w:tmpl w:val="29B6DFA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3">
    <w:nsid w:val="FC759C28"/>
    <w:multiLevelType w:val="hybridMultilevel"/>
    <w:tmpl w:val="80A5409B"/>
    <w:lvl w:ilvl="0" w:tplc="FFFFFFFF">
      <w:start w:val="1"/>
      <w:numFmt w:val="bullet"/>
      <w:lvlText w:val="•"/>
      <w:lvlJc w:val="left"/>
    </w:lvl>
    <w:lvl w:ilvl="1" w:tplc="FFFFFFFF">
      <w:start w:val="1"/>
      <w:numFmt w:val="ideographDigital"/>
      <w:lvlText w:val="•"/>
      <w:lvlJc w:val="left"/>
    </w:lvl>
    <w:lvl w:ilvl="2" w:tplc="FFFFFFFF">
      <w:start w:val="1"/>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4">
    <w:nsid w:val="FD29D004"/>
    <w:multiLevelType w:val="hybridMultilevel"/>
    <w:tmpl w:val="6E4174FB"/>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5">
    <w:nsid w:val="FE387982"/>
    <w:multiLevelType w:val="hybridMultilevel"/>
    <w:tmpl w:val="92EA9697"/>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6">
    <w:nsid w:val="FE4CCB42"/>
    <w:multiLevelType w:val="hybridMultilevel"/>
    <w:tmpl w:val="B7C684C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7">
    <w:nsid w:val="FE7F08DE"/>
    <w:multiLevelType w:val="hybridMultilevel"/>
    <w:tmpl w:val="4281065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8">
    <w:nsid w:val="FE83C615"/>
    <w:multiLevelType w:val="hybridMultilevel"/>
    <w:tmpl w:val="B8BC538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9">
    <w:nsid w:val="FF0B00D4"/>
    <w:multiLevelType w:val="hybridMultilevel"/>
    <w:tmpl w:val="55B246C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0">
    <w:nsid w:val="FFD7F390"/>
    <w:multiLevelType w:val="hybridMultilevel"/>
    <w:tmpl w:val="D2A0E133"/>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1">
    <w:nsid w:val="00AEECCC"/>
    <w:multiLevelType w:val="hybridMultilevel"/>
    <w:tmpl w:val="9B1B384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2">
    <w:nsid w:val="00FCE849"/>
    <w:multiLevelType w:val="hybridMultilevel"/>
    <w:tmpl w:val="4D80B72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3">
    <w:nsid w:val="02056FEB"/>
    <w:multiLevelType w:val="hybridMultilevel"/>
    <w:tmpl w:val="FDD3488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4">
    <w:nsid w:val="0253F240"/>
    <w:multiLevelType w:val="hybridMultilevel"/>
    <w:tmpl w:val="1ED45BE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5">
    <w:nsid w:val="02C30986"/>
    <w:multiLevelType w:val="hybridMultilevel"/>
    <w:tmpl w:val="E558591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6">
    <w:nsid w:val="03677BF8"/>
    <w:multiLevelType w:val="hybridMultilevel"/>
    <w:tmpl w:val="6EC2C13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7">
    <w:nsid w:val="0372355C"/>
    <w:multiLevelType w:val="hybridMultilevel"/>
    <w:tmpl w:val="1D241D6D"/>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8">
    <w:nsid w:val="0627FF58"/>
    <w:multiLevelType w:val="hybridMultilevel"/>
    <w:tmpl w:val="05F7EA6B"/>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9">
    <w:nsid w:val="089CEFEA"/>
    <w:multiLevelType w:val="hybridMultilevel"/>
    <w:tmpl w:val="AAB5ADE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0">
    <w:nsid w:val="08AA857E"/>
    <w:multiLevelType w:val="hybridMultilevel"/>
    <w:tmpl w:val="B24FB97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1">
    <w:nsid w:val="09757B2D"/>
    <w:multiLevelType w:val="hybridMultilevel"/>
    <w:tmpl w:val="06317D75"/>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2">
    <w:nsid w:val="0AC572F1"/>
    <w:multiLevelType w:val="hybridMultilevel"/>
    <w:tmpl w:val="5B14A461"/>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3">
    <w:nsid w:val="0D6092FE"/>
    <w:multiLevelType w:val="hybridMultilevel"/>
    <w:tmpl w:val="2D634BCB"/>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4">
    <w:nsid w:val="0E78FF38"/>
    <w:multiLevelType w:val="hybridMultilevel"/>
    <w:tmpl w:val="A0780B6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5">
    <w:nsid w:val="0F650638"/>
    <w:multiLevelType w:val="hybridMultilevel"/>
    <w:tmpl w:val="8E727FB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6">
    <w:nsid w:val="0FAC0D05"/>
    <w:multiLevelType w:val="hybridMultilevel"/>
    <w:tmpl w:val="90D975C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7">
    <w:nsid w:val="0FF69A98"/>
    <w:multiLevelType w:val="hybridMultilevel"/>
    <w:tmpl w:val="2DC4955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8">
    <w:nsid w:val="10047588"/>
    <w:multiLevelType w:val="hybridMultilevel"/>
    <w:tmpl w:val="F36BC14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9">
    <w:nsid w:val="1088F4FC"/>
    <w:multiLevelType w:val="hybridMultilevel"/>
    <w:tmpl w:val="7915EF7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0">
    <w:nsid w:val="12077272"/>
    <w:multiLevelType w:val="hybridMultilevel"/>
    <w:tmpl w:val="E1984DB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1">
    <w:nsid w:val="137A7B9D"/>
    <w:multiLevelType w:val="hybridMultilevel"/>
    <w:tmpl w:val="894DA8F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2">
    <w:nsid w:val="14ED4A15"/>
    <w:multiLevelType w:val="hybridMultilevel"/>
    <w:tmpl w:val="C9EE0AA0"/>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3">
    <w:nsid w:val="14F988DC"/>
    <w:multiLevelType w:val="hybridMultilevel"/>
    <w:tmpl w:val="B3E43647"/>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4">
    <w:nsid w:val="16F38F7B"/>
    <w:multiLevelType w:val="hybridMultilevel"/>
    <w:tmpl w:val="7D354D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5">
    <w:nsid w:val="173B2FA1"/>
    <w:multiLevelType w:val="hybridMultilevel"/>
    <w:tmpl w:val="A4B0ABF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6">
    <w:nsid w:val="1876F369"/>
    <w:multiLevelType w:val="hybridMultilevel"/>
    <w:tmpl w:val="F9DBD5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7">
    <w:nsid w:val="18C2354E"/>
    <w:multiLevelType w:val="hybridMultilevel"/>
    <w:tmpl w:val="F43D3A7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8">
    <w:nsid w:val="18F9FAC3"/>
    <w:multiLevelType w:val="hybridMultilevel"/>
    <w:tmpl w:val="325977B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9">
    <w:nsid w:val="192E4F94"/>
    <w:multiLevelType w:val="hybridMultilevel"/>
    <w:tmpl w:val="AEB3F2B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0">
    <w:nsid w:val="196080A7"/>
    <w:multiLevelType w:val="hybridMultilevel"/>
    <w:tmpl w:val="ECD2873C"/>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1">
    <w:nsid w:val="1A77BC19"/>
    <w:multiLevelType w:val="hybridMultilevel"/>
    <w:tmpl w:val="D50D7CD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2">
    <w:nsid w:val="1AA496D9"/>
    <w:multiLevelType w:val="hybridMultilevel"/>
    <w:tmpl w:val="FC30E87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3">
    <w:nsid w:val="1CB962E5"/>
    <w:multiLevelType w:val="hybridMultilevel"/>
    <w:tmpl w:val="8B26A75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4">
    <w:nsid w:val="1EF8331A"/>
    <w:multiLevelType w:val="hybridMultilevel"/>
    <w:tmpl w:val="CB06407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5">
    <w:nsid w:val="21E8F5D1"/>
    <w:multiLevelType w:val="hybridMultilevel"/>
    <w:tmpl w:val="6BC2BD6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6">
    <w:nsid w:val="23348DF2"/>
    <w:multiLevelType w:val="hybridMultilevel"/>
    <w:tmpl w:val="4400976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7">
    <w:nsid w:val="23F06F7C"/>
    <w:multiLevelType w:val="hybridMultilevel"/>
    <w:tmpl w:val="B69A639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8">
    <w:nsid w:val="2419AD01"/>
    <w:multiLevelType w:val="hybridMultilevel"/>
    <w:tmpl w:val="2757457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9">
    <w:nsid w:val="266FCD6A"/>
    <w:multiLevelType w:val="hybridMultilevel"/>
    <w:tmpl w:val="64C2A4DB"/>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0">
    <w:nsid w:val="277C0E16"/>
    <w:multiLevelType w:val="hybridMultilevel"/>
    <w:tmpl w:val="7C1E8CA4"/>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1">
    <w:nsid w:val="28C4502F"/>
    <w:multiLevelType w:val="hybridMultilevel"/>
    <w:tmpl w:val="2AB156A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2">
    <w:nsid w:val="296335B2"/>
    <w:multiLevelType w:val="hybridMultilevel"/>
    <w:tmpl w:val="F4892D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3">
    <w:nsid w:val="2B976FCC"/>
    <w:multiLevelType w:val="hybridMultilevel"/>
    <w:tmpl w:val="4ACBF9D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4">
    <w:nsid w:val="2C6C3E92"/>
    <w:multiLevelType w:val="hybridMultilevel"/>
    <w:tmpl w:val="8A74615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5">
    <w:nsid w:val="2FEEFEFE"/>
    <w:multiLevelType w:val="hybridMultilevel"/>
    <w:tmpl w:val="C0700B1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6">
    <w:nsid w:val="333D3659"/>
    <w:multiLevelType w:val="hybridMultilevel"/>
    <w:tmpl w:val="1E39EF3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7">
    <w:nsid w:val="3477CA06"/>
    <w:multiLevelType w:val="hybridMultilevel"/>
    <w:tmpl w:val="031EEA8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8">
    <w:nsid w:val="34AC9262"/>
    <w:multiLevelType w:val="hybridMultilevel"/>
    <w:tmpl w:val="3878DE0D"/>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9">
    <w:nsid w:val="36D8A1DD"/>
    <w:multiLevelType w:val="hybridMultilevel"/>
    <w:tmpl w:val="E2F8D49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0">
    <w:nsid w:val="36DCAF0B"/>
    <w:multiLevelType w:val="hybridMultilevel"/>
    <w:tmpl w:val="58B4508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1">
    <w:nsid w:val="3A2A21D3"/>
    <w:multiLevelType w:val="hybridMultilevel"/>
    <w:tmpl w:val="042406E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2">
    <w:nsid w:val="3B932445"/>
    <w:multiLevelType w:val="hybridMultilevel"/>
    <w:tmpl w:val="12020D0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3">
    <w:nsid w:val="3BA9AA0F"/>
    <w:multiLevelType w:val="hybridMultilevel"/>
    <w:tmpl w:val="8141BF2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4">
    <w:nsid w:val="3E6BAF51"/>
    <w:multiLevelType w:val="hybridMultilevel"/>
    <w:tmpl w:val="56EBEC39"/>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5">
    <w:nsid w:val="3EE2685A"/>
    <w:multiLevelType w:val="hybridMultilevel"/>
    <w:tmpl w:val="17B7112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6">
    <w:nsid w:val="3FDE4C71"/>
    <w:multiLevelType w:val="hybridMultilevel"/>
    <w:tmpl w:val="857401F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7">
    <w:nsid w:val="4385CB1D"/>
    <w:multiLevelType w:val="hybridMultilevel"/>
    <w:tmpl w:val="EA088BD1"/>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8">
    <w:nsid w:val="43D40BD5"/>
    <w:multiLevelType w:val="hybridMultilevel"/>
    <w:tmpl w:val="1314851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9">
    <w:nsid w:val="4458FDFF"/>
    <w:multiLevelType w:val="hybridMultilevel"/>
    <w:tmpl w:val="A03B9DD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0">
    <w:nsid w:val="4513A122"/>
    <w:multiLevelType w:val="hybridMultilevel"/>
    <w:tmpl w:val="421A959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1">
    <w:nsid w:val="47F7A630"/>
    <w:multiLevelType w:val="hybridMultilevel"/>
    <w:tmpl w:val="415A835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2">
    <w:nsid w:val="48953ED6"/>
    <w:multiLevelType w:val="hybridMultilevel"/>
    <w:tmpl w:val="D03AEFD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3">
    <w:nsid w:val="494671E0"/>
    <w:multiLevelType w:val="hybridMultilevel"/>
    <w:tmpl w:val="D1C9FC2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4">
    <w:nsid w:val="4A551FC4"/>
    <w:multiLevelType w:val="hybridMultilevel"/>
    <w:tmpl w:val="B70EBB0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5">
    <w:nsid w:val="4B67A9F0"/>
    <w:multiLevelType w:val="hybridMultilevel"/>
    <w:tmpl w:val="FD72F28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6">
    <w:nsid w:val="4BE991BC"/>
    <w:multiLevelType w:val="hybridMultilevel"/>
    <w:tmpl w:val="5D28761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7">
    <w:nsid w:val="4D00A89E"/>
    <w:multiLevelType w:val="hybridMultilevel"/>
    <w:tmpl w:val="834964CC"/>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8">
    <w:nsid w:val="4E6DDD2B"/>
    <w:multiLevelType w:val="hybridMultilevel"/>
    <w:tmpl w:val="D880F09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9">
    <w:nsid w:val="4F05A23A"/>
    <w:multiLevelType w:val="hybridMultilevel"/>
    <w:tmpl w:val="E9FED91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0">
    <w:nsid w:val="5356A5C5"/>
    <w:multiLevelType w:val="hybridMultilevel"/>
    <w:tmpl w:val="F79E7410"/>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1">
    <w:nsid w:val="552E553E"/>
    <w:multiLevelType w:val="hybridMultilevel"/>
    <w:tmpl w:val="0B4DDE0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2">
    <w:nsid w:val="55DDCDEE"/>
    <w:multiLevelType w:val="hybridMultilevel"/>
    <w:tmpl w:val="B5D3686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3">
    <w:nsid w:val="57085DF8"/>
    <w:multiLevelType w:val="hybridMultilevel"/>
    <w:tmpl w:val="2A74700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4">
    <w:nsid w:val="59262C50"/>
    <w:multiLevelType w:val="hybridMultilevel"/>
    <w:tmpl w:val="4778350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5">
    <w:nsid w:val="59AFD173"/>
    <w:multiLevelType w:val="hybridMultilevel"/>
    <w:tmpl w:val="13CE048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6">
    <w:nsid w:val="59FEF140"/>
    <w:multiLevelType w:val="hybridMultilevel"/>
    <w:tmpl w:val="23ECDA1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7">
    <w:nsid w:val="5A350BD1"/>
    <w:multiLevelType w:val="hybridMultilevel"/>
    <w:tmpl w:val="69D2087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8">
    <w:nsid w:val="5AF171EF"/>
    <w:multiLevelType w:val="hybridMultilevel"/>
    <w:tmpl w:val="830D07F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9">
    <w:nsid w:val="5C948EF0"/>
    <w:multiLevelType w:val="hybridMultilevel"/>
    <w:tmpl w:val="D284DB9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0">
    <w:nsid w:val="5CF923DD"/>
    <w:multiLevelType w:val="hybridMultilevel"/>
    <w:tmpl w:val="077AE96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1">
    <w:nsid w:val="5F2ED4E3"/>
    <w:multiLevelType w:val="hybridMultilevel"/>
    <w:tmpl w:val="4611993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2">
    <w:nsid w:val="65A2A4D3"/>
    <w:multiLevelType w:val="hybridMultilevel"/>
    <w:tmpl w:val="14849AD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3">
    <w:nsid w:val="665E8023"/>
    <w:multiLevelType w:val="hybridMultilevel"/>
    <w:tmpl w:val="61DE826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4">
    <w:nsid w:val="66CB9DEE"/>
    <w:multiLevelType w:val="hybridMultilevel"/>
    <w:tmpl w:val="4925F19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5">
    <w:nsid w:val="69963C40"/>
    <w:multiLevelType w:val="hybridMultilevel"/>
    <w:tmpl w:val="EB4801C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6">
    <w:nsid w:val="6A6E2A60"/>
    <w:multiLevelType w:val="hybridMultilevel"/>
    <w:tmpl w:val="66A9B03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7">
    <w:nsid w:val="6C60296F"/>
    <w:multiLevelType w:val="hybridMultilevel"/>
    <w:tmpl w:val="44F18D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8">
    <w:nsid w:val="6C726142"/>
    <w:multiLevelType w:val="hybridMultilevel"/>
    <w:tmpl w:val="7CDB198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9">
    <w:nsid w:val="6EE4CDB2"/>
    <w:multiLevelType w:val="hybridMultilevel"/>
    <w:tmpl w:val="C9FD7FB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0">
    <w:nsid w:val="71D8F8DE"/>
    <w:multiLevelType w:val="hybridMultilevel"/>
    <w:tmpl w:val="F8F9327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1">
    <w:nsid w:val="734C58E8"/>
    <w:multiLevelType w:val="hybridMultilevel"/>
    <w:tmpl w:val="F0B3E21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2">
    <w:nsid w:val="73B570E7"/>
    <w:multiLevelType w:val="hybridMultilevel"/>
    <w:tmpl w:val="D9EC3F2A"/>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3">
    <w:nsid w:val="74494E5C"/>
    <w:multiLevelType w:val="hybridMultilevel"/>
    <w:tmpl w:val="086F63B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4">
    <w:nsid w:val="744DC17E"/>
    <w:multiLevelType w:val="hybridMultilevel"/>
    <w:tmpl w:val="78B028D3"/>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5">
    <w:nsid w:val="748E28B7"/>
    <w:multiLevelType w:val="hybridMultilevel"/>
    <w:tmpl w:val="DD4E5FD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6">
    <w:nsid w:val="75143C03"/>
    <w:multiLevelType w:val="hybridMultilevel"/>
    <w:tmpl w:val="218644D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7">
    <w:nsid w:val="7613036C"/>
    <w:multiLevelType w:val="hybridMultilevel"/>
    <w:tmpl w:val="06BFE6C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8">
    <w:nsid w:val="7676530C"/>
    <w:multiLevelType w:val="hybridMultilevel"/>
    <w:tmpl w:val="7B2F388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9">
    <w:nsid w:val="77719466"/>
    <w:multiLevelType w:val="hybridMultilevel"/>
    <w:tmpl w:val="CFA0927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0">
    <w:nsid w:val="778E7A80"/>
    <w:multiLevelType w:val="hybridMultilevel"/>
    <w:tmpl w:val="448D15C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1">
    <w:nsid w:val="7F60A04A"/>
    <w:multiLevelType w:val="hybridMultilevel"/>
    <w:tmpl w:val="2B10CD13"/>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55"/>
  </w:num>
  <w:num w:numId="2">
    <w:abstractNumId w:val="59"/>
  </w:num>
  <w:num w:numId="3">
    <w:abstractNumId w:val="68"/>
  </w:num>
  <w:num w:numId="4">
    <w:abstractNumId w:val="95"/>
  </w:num>
  <w:num w:numId="5">
    <w:abstractNumId w:val="49"/>
  </w:num>
  <w:num w:numId="6">
    <w:abstractNumId w:val="133"/>
  </w:num>
  <w:num w:numId="7">
    <w:abstractNumId w:val="52"/>
  </w:num>
  <w:num w:numId="8">
    <w:abstractNumId w:val="72"/>
  </w:num>
  <w:num w:numId="9">
    <w:abstractNumId w:val="79"/>
  </w:num>
  <w:num w:numId="10">
    <w:abstractNumId w:val="101"/>
  </w:num>
  <w:num w:numId="11">
    <w:abstractNumId w:val="81"/>
  </w:num>
  <w:num w:numId="12">
    <w:abstractNumId w:val="188"/>
  </w:num>
  <w:num w:numId="13">
    <w:abstractNumId w:val="27"/>
  </w:num>
  <w:num w:numId="14">
    <w:abstractNumId w:val="110"/>
  </w:num>
  <w:num w:numId="15">
    <w:abstractNumId w:val="41"/>
  </w:num>
  <w:num w:numId="16">
    <w:abstractNumId w:val="164"/>
  </w:num>
  <w:num w:numId="17">
    <w:abstractNumId w:val="104"/>
  </w:num>
  <w:num w:numId="18">
    <w:abstractNumId w:val="76"/>
  </w:num>
  <w:num w:numId="19">
    <w:abstractNumId w:val="90"/>
  </w:num>
  <w:num w:numId="20">
    <w:abstractNumId w:val="37"/>
  </w:num>
  <w:num w:numId="21">
    <w:abstractNumId w:val="7"/>
  </w:num>
  <w:num w:numId="22">
    <w:abstractNumId w:val="39"/>
  </w:num>
  <w:num w:numId="23">
    <w:abstractNumId w:val="65"/>
  </w:num>
  <w:num w:numId="24">
    <w:abstractNumId w:val="131"/>
  </w:num>
  <w:num w:numId="25">
    <w:abstractNumId w:val="116"/>
  </w:num>
  <w:num w:numId="26">
    <w:abstractNumId w:val="50"/>
  </w:num>
  <w:num w:numId="27">
    <w:abstractNumId w:val="44"/>
  </w:num>
  <w:num w:numId="28">
    <w:abstractNumId w:val="35"/>
  </w:num>
  <w:num w:numId="29">
    <w:abstractNumId w:val="42"/>
  </w:num>
  <w:num w:numId="30">
    <w:abstractNumId w:val="147"/>
  </w:num>
  <w:num w:numId="31">
    <w:abstractNumId w:val="33"/>
  </w:num>
  <w:num w:numId="32">
    <w:abstractNumId w:val="3"/>
  </w:num>
  <w:num w:numId="33">
    <w:abstractNumId w:val="102"/>
  </w:num>
  <w:num w:numId="34">
    <w:abstractNumId w:val="155"/>
  </w:num>
  <w:num w:numId="35">
    <w:abstractNumId w:val="165"/>
  </w:num>
  <w:num w:numId="36">
    <w:abstractNumId w:val="16"/>
  </w:num>
  <w:num w:numId="37">
    <w:abstractNumId w:val="29"/>
  </w:num>
  <w:num w:numId="38">
    <w:abstractNumId w:val="115"/>
  </w:num>
  <w:num w:numId="39">
    <w:abstractNumId w:val="198"/>
  </w:num>
  <w:num w:numId="40">
    <w:abstractNumId w:val="180"/>
  </w:num>
  <w:num w:numId="41">
    <w:abstractNumId w:val="96"/>
  </w:num>
  <w:num w:numId="42">
    <w:abstractNumId w:val="173"/>
  </w:num>
  <w:num w:numId="43">
    <w:abstractNumId w:val="62"/>
  </w:num>
  <w:num w:numId="44">
    <w:abstractNumId w:val="157"/>
  </w:num>
  <w:num w:numId="45">
    <w:abstractNumId w:val="61"/>
  </w:num>
  <w:num w:numId="46">
    <w:abstractNumId w:val="13"/>
  </w:num>
  <w:num w:numId="47">
    <w:abstractNumId w:val="74"/>
  </w:num>
  <w:num w:numId="48">
    <w:abstractNumId w:val="89"/>
  </w:num>
  <w:num w:numId="49">
    <w:abstractNumId w:val="196"/>
  </w:num>
  <w:num w:numId="50">
    <w:abstractNumId w:val="98"/>
  </w:num>
  <w:num w:numId="51">
    <w:abstractNumId w:val="45"/>
  </w:num>
  <w:num w:numId="52">
    <w:abstractNumId w:val="149"/>
  </w:num>
  <w:num w:numId="53">
    <w:abstractNumId w:val="25"/>
  </w:num>
  <w:num w:numId="54">
    <w:abstractNumId w:val="91"/>
  </w:num>
  <w:num w:numId="55">
    <w:abstractNumId w:val="193"/>
  </w:num>
  <w:num w:numId="56">
    <w:abstractNumId w:val="36"/>
  </w:num>
  <w:num w:numId="57">
    <w:abstractNumId w:val="80"/>
  </w:num>
  <w:num w:numId="58">
    <w:abstractNumId w:val="30"/>
  </w:num>
  <w:num w:numId="59">
    <w:abstractNumId w:val="163"/>
  </w:num>
  <w:num w:numId="60">
    <w:abstractNumId w:val="113"/>
  </w:num>
  <w:num w:numId="61">
    <w:abstractNumId w:val="82"/>
  </w:num>
  <w:num w:numId="62">
    <w:abstractNumId w:val="166"/>
  </w:num>
  <w:num w:numId="63">
    <w:abstractNumId w:val="186"/>
  </w:num>
  <w:num w:numId="64">
    <w:abstractNumId w:val="54"/>
  </w:num>
  <w:num w:numId="65">
    <w:abstractNumId w:val="51"/>
  </w:num>
  <w:num w:numId="66">
    <w:abstractNumId w:val="174"/>
  </w:num>
  <w:num w:numId="67">
    <w:abstractNumId w:val="132"/>
  </w:num>
  <w:num w:numId="68">
    <w:abstractNumId w:val="191"/>
  </w:num>
  <w:num w:numId="69">
    <w:abstractNumId w:val="185"/>
  </w:num>
  <w:num w:numId="70">
    <w:abstractNumId w:val="23"/>
  </w:num>
  <w:num w:numId="71">
    <w:abstractNumId w:val="129"/>
  </w:num>
  <w:num w:numId="72">
    <w:abstractNumId w:val="192"/>
  </w:num>
  <w:num w:numId="73">
    <w:abstractNumId w:val="128"/>
  </w:num>
  <w:num w:numId="74">
    <w:abstractNumId w:val="73"/>
  </w:num>
  <w:num w:numId="75">
    <w:abstractNumId w:val="161"/>
  </w:num>
  <w:num w:numId="76">
    <w:abstractNumId w:val="123"/>
  </w:num>
  <w:num w:numId="77">
    <w:abstractNumId w:val="69"/>
  </w:num>
  <w:num w:numId="78">
    <w:abstractNumId w:val="172"/>
  </w:num>
  <w:num w:numId="79">
    <w:abstractNumId w:val="189"/>
  </w:num>
  <w:num w:numId="80">
    <w:abstractNumId w:val="168"/>
  </w:num>
  <w:num w:numId="81">
    <w:abstractNumId w:val="182"/>
  </w:num>
  <w:num w:numId="82">
    <w:abstractNumId w:val="31"/>
  </w:num>
  <w:num w:numId="83">
    <w:abstractNumId w:val="6"/>
  </w:num>
  <w:num w:numId="84">
    <w:abstractNumId w:val="135"/>
  </w:num>
  <w:num w:numId="85">
    <w:abstractNumId w:val="22"/>
  </w:num>
  <w:num w:numId="86">
    <w:abstractNumId w:val="119"/>
  </w:num>
  <w:num w:numId="87">
    <w:abstractNumId w:val="124"/>
  </w:num>
  <w:num w:numId="88">
    <w:abstractNumId w:val="60"/>
  </w:num>
  <w:num w:numId="89">
    <w:abstractNumId w:val="184"/>
  </w:num>
  <w:num w:numId="90">
    <w:abstractNumId w:val="1"/>
  </w:num>
  <w:num w:numId="91">
    <w:abstractNumId w:val="153"/>
  </w:num>
  <w:num w:numId="92">
    <w:abstractNumId w:val="127"/>
  </w:num>
  <w:num w:numId="93">
    <w:abstractNumId w:val="121"/>
  </w:num>
  <w:num w:numId="94">
    <w:abstractNumId w:val="194"/>
  </w:num>
  <w:num w:numId="95">
    <w:abstractNumId w:val="187"/>
  </w:num>
  <w:num w:numId="96">
    <w:abstractNumId w:val="15"/>
  </w:num>
  <w:num w:numId="97">
    <w:abstractNumId w:val="57"/>
  </w:num>
  <w:num w:numId="98">
    <w:abstractNumId w:val="175"/>
  </w:num>
  <w:num w:numId="99">
    <w:abstractNumId w:val="21"/>
  </w:num>
  <w:num w:numId="100">
    <w:abstractNumId w:val="117"/>
  </w:num>
  <w:num w:numId="101">
    <w:abstractNumId w:val="114"/>
  </w:num>
  <w:num w:numId="102">
    <w:abstractNumId w:val="99"/>
  </w:num>
  <w:num w:numId="103">
    <w:abstractNumId w:val="199"/>
  </w:num>
  <w:num w:numId="104">
    <w:abstractNumId w:val="5"/>
  </w:num>
  <w:num w:numId="105">
    <w:abstractNumId w:val="32"/>
  </w:num>
  <w:num w:numId="106">
    <w:abstractNumId w:val="103"/>
  </w:num>
  <w:num w:numId="107">
    <w:abstractNumId w:val="26"/>
  </w:num>
  <w:num w:numId="108">
    <w:abstractNumId w:val="63"/>
  </w:num>
  <w:num w:numId="109">
    <w:abstractNumId w:val="24"/>
  </w:num>
  <w:num w:numId="110">
    <w:abstractNumId w:val="134"/>
  </w:num>
  <w:num w:numId="111">
    <w:abstractNumId w:val="12"/>
  </w:num>
  <w:num w:numId="112">
    <w:abstractNumId w:val="19"/>
  </w:num>
  <w:num w:numId="113">
    <w:abstractNumId w:val="126"/>
  </w:num>
  <w:num w:numId="114">
    <w:abstractNumId w:val="8"/>
  </w:num>
  <w:num w:numId="115">
    <w:abstractNumId w:val="105"/>
  </w:num>
  <w:num w:numId="116">
    <w:abstractNumId w:val="108"/>
  </w:num>
  <w:num w:numId="117">
    <w:abstractNumId w:val="197"/>
  </w:num>
  <w:num w:numId="118">
    <w:abstractNumId w:val="141"/>
  </w:num>
  <w:num w:numId="119">
    <w:abstractNumId w:val="160"/>
  </w:num>
  <w:num w:numId="120">
    <w:abstractNumId w:val="78"/>
  </w:num>
  <w:num w:numId="121">
    <w:abstractNumId w:val="138"/>
  </w:num>
  <w:num w:numId="122">
    <w:abstractNumId w:val="146"/>
  </w:num>
  <w:num w:numId="123">
    <w:abstractNumId w:val="38"/>
  </w:num>
  <w:num w:numId="124">
    <w:abstractNumId w:val="139"/>
  </w:num>
  <w:num w:numId="125">
    <w:abstractNumId w:val="152"/>
  </w:num>
  <w:num w:numId="126">
    <w:abstractNumId w:val="84"/>
  </w:num>
  <w:num w:numId="127">
    <w:abstractNumId w:val="130"/>
  </w:num>
  <w:num w:numId="128">
    <w:abstractNumId w:val="170"/>
  </w:num>
  <w:num w:numId="129">
    <w:abstractNumId w:val="136"/>
  </w:num>
  <w:num w:numId="130">
    <w:abstractNumId w:val="17"/>
  </w:num>
  <w:num w:numId="131">
    <w:abstractNumId w:val="10"/>
  </w:num>
  <w:num w:numId="132">
    <w:abstractNumId w:val="92"/>
  </w:num>
  <w:num w:numId="133">
    <w:abstractNumId w:val="67"/>
  </w:num>
  <w:num w:numId="134">
    <w:abstractNumId w:val="87"/>
  </w:num>
  <w:num w:numId="135">
    <w:abstractNumId w:val="100"/>
  </w:num>
  <w:num w:numId="136">
    <w:abstractNumId w:val="167"/>
  </w:num>
  <w:num w:numId="137">
    <w:abstractNumId w:val="181"/>
  </w:num>
  <w:num w:numId="138">
    <w:abstractNumId w:val="58"/>
  </w:num>
  <w:num w:numId="139">
    <w:abstractNumId w:val="137"/>
  </w:num>
  <w:num w:numId="140">
    <w:abstractNumId w:val="9"/>
  </w:num>
  <w:num w:numId="141">
    <w:abstractNumId w:val="47"/>
  </w:num>
  <w:num w:numId="142">
    <w:abstractNumId w:val="48"/>
  </w:num>
  <w:num w:numId="143">
    <w:abstractNumId w:val="195"/>
  </w:num>
  <w:num w:numId="144">
    <w:abstractNumId w:val="64"/>
  </w:num>
  <w:num w:numId="145">
    <w:abstractNumId w:val="66"/>
  </w:num>
  <w:num w:numId="146">
    <w:abstractNumId w:val="71"/>
  </w:num>
  <w:num w:numId="147">
    <w:abstractNumId w:val="178"/>
  </w:num>
  <w:num w:numId="148">
    <w:abstractNumId w:val="143"/>
  </w:num>
  <w:num w:numId="149">
    <w:abstractNumId w:val="94"/>
  </w:num>
  <w:num w:numId="150">
    <w:abstractNumId w:val="2"/>
  </w:num>
  <w:num w:numId="151">
    <w:abstractNumId w:val="158"/>
  </w:num>
  <w:num w:numId="152">
    <w:abstractNumId w:val="20"/>
  </w:num>
  <w:num w:numId="153">
    <w:abstractNumId w:val="112"/>
  </w:num>
  <w:num w:numId="154">
    <w:abstractNumId w:val="88"/>
  </w:num>
  <w:num w:numId="155">
    <w:abstractNumId w:val="85"/>
  </w:num>
  <w:num w:numId="156">
    <w:abstractNumId w:val="190"/>
  </w:num>
  <w:num w:numId="157">
    <w:abstractNumId w:val="111"/>
  </w:num>
  <w:num w:numId="158">
    <w:abstractNumId w:val="4"/>
  </w:num>
  <w:num w:numId="159">
    <w:abstractNumId w:val="169"/>
  </w:num>
  <w:num w:numId="160">
    <w:abstractNumId w:val="150"/>
  </w:num>
  <w:num w:numId="161">
    <w:abstractNumId w:val="159"/>
  </w:num>
  <w:num w:numId="162">
    <w:abstractNumId w:val="43"/>
  </w:num>
  <w:num w:numId="163">
    <w:abstractNumId w:val="53"/>
  </w:num>
  <w:num w:numId="164">
    <w:abstractNumId w:val="179"/>
  </w:num>
  <w:num w:numId="165">
    <w:abstractNumId w:val="0"/>
  </w:num>
  <w:num w:numId="166">
    <w:abstractNumId w:val="118"/>
  </w:num>
  <w:num w:numId="167">
    <w:abstractNumId w:val="40"/>
  </w:num>
  <w:num w:numId="168">
    <w:abstractNumId w:val="122"/>
  </w:num>
  <w:num w:numId="169">
    <w:abstractNumId w:val="148"/>
  </w:num>
  <w:num w:numId="170">
    <w:abstractNumId w:val="200"/>
  </w:num>
  <w:num w:numId="171">
    <w:abstractNumId w:val="93"/>
  </w:num>
  <w:num w:numId="172">
    <w:abstractNumId w:val="177"/>
  </w:num>
  <w:num w:numId="173">
    <w:abstractNumId w:val="86"/>
  </w:num>
  <w:num w:numId="174">
    <w:abstractNumId w:val="107"/>
  </w:num>
  <w:num w:numId="175">
    <w:abstractNumId w:val="77"/>
  </w:num>
  <w:num w:numId="176">
    <w:abstractNumId w:val="109"/>
  </w:num>
  <w:num w:numId="177">
    <w:abstractNumId w:val="75"/>
  </w:num>
  <w:num w:numId="178">
    <w:abstractNumId w:val="156"/>
  </w:num>
  <w:num w:numId="179">
    <w:abstractNumId w:val="145"/>
  </w:num>
  <w:num w:numId="180">
    <w:abstractNumId w:val="11"/>
  </w:num>
  <w:num w:numId="181">
    <w:abstractNumId w:val="28"/>
  </w:num>
  <w:num w:numId="182">
    <w:abstractNumId w:val="125"/>
  </w:num>
  <w:num w:numId="183">
    <w:abstractNumId w:val="176"/>
  </w:num>
  <w:num w:numId="184">
    <w:abstractNumId w:val="14"/>
  </w:num>
  <w:num w:numId="185">
    <w:abstractNumId w:val="162"/>
  </w:num>
  <w:num w:numId="186">
    <w:abstractNumId w:val="201"/>
  </w:num>
  <w:num w:numId="187">
    <w:abstractNumId w:val="144"/>
  </w:num>
  <w:num w:numId="188">
    <w:abstractNumId w:val="97"/>
  </w:num>
  <w:num w:numId="189">
    <w:abstractNumId w:val="151"/>
  </w:num>
  <w:num w:numId="190">
    <w:abstractNumId w:val="142"/>
  </w:num>
  <w:num w:numId="191">
    <w:abstractNumId w:val="120"/>
  </w:num>
  <w:num w:numId="192">
    <w:abstractNumId w:val="34"/>
  </w:num>
  <w:num w:numId="193">
    <w:abstractNumId w:val="70"/>
  </w:num>
  <w:num w:numId="194">
    <w:abstractNumId w:val="18"/>
  </w:num>
  <w:num w:numId="195">
    <w:abstractNumId w:val="154"/>
  </w:num>
  <w:num w:numId="196">
    <w:abstractNumId w:val="106"/>
  </w:num>
  <w:num w:numId="197">
    <w:abstractNumId w:val="83"/>
  </w:num>
  <w:num w:numId="198">
    <w:abstractNumId w:val="46"/>
  </w:num>
  <w:num w:numId="199">
    <w:abstractNumId w:val="56"/>
  </w:num>
  <w:num w:numId="200">
    <w:abstractNumId w:val="140"/>
  </w:num>
  <w:num w:numId="201">
    <w:abstractNumId w:val="183"/>
  </w:num>
  <w:num w:numId="202">
    <w:abstractNumId w:val="171"/>
  </w:num>
  <w:numIdMacAtCleanup w:val="2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9"/>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20F"/>
    <w:rsid w:val="00541A14"/>
    <w:rsid w:val="009E3F25"/>
    <w:rsid w:val="00A450E1"/>
    <w:rsid w:val="00DD420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09CE3E69"/>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pPr>
      <w:widowControl w:val="0"/>
      <w:autoSpaceDE w:val="0"/>
      <w:autoSpaceDN w:val="0"/>
      <w:adjustRightInd w:val="0"/>
    </w:pPr>
    <w:rPr>
      <w:rFonts w:ascii="Dax Condensed" w:hAnsi="Dax Condensed" w:cs="Dax Condensed"/>
      <w:color w:val="000000"/>
      <w:sz w:val="24"/>
      <w:szCs w:val="24"/>
    </w:rPr>
  </w:style>
  <w:style w:type="paragraph" w:customStyle="1" w:styleId="CM1">
    <w:name w:val="CM1"/>
    <w:basedOn w:val="Default"/>
    <w:next w:val="Default"/>
    <w:uiPriority w:val="99"/>
    <w:rPr>
      <w:rFonts w:cs="Times New Roman"/>
      <w:color w:val="auto"/>
    </w:rPr>
  </w:style>
  <w:style w:type="paragraph" w:customStyle="1" w:styleId="CM162">
    <w:name w:val="CM162"/>
    <w:basedOn w:val="Default"/>
    <w:next w:val="Default"/>
    <w:uiPriority w:val="99"/>
    <w:rPr>
      <w:rFonts w:cs="Times New Roman"/>
      <w:color w:val="auto"/>
    </w:rPr>
  </w:style>
  <w:style w:type="paragraph" w:customStyle="1" w:styleId="CM163">
    <w:name w:val="CM163"/>
    <w:basedOn w:val="Default"/>
    <w:next w:val="Default"/>
    <w:uiPriority w:val="99"/>
    <w:rPr>
      <w:rFonts w:cs="Times New Roman"/>
      <w:color w:val="auto"/>
    </w:rPr>
  </w:style>
  <w:style w:type="paragraph" w:customStyle="1" w:styleId="CM164">
    <w:name w:val="CM164"/>
    <w:basedOn w:val="Default"/>
    <w:next w:val="Default"/>
    <w:uiPriority w:val="99"/>
    <w:rPr>
      <w:rFonts w:cs="Times New Roman"/>
      <w:color w:val="auto"/>
    </w:rPr>
  </w:style>
  <w:style w:type="paragraph" w:customStyle="1" w:styleId="CM2">
    <w:name w:val="CM2"/>
    <w:basedOn w:val="Default"/>
    <w:next w:val="Default"/>
    <w:uiPriority w:val="99"/>
    <w:pPr>
      <w:spacing w:line="291" w:lineRule="atLeast"/>
    </w:pPr>
    <w:rPr>
      <w:rFonts w:cs="Times New Roman"/>
      <w:color w:val="auto"/>
    </w:rPr>
  </w:style>
  <w:style w:type="paragraph" w:customStyle="1" w:styleId="CM165">
    <w:name w:val="CM165"/>
    <w:basedOn w:val="Default"/>
    <w:next w:val="Default"/>
    <w:uiPriority w:val="99"/>
    <w:rPr>
      <w:rFonts w:cs="Times New Roman"/>
      <w:color w:val="auto"/>
    </w:rPr>
  </w:style>
  <w:style w:type="paragraph" w:customStyle="1" w:styleId="CM103">
    <w:name w:val="CM103"/>
    <w:basedOn w:val="Default"/>
    <w:next w:val="Default"/>
    <w:uiPriority w:val="99"/>
    <w:pPr>
      <w:spacing w:line="300" w:lineRule="atLeast"/>
    </w:pPr>
    <w:rPr>
      <w:rFonts w:cs="Times New Roman"/>
      <w:color w:val="auto"/>
    </w:rPr>
  </w:style>
  <w:style w:type="paragraph" w:customStyle="1" w:styleId="CM4">
    <w:name w:val="CM4"/>
    <w:basedOn w:val="Default"/>
    <w:next w:val="Default"/>
    <w:uiPriority w:val="99"/>
    <w:pPr>
      <w:spacing w:line="291" w:lineRule="atLeast"/>
    </w:pPr>
    <w:rPr>
      <w:rFonts w:cs="Times New Roman"/>
      <w:color w:val="auto"/>
    </w:rPr>
  </w:style>
  <w:style w:type="paragraph" w:customStyle="1" w:styleId="CM166">
    <w:name w:val="CM166"/>
    <w:basedOn w:val="Default"/>
    <w:next w:val="Default"/>
    <w:uiPriority w:val="99"/>
    <w:rPr>
      <w:rFonts w:cs="Times New Roman"/>
      <w:color w:val="auto"/>
    </w:rPr>
  </w:style>
  <w:style w:type="paragraph" w:customStyle="1" w:styleId="CM5">
    <w:name w:val="CM5"/>
    <w:basedOn w:val="Default"/>
    <w:next w:val="Default"/>
    <w:uiPriority w:val="99"/>
    <w:pPr>
      <w:spacing w:line="413" w:lineRule="atLeast"/>
    </w:pPr>
    <w:rPr>
      <w:rFonts w:cs="Times New Roman"/>
      <w:color w:val="auto"/>
    </w:rPr>
  </w:style>
  <w:style w:type="paragraph" w:customStyle="1" w:styleId="CM167">
    <w:name w:val="CM167"/>
    <w:basedOn w:val="Default"/>
    <w:next w:val="Default"/>
    <w:uiPriority w:val="99"/>
    <w:rPr>
      <w:rFonts w:cs="Times New Roman"/>
      <w:color w:val="auto"/>
    </w:rPr>
  </w:style>
  <w:style w:type="paragraph" w:customStyle="1" w:styleId="CM6">
    <w:name w:val="CM6"/>
    <w:basedOn w:val="Default"/>
    <w:next w:val="Default"/>
    <w:uiPriority w:val="99"/>
    <w:rPr>
      <w:rFonts w:cs="Times New Roman"/>
      <w:color w:val="auto"/>
    </w:rPr>
  </w:style>
  <w:style w:type="paragraph" w:customStyle="1" w:styleId="CM7">
    <w:name w:val="CM7"/>
    <w:basedOn w:val="Default"/>
    <w:next w:val="Default"/>
    <w:uiPriority w:val="99"/>
    <w:rPr>
      <w:rFonts w:cs="Times New Roman"/>
      <w:color w:val="auto"/>
    </w:rPr>
  </w:style>
  <w:style w:type="paragraph" w:customStyle="1" w:styleId="CM8">
    <w:name w:val="CM8"/>
    <w:basedOn w:val="Default"/>
    <w:next w:val="Default"/>
    <w:uiPriority w:val="99"/>
    <w:pPr>
      <w:spacing w:line="358" w:lineRule="atLeast"/>
    </w:pPr>
    <w:rPr>
      <w:rFonts w:cs="Times New Roman"/>
      <w:color w:val="auto"/>
    </w:rPr>
  </w:style>
  <w:style w:type="paragraph" w:customStyle="1" w:styleId="CM9">
    <w:name w:val="CM9"/>
    <w:basedOn w:val="Default"/>
    <w:next w:val="Default"/>
    <w:uiPriority w:val="99"/>
    <w:pPr>
      <w:spacing w:line="356" w:lineRule="atLeast"/>
    </w:pPr>
    <w:rPr>
      <w:rFonts w:cs="Times New Roman"/>
      <w:color w:val="auto"/>
    </w:rPr>
  </w:style>
  <w:style w:type="paragraph" w:customStyle="1" w:styleId="CM10">
    <w:name w:val="CM10"/>
    <w:basedOn w:val="Default"/>
    <w:next w:val="Default"/>
    <w:uiPriority w:val="99"/>
    <w:pPr>
      <w:spacing w:line="356" w:lineRule="atLeast"/>
    </w:pPr>
    <w:rPr>
      <w:rFonts w:cs="Times New Roman"/>
      <w:color w:val="auto"/>
    </w:rPr>
  </w:style>
  <w:style w:type="paragraph" w:customStyle="1" w:styleId="CM11">
    <w:name w:val="CM11"/>
    <w:basedOn w:val="Default"/>
    <w:next w:val="Default"/>
    <w:uiPriority w:val="99"/>
    <w:pPr>
      <w:spacing w:line="296" w:lineRule="atLeast"/>
    </w:pPr>
    <w:rPr>
      <w:rFonts w:cs="Times New Roman"/>
      <w:color w:val="auto"/>
    </w:rPr>
  </w:style>
  <w:style w:type="paragraph" w:customStyle="1" w:styleId="CM12">
    <w:name w:val="CM12"/>
    <w:basedOn w:val="Default"/>
    <w:next w:val="Default"/>
    <w:uiPriority w:val="99"/>
    <w:rPr>
      <w:rFonts w:cs="Times New Roman"/>
      <w:color w:val="auto"/>
    </w:rPr>
  </w:style>
  <w:style w:type="paragraph" w:customStyle="1" w:styleId="CM13">
    <w:name w:val="CM13"/>
    <w:basedOn w:val="Default"/>
    <w:next w:val="Default"/>
    <w:uiPriority w:val="99"/>
    <w:pPr>
      <w:spacing w:line="353" w:lineRule="atLeast"/>
    </w:pPr>
    <w:rPr>
      <w:rFonts w:cs="Times New Roman"/>
      <w:color w:val="auto"/>
    </w:rPr>
  </w:style>
  <w:style w:type="paragraph" w:customStyle="1" w:styleId="CM14">
    <w:name w:val="CM14"/>
    <w:basedOn w:val="Default"/>
    <w:next w:val="Default"/>
    <w:uiPriority w:val="99"/>
    <w:pPr>
      <w:spacing w:line="356" w:lineRule="atLeast"/>
    </w:pPr>
    <w:rPr>
      <w:rFonts w:cs="Times New Roman"/>
      <w:color w:val="auto"/>
    </w:rPr>
  </w:style>
  <w:style w:type="paragraph" w:customStyle="1" w:styleId="CM169">
    <w:name w:val="CM169"/>
    <w:basedOn w:val="Default"/>
    <w:next w:val="Default"/>
    <w:uiPriority w:val="99"/>
    <w:rPr>
      <w:rFonts w:cs="Times New Roman"/>
      <w:color w:val="auto"/>
    </w:rPr>
  </w:style>
  <w:style w:type="paragraph" w:customStyle="1" w:styleId="CM170">
    <w:name w:val="CM170"/>
    <w:basedOn w:val="Default"/>
    <w:next w:val="Default"/>
    <w:uiPriority w:val="99"/>
    <w:rPr>
      <w:rFonts w:cs="Times New Roman"/>
      <w:color w:val="auto"/>
    </w:rPr>
  </w:style>
  <w:style w:type="paragraph" w:customStyle="1" w:styleId="CM171">
    <w:name w:val="CM171"/>
    <w:basedOn w:val="Default"/>
    <w:next w:val="Default"/>
    <w:uiPriority w:val="99"/>
    <w:rPr>
      <w:rFonts w:cs="Times New Roman"/>
      <w:color w:val="auto"/>
    </w:rPr>
  </w:style>
  <w:style w:type="paragraph" w:customStyle="1" w:styleId="CM172">
    <w:name w:val="CM172"/>
    <w:basedOn w:val="Default"/>
    <w:next w:val="Default"/>
    <w:uiPriority w:val="99"/>
    <w:rPr>
      <w:rFonts w:cs="Times New Roman"/>
      <w:color w:val="auto"/>
    </w:rPr>
  </w:style>
  <w:style w:type="paragraph" w:customStyle="1" w:styleId="CM173">
    <w:name w:val="CM173"/>
    <w:basedOn w:val="Default"/>
    <w:next w:val="Default"/>
    <w:uiPriority w:val="99"/>
    <w:rPr>
      <w:rFonts w:cs="Times New Roman"/>
      <w:color w:val="auto"/>
    </w:rPr>
  </w:style>
  <w:style w:type="paragraph" w:customStyle="1" w:styleId="CM15">
    <w:name w:val="CM15"/>
    <w:basedOn w:val="Default"/>
    <w:next w:val="Default"/>
    <w:uiPriority w:val="99"/>
    <w:pPr>
      <w:spacing w:line="293" w:lineRule="atLeast"/>
    </w:pPr>
    <w:rPr>
      <w:rFonts w:cs="Times New Roman"/>
      <w:color w:val="auto"/>
    </w:rPr>
  </w:style>
  <w:style w:type="paragraph" w:customStyle="1" w:styleId="CM16">
    <w:name w:val="CM16"/>
    <w:basedOn w:val="Default"/>
    <w:next w:val="Default"/>
    <w:uiPriority w:val="99"/>
    <w:pPr>
      <w:spacing w:line="293" w:lineRule="atLeast"/>
    </w:pPr>
    <w:rPr>
      <w:rFonts w:cs="Times New Roman"/>
      <w:color w:val="auto"/>
    </w:rPr>
  </w:style>
  <w:style w:type="paragraph" w:customStyle="1" w:styleId="CM17">
    <w:name w:val="CM17"/>
    <w:basedOn w:val="Default"/>
    <w:next w:val="Default"/>
    <w:uiPriority w:val="99"/>
    <w:pPr>
      <w:spacing w:line="296" w:lineRule="atLeast"/>
    </w:pPr>
    <w:rPr>
      <w:rFonts w:cs="Times New Roman"/>
      <w:color w:val="auto"/>
    </w:rPr>
  </w:style>
  <w:style w:type="paragraph" w:customStyle="1" w:styleId="CM18">
    <w:name w:val="CM18"/>
    <w:basedOn w:val="Default"/>
    <w:next w:val="Default"/>
    <w:uiPriority w:val="99"/>
    <w:pPr>
      <w:spacing w:line="293" w:lineRule="atLeast"/>
    </w:pPr>
    <w:rPr>
      <w:rFonts w:cs="Times New Roman"/>
      <w:color w:val="auto"/>
    </w:rPr>
  </w:style>
  <w:style w:type="paragraph" w:customStyle="1" w:styleId="CM19">
    <w:name w:val="CM19"/>
    <w:basedOn w:val="Default"/>
    <w:next w:val="Default"/>
    <w:uiPriority w:val="99"/>
    <w:pPr>
      <w:spacing w:line="293" w:lineRule="atLeast"/>
    </w:pPr>
    <w:rPr>
      <w:rFonts w:cs="Times New Roman"/>
      <w:color w:val="auto"/>
    </w:rPr>
  </w:style>
  <w:style w:type="paragraph" w:customStyle="1" w:styleId="CM20">
    <w:name w:val="CM20"/>
    <w:basedOn w:val="Default"/>
    <w:next w:val="Default"/>
    <w:uiPriority w:val="99"/>
    <w:rPr>
      <w:rFonts w:cs="Times New Roman"/>
      <w:color w:val="auto"/>
    </w:rPr>
  </w:style>
  <w:style w:type="paragraph" w:customStyle="1" w:styleId="CM21">
    <w:name w:val="CM21"/>
    <w:basedOn w:val="Default"/>
    <w:next w:val="Default"/>
    <w:uiPriority w:val="99"/>
    <w:rPr>
      <w:rFonts w:cs="Times New Roman"/>
      <w:color w:val="auto"/>
    </w:rPr>
  </w:style>
  <w:style w:type="paragraph" w:customStyle="1" w:styleId="CM175">
    <w:name w:val="CM175"/>
    <w:basedOn w:val="Default"/>
    <w:next w:val="Default"/>
    <w:uiPriority w:val="99"/>
    <w:rPr>
      <w:rFonts w:cs="Times New Roman"/>
      <w:color w:val="auto"/>
    </w:rPr>
  </w:style>
  <w:style w:type="paragraph" w:customStyle="1" w:styleId="CM24">
    <w:name w:val="CM24"/>
    <w:basedOn w:val="Default"/>
    <w:next w:val="Default"/>
    <w:uiPriority w:val="99"/>
    <w:pPr>
      <w:spacing w:line="298" w:lineRule="atLeast"/>
    </w:pPr>
    <w:rPr>
      <w:rFonts w:cs="Times New Roman"/>
      <w:color w:val="auto"/>
    </w:rPr>
  </w:style>
  <w:style w:type="paragraph" w:customStyle="1" w:styleId="CM3">
    <w:name w:val="CM3"/>
    <w:basedOn w:val="Default"/>
    <w:next w:val="Default"/>
    <w:uiPriority w:val="99"/>
    <w:pPr>
      <w:spacing w:line="296" w:lineRule="atLeast"/>
    </w:pPr>
    <w:rPr>
      <w:rFonts w:cs="Times New Roman"/>
      <w:color w:val="auto"/>
    </w:rPr>
  </w:style>
  <w:style w:type="paragraph" w:customStyle="1" w:styleId="CM176">
    <w:name w:val="CM176"/>
    <w:basedOn w:val="Default"/>
    <w:next w:val="Default"/>
    <w:uiPriority w:val="99"/>
    <w:rPr>
      <w:rFonts w:cs="Times New Roman"/>
      <w:color w:val="auto"/>
    </w:rPr>
  </w:style>
  <w:style w:type="paragraph" w:customStyle="1" w:styleId="CM177">
    <w:name w:val="CM177"/>
    <w:basedOn w:val="Default"/>
    <w:next w:val="Default"/>
    <w:uiPriority w:val="99"/>
    <w:rPr>
      <w:rFonts w:cs="Times New Roman"/>
      <w:color w:val="auto"/>
    </w:rPr>
  </w:style>
  <w:style w:type="paragraph" w:customStyle="1" w:styleId="CM25">
    <w:name w:val="CM25"/>
    <w:basedOn w:val="Default"/>
    <w:next w:val="Default"/>
    <w:uiPriority w:val="99"/>
    <w:pPr>
      <w:spacing w:line="293" w:lineRule="atLeast"/>
    </w:pPr>
    <w:rPr>
      <w:rFonts w:cs="Times New Roman"/>
      <w:color w:val="auto"/>
    </w:rPr>
  </w:style>
  <w:style w:type="paragraph" w:customStyle="1" w:styleId="CM26">
    <w:name w:val="CM26"/>
    <w:basedOn w:val="Default"/>
    <w:next w:val="Default"/>
    <w:uiPriority w:val="99"/>
    <w:pPr>
      <w:spacing w:line="293" w:lineRule="atLeast"/>
    </w:pPr>
    <w:rPr>
      <w:rFonts w:cs="Times New Roman"/>
      <w:color w:val="auto"/>
    </w:rPr>
  </w:style>
  <w:style w:type="paragraph" w:customStyle="1" w:styleId="CM27">
    <w:name w:val="CM27"/>
    <w:basedOn w:val="Default"/>
    <w:next w:val="Default"/>
    <w:uiPriority w:val="99"/>
    <w:pPr>
      <w:spacing w:line="291" w:lineRule="atLeast"/>
    </w:pPr>
    <w:rPr>
      <w:rFonts w:cs="Times New Roman"/>
      <w:color w:val="auto"/>
    </w:rPr>
  </w:style>
  <w:style w:type="paragraph" w:customStyle="1" w:styleId="CM28">
    <w:name w:val="CM28"/>
    <w:basedOn w:val="Default"/>
    <w:next w:val="Default"/>
    <w:uiPriority w:val="99"/>
    <w:pPr>
      <w:spacing w:line="298" w:lineRule="atLeast"/>
    </w:pPr>
    <w:rPr>
      <w:rFonts w:cs="Times New Roman"/>
      <w:color w:val="auto"/>
    </w:rPr>
  </w:style>
  <w:style w:type="paragraph" w:customStyle="1" w:styleId="CM29">
    <w:name w:val="CM29"/>
    <w:basedOn w:val="Default"/>
    <w:next w:val="Default"/>
    <w:uiPriority w:val="99"/>
    <w:pPr>
      <w:spacing w:line="286" w:lineRule="atLeast"/>
    </w:pPr>
    <w:rPr>
      <w:rFonts w:cs="Times New Roman"/>
      <w:color w:val="auto"/>
    </w:rPr>
  </w:style>
  <w:style w:type="paragraph" w:customStyle="1" w:styleId="CM30">
    <w:name w:val="CM30"/>
    <w:basedOn w:val="Default"/>
    <w:next w:val="Default"/>
    <w:uiPriority w:val="99"/>
    <w:pPr>
      <w:spacing w:line="333" w:lineRule="atLeast"/>
    </w:pPr>
    <w:rPr>
      <w:rFonts w:cs="Times New Roman"/>
      <w:color w:val="auto"/>
    </w:rPr>
  </w:style>
  <w:style w:type="paragraph" w:customStyle="1" w:styleId="CM178">
    <w:name w:val="CM178"/>
    <w:basedOn w:val="Default"/>
    <w:next w:val="Default"/>
    <w:uiPriority w:val="99"/>
    <w:rPr>
      <w:rFonts w:cs="Times New Roman"/>
      <w:color w:val="auto"/>
    </w:rPr>
  </w:style>
  <w:style w:type="paragraph" w:customStyle="1" w:styleId="CM31">
    <w:name w:val="CM31"/>
    <w:basedOn w:val="Default"/>
    <w:next w:val="Default"/>
    <w:uiPriority w:val="99"/>
    <w:pPr>
      <w:spacing w:line="300" w:lineRule="atLeast"/>
    </w:pPr>
    <w:rPr>
      <w:rFonts w:cs="Times New Roman"/>
      <w:color w:val="auto"/>
    </w:rPr>
  </w:style>
  <w:style w:type="paragraph" w:customStyle="1" w:styleId="CM33">
    <w:name w:val="CM33"/>
    <w:basedOn w:val="Default"/>
    <w:next w:val="Default"/>
    <w:uiPriority w:val="99"/>
    <w:pPr>
      <w:spacing w:line="296" w:lineRule="atLeast"/>
    </w:pPr>
    <w:rPr>
      <w:rFonts w:cs="Times New Roman"/>
      <w:color w:val="auto"/>
    </w:rPr>
  </w:style>
  <w:style w:type="paragraph" w:customStyle="1" w:styleId="CM34">
    <w:name w:val="CM34"/>
    <w:basedOn w:val="Default"/>
    <w:next w:val="Default"/>
    <w:uiPriority w:val="99"/>
    <w:pPr>
      <w:spacing w:line="300" w:lineRule="atLeast"/>
    </w:pPr>
    <w:rPr>
      <w:rFonts w:cs="Times New Roman"/>
      <w:color w:val="auto"/>
    </w:rPr>
  </w:style>
  <w:style w:type="paragraph" w:customStyle="1" w:styleId="CM35">
    <w:name w:val="CM35"/>
    <w:basedOn w:val="Default"/>
    <w:next w:val="Default"/>
    <w:uiPriority w:val="99"/>
    <w:pPr>
      <w:spacing w:line="291" w:lineRule="atLeast"/>
    </w:pPr>
    <w:rPr>
      <w:rFonts w:cs="Times New Roman"/>
      <w:color w:val="auto"/>
    </w:rPr>
  </w:style>
  <w:style w:type="paragraph" w:customStyle="1" w:styleId="CM179">
    <w:name w:val="CM179"/>
    <w:basedOn w:val="Default"/>
    <w:next w:val="Default"/>
    <w:uiPriority w:val="99"/>
    <w:rPr>
      <w:rFonts w:cs="Times New Roman"/>
      <w:color w:val="auto"/>
    </w:rPr>
  </w:style>
  <w:style w:type="paragraph" w:customStyle="1" w:styleId="CM36">
    <w:name w:val="CM36"/>
    <w:basedOn w:val="Default"/>
    <w:next w:val="Default"/>
    <w:uiPriority w:val="99"/>
    <w:pPr>
      <w:spacing w:line="251" w:lineRule="atLeast"/>
    </w:pPr>
    <w:rPr>
      <w:rFonts w:cs="Times New Roman"/>
      <w:color w:val="auto"/>
    </w:rPr>
  </w:style>
  <w:style w:type="paragraph" w:customStyle="1" w:styleId="CM37">
    <w:name w:val="CM37"/>
    <w:basedOn w:val="Default"/>
    <w:next w:val="Default"/>
    <w:uiPriority w:val="99"/>
    <w:pPr>
      <w:spacing w:line="268" w:lineRule="atLeast"/>
    </w:pPr>
    <w:rPr>
      <w:rFonts w:cs="Times New Roman"/>
      <w:color w:val="auto"/>
    </w:rPr>
  </w:style>
  <w:style w:type="paragraph" w:customStyle="1" w:styleId="CM38">
    <w:name w:val="CM38"/>
    <w:basedOn w:val="Default"/>
    <w:next w:val="Default"/>
    <w:uiPriority w:val="99"/>
    <w:pPr>
      <w:spacing w:line="268" w:lineRule="atLeast"/>
    </w:pPr>
    <w:rPr>
      <w:rFonts w:cs="Times New Roman"/>
      <w:color w:val="auto"/>
    </w:rPr>
  </w:style>
  <w:style w:type="paragraph" w:customStyle="1" w:styleId="CM185">
    <w:name w:val="CM185"/>
    <w:basedOn w:val="Default"/>
    <w:next w:val="Default"/>
    <w:uiPriority w:val="99"/>
    <w:rPr>
      <w:rFonts w:cs="Times New Roman"/>
      <w:color w:val="auto"/>
    </w:rPr>
  </w:style>
  <w:style w:type="paragraph" w:customStyle="1" w:styleId="CM180">
    <w:name w:val="CM180"/>
    <w:basedOn w:val="Default"/>
    <w:next w:val="Default"/>
    <w:uiPriority w:val="99"/>
    <w:rPr>
      <w:rFonts w:cs="Times New Roman"/>
      <w:color w:val="auto"/>
    </w:rPr>
  </w:style>
  <w:style w:type="paragraph" w:customStyle="1" w:styleId="CM39">
    <w:name w:val="CM39"/>
    <w:basedOn w:val="Default"/>
    <w:next w:val="Default"/>
    <w:uiPriority w:val="99"/>
    <w:pPr>
      <w:spacing w:line="298" w:lineRule="atLeast"/>
    </w:pPr>
    <w:rPr>
      <w:rFonts w:cs="Times New Roman"/>
      <w:color w:val="auto"/>
    </w:rPr>
  </w:style>
  <w:style w:type="paragraph" w:customStyle="1" w:styleId="CM40">
    <w:name w:val="CM40"/>
    <w:basedOn w:val="Default"/>
    <w:next w:val="Default"/>
    <w:uiPriority w:val="99"/>
    <w:pPr>
      <w:spacing w:line="291" w:lineRule="atLeast"/>
    </w:pPr>
    <w:rPr>
      <w:rFonts w:cs="Times New Roman"/>
      <w:color w:val="auto"/>
    </w:rPr>
  </w:style>
  <w:style w:type="paragraph" w:customStyle="1" w:styleId="CM41">
    <w:name w:val="CM41"/>
    <w:basedOn w:val="Default"/>
    <w:next w:val="Default"/>
    <w:uiPriority w:val="99"/>
    <w:pPr>
      <w:spacing w:line="438" w:lineRule="atLeast"/>
    </w:pPr>
    <w:rPr>
      <w:rFonts w:cs="Times New Roman"/>
      <w:color w:val="auto"/>
    </w:rPr>
  </w:style>
  <w:style w:type="paragraph" w:customStyle="1" w:styleId="CM181">
    <w:name w:val="CM181"/>
    <w:basedOn w:val="Default"/>
    <w:next w:val="Default"/>
    <w:uiPriority w:val="99"/>
    <w:rPr>
      <w:rFonts w:cs="Times New Roman"/>
      <w:color w:val="auto"/>
    </w:rPr>
  </w:style>
  <w:style w:type="paragraph" w:customStyle="1" w:styleId="CM42">
    <w:name w:val="CM42"/>
    <w:basedOn w:val="Default"/>
    <w:next w:val="Default"/>
    <w:uiPriority w:val="99"/>
    <w:pPr>
      <w:spacing w:line="300" w:lineRule="atLeast"/>
    </w:pPr>
    <w:rPr>
      <w:rFonts w:cs="Times New Roman"/>
      <w:color w:val="auto"/>
    </w:rPr>
  </w:style>
  <w:style w:type="paragraph" w:customStyle="1" w:styleId="CM43">
    <w:name w:val="CM43"/>
    <w:basedOn w:val="Default"/>
    <w:next w:val="Default"/>
    <w:uiPriority w:val="99"/>
    <w:pPr>
      <w:spacing w:line="220" w:lineRule="atLeast"/>
    </w:pPr>
    <w:rPr>
      <w:rFonts w:cs="Times New Roman"/>
      <w:color w:val="auto"/>
    </w:rPr>
  </w:style>
  <w:style w:type="paragraph" w:customStyle="1" w:styleId="CM47">
    <w:name w:val="CM47"/>
    <w:basedOn w:val="Default"/>
    <w:next w:val="Default"/>
    <w:uiPriority w:val="99"/>
    <w:pPr>
      <w:spacing w:line="300" w:lineRule="atLeast"/>
    </w:pPr>
    <w:rPr>
      <w:rFonts w:cs="Times New Roman"/>
      <w:color w:val="auto"/>
    </w:rPr>
  </w:style>
  <w:style w:type="paragraph" w:customStyle="1" w:styleId="CM32">
    <w:name w:val="CM32"/>
    <w:basedOn w:val="Default"/>
    <w:next w:val="Default"/>
    <w:uiPriority w:val="99"/>
    <w:pPr>
      <w:spacing w:line="291" w:lineRule="atLeast"/>
    </w:pPr>
    <w:rPr>
      <w:rFonts w:cs="Times New Roman"/>
      <w:color w:val="auto"/>
    </w:rPr>
  </w:style>
  <w:style w:type="paragraph" w:customStyle="1" w:styleId="CM183">
    <w:name w:val="CM183"/>
    <w:basedOn w:val="Default"/>
    <w:next w:val="Default"/>
    <w:uiPriority w:val="99"/>
    <w:rPr>
      <w:rFonts w:cs="Times New Roman"/>
      <w:color w:val="auto"/>
    </w:rPr>
  </w:style>
  <w:style w:type="paragraph" w:customStyle="1" w:styleId="CM48">
    <w:name w:val="CM48"/>
    <w:basedOn w:val="Default"/>
    <w:next w:val="Default"/>
    <w:uiPriority w:val="99"/>
    <w:pPr>
      <w:spacing w:line="303" w:lineRule="atLeast"/>
    </w:pPr>
    <w:rPr>
      <w:rFonts w:cs="Times New Roman"/>
      <w:color w:val="auto"/>
    </w:rPr>
  </w:style>
  <w:style w:type="paragraph" w:customStyle="1" w:styleId="CM174">
    <w:name w:val="CM174"/>
    <w:basedOn w:val="Default"/>
    <w:next w:val="Default"/>
    <w:uiPriority w:val="99"/>
    <w:rPr>
      <w:rFonts w:cs="Times New Roman"/>
      <w:color w:val="auto"/>
    </w:rPr>
  </w:style>
  <w:style w:type="paragraph" w:customStyle="1" w:styleId="CM49">
    <w:name w:val="CM49"/>
    <w:basedOn w:val="Default"/>
    <w:next w:val="Default"/>
    <w:uiPriority w:val="99"/>
    <w:rPr>
      <w:rFonts w:cs="Times New Roman"/>
      <w:color w:val="auto"/>
    </w:rPr>
  </w:style>
  <w:style w:type="paragraph" w:customStyle="1" w:styleId="CM50">
    <w:name w:val="CM50"/>
    <w:basedOn w:val="Default"/>
    <w:next w:val="Default"/>
    <w:uiPriority w:val="99"/>
    <w:rPr>
      <w:rFonts w:cs="Times New Roman"/>
      <w:color w:val="auto"/>
    </w:rPr>
  </w:style>
  <w:style w:type="paragraph" w:customStyle="1" w:styleId="CM51">
    <w:name w:val="CM51"/>
    <w:basedOn w:val="Default"/>
    <w:next w:val="Default"/>
    <w:uiPriority w:val="99"/>
    <w:pPr>
      <w:spacing w:line="300" w:lineRule="atLeast"/>
    </w:pPr>
    <w:rPr>
      <w:rFonts w:cs="Times New Roman"/>
      <w:color w:val="auto"/>
    </w:rPr>
  </w:style>
  <w:style w:type="paragraph" w:customStyle="1" w:styleId="CM52">
    <w:name w:val="CM52"/>
    <w:basedOn w:val="Default"/>
    <w:next w:val="Default"/>
    <w:uiPriority w:val="99"/>
    <w:pPr>
      <w:spacing w:line="300" w:lineRule="atLeast"/>
    </w:pPr>
    <w:rPr>
      <w:rFonts w:cs="Times New Roman"/>
      <w:color w:val="auto"/>
    </w:rPr>
  </w:style>
  <w:style w:type="paragraph" w:customStyle="1" w:styleId="CM53">
    <w:name w:val="CM53"/>
    <w:basedOn w:val="Default"/>
    <w:next w:val="Default"/>
    <w:uiPriority w:val="99"/>
    <w:pPr>
      <w:spacing w:line="291" w:lineRule="atLeast"/>
    </w:pPr>
    <w:rPr>
      <w:rFonts w:cs="Times New Roman"/>
      <w:color w:val="auto"/>
    </w:rPr>
  </w:style>
  <w:style w:type="paragraph" w:customStyle="1" w:styleId="CM54">
    <w:name w:val="CM54"/>
    <w:basedOn w:val="Default"/>
    <w:next w:val="Default"/>
    <w:uiPriority w:val="99"/>
    <w:pPr>
      <w:spacing w:line="296" w:lineRule="atLeast"/>
    </w:pPr>
    <w:rPr>
      <w:rFonts w:cs="Times New Roman"/>
      <w:color w:val="auto"/>
    </w:rPr>
  </w:style>
  <w:style w:type="paragraph" w:customStyle="1" w:styleId="CM55">
    <w:name w:val="CM55"/>
    <w:basedOn w:val="Default"/>
    <w:next w:val="Default"/>
    <w:uiPriority w:val="99"/>
    <w:pPr>
      <w:spacing w:line="291" w:lineRule="atLeast"/>
    </w:pPr>
    <w:rPr>
      <w:rFonts w:cs="Times New Roman"/>
      <w:color w:val="auto"/>
    </w:rPr>
  </w:style>
  <w:style w:type="paragraph" w:customStyle="1" w:styleId="CM56">
    <w:name w:val="CM56"/>
    <w:basedOn w:val="Default"/>
    <w:next w:val="Default"/>
    <w:uiPriority w:val="99"/>
    <w:pPr>
      <w:spacing w:line="286" w:lineRule="atLeast"/>
    </w:pPr>
    <w:rPr>
      <w:rFonts w:cs="Times New Roman"/>
      <w:color w:val="auto"/>
    </w:rPr>
  </w:style>
  <w:style w:type="paragraph" w:customStyle="1" w:styleId="CM184">
    <w:name w:val="CM184"/>
    <w:basedOn w:val="Default"/>
    <w:next w:val="Default"/>
    <w:uiPriority w:val="99"/>
    <w:rPr>
      <w:rFonts w:cs="Times New Roman"/>
      <w:color w:val="auto"/>
    </w:rPr>
  </w:style>
  <w:style w:type="paragraph" w:customStyle="1" w:styleId="CM58">
    <w:name w:val="CM58"/>
    <w:basedOn w:val="Default"/>
    <w:next w:val="Default"/>
    <w:uiPriority w:val="99"/>
    <w:pPr>
      <w:spacing w:line="286" w:lineRule="atLeast"/>
    </w:pPr>
    <w:rPr>
      <w:rFonts w:cs="Times New Roman"/>
      <w:color w:val="auto"/>
    </w:rPr>
  </w:style>
  <w:style w:type="paragraph" w:customStyle="1" w:styleId="CM45">
    <w:name w:val="CM45"/>
    <w:basedOn w:val="Default"/>
    <w:next w:val="Default"/>
    <w:uiPriority w:val="99"/>
    <w:pPr>
      <w:spacing w:line="346" w:lineRule="atLeast"/>
    </w:pPr>
    <w:rPr>
      <w:rFonts w:cs="Times New Roman"/>
      <w:color w:val="auto"/>
    </w:rPr>
  </w:style>
  <w:style w:type="paragraph" w:customStyle="1" w:styleId="CM186">
    <w:name w:val="CM186"/>
    <w:basedOn w:val="Default"/>
    <w:next w:val="Default"/>
    <w:uiPriority w:val="99"/>
    <w:rPr>
      <w:rFonts w:cs="Times New Roman"/>
      <w:color w:val="auto"/>
    </w:rPr>
  </w:style>
  <w:style w:type="paragraph" w:customStyle="1" w:styleId="CM187">
    <w:name w:val="CM187"/>
    <w:basedOn w:val="Default"/>
    <w:next w:val="Default"/>
    <w:uiPriority w:val="99"/>
    <w:rPr>
      <w:rFonts w:cs="Times New Roman"/>
      <w:color w:val="auto"/>
    </w:rPr>
  </w:style>
  <w:style w:type="paragraph" w:customStyle="1" w:styleId="CM57">
    <w:name w:val="CM57"/>
    <w:basedOn w:val="Default"/>
    <w:next w:val="Default"/>
    <w:uiPriority w:val="99"/>
    <w:pPr>
      <w:spacing w:line="251" w:lineRule="atLeast"/>
    </w:pPr>
    <w:rPr>
      <w:rFonts w:cs="Times New Roman"/>
      <w:color w:val="auto"/>
    </w:rPr>
  </w:style>
  <w:style w:type="paragraph" w:customStyle="1" w:styleId="CM188">
    <w:name w:val="CM188"/>
    <w:basedOn w:val="Default"/>
    <w:next w:val="Default"/>
    <w:uiPriority w:val="99"/>
    <w:rPr>
      <w:rFonts w:cs="Times New Roman"/>
      <w:color w:val="auto"/>
    </w:rPr>
  </w:style>
  <w:style w:type="paragraph" w:customStyle="1" w:styleId="CM189">
    <w:name w:val="CM189"/>
    <w:basedOn w:val="Default"/>
    <w:next w:val="Default"/>
    <w:uiPriority w:val="99"/>
    <w:rPr>
      <w:rFonts w:cs="Times New Roman"/>
      <w:color w:val="auto"/>
    </w:rPr>
  </w:style>
  <w:style w:type="paragraph" w:customStyle="1" w:styleId="CM190">
    <w:name w:val="CM190"/>
    <w:basedOn w:val="Default"/>
    <w:next w:val="Default"/>
    <w:uiPriority w:val="99"/>
    <w:rPr>
      <w:rFonts w:cs="Times New Roman"/>
      <w:color w:val="auto"/>
    </w:rPr>
  </w:style>
  <w:style w:type="paragraph" w:customStyle="1" w:styleId="CM62">
    <w:name w:val="CM62"/>
    <w:basedOn w:val="Default"/>
    <w:next w:val="Default"/>
    <w:uiPriority w:val="99"/>
    <w:pPr>
      <w:spacing w:line="356" w:lineRule="atLeast"/>
    </w:pPr>
    <w:rPr>
      <w:rFonts w:cs="Times New Roman"/>
      <w:color w:val="auto"/>
    </w:rPr>
  </w:style>
  <w:style w:type="paragraph" w:customStyle="1" w:styleId="CM63">
    <w:name w:val="CM63"/>
    <w:basedOn w:val="Default"/>
    <w:next w:val="Default"/>
    <w:uiPriority w:val="99"/>
    <w:pPr>
      <w:spacing w:line="300" w:lineRule="atLeast"/>
    </w:pPr>
    <w:rPr>
      <w:rFonts w:cs="Times New Roman"/>
      <w:color w:val="auto"/>
    </w:rPr>
  </w:style>
  <w:style w:type="paragraph" w:customStyle="1" w:styleId="CM192">
    <w:name w:val="CM192"/>
    <w:basedOn w:val="Default"/>
    <w:next w:val="Default"/>
    <w:uiPriority w:val="99"/>
    <w:rPr>
      <w:rFonts w:cs="Times New Roman"/>
      <w:color w:val="auto"/>
    </w:rPr>
  </w:style>
  <w:style w:type="paragraph" w:customStyle="1" w:styleId="CM193">
    <w:name w:val="CM193"/>
    <w:basedOn w:val="Default"/>
    <w:next w:val="Default"/>
    <w:uiPriority w:val="99"/>
    <w:rPr>
      <w:rFonts w:cs="Times New Roman"/>
      <w:color w:val="auto"/>
    </w:rPr>
  </w:style>
  <w:style w:type="paragraph" w:customStyle="1" w:styleId="CM64">
    <w:name w:val="CM64"/>
    <w:basedOn w:val="Default"/>
    <w:next w:val="Default"/>
    <w:uiPriority w:val="99"/>
    <w:rPr>
      <w:rFonts w:cs="Times New Roman"/>
      <w:color w:val="auto"/>
    </w:rPr>
  </w:style>
  <w:style w:type="paragraph" w:customStyle="1" w:styleId="CM194">
    <w:name w:val="CM194"/>
    <w:basedOn w:val="Default"/>
    <w:next w:val="Default"/>
    <w:uiPriority w:val="99"/>
    <w:rPr>
      <w:rFonts w:cs="Times New Roman"/>
      <w:color w:val="auto"/>
    </w:rPr>
  </w:style>
  <w:style w:type="paragraph" w:customStyle="1" w:styleId="CM195">
    <w:name w:val="CM195"/>
    <w:basedOn w:val="Default"/>
    <w:next w:val="Default"/>
    <w:uiPriority w:val="99"/>
    <w:rPr>
      <w:rFonts w:cs="Times New Roman"/>
      <w:color w:val="auto"/>
    </w:rPr>
  </w:style>
  <w:style w:type="paragraph" w:customStyle="1" w:styleId="CM65">
    <w:name w:val="CM65"/>
    <w:basedOn w:val="Default"/>
    <w:next w:val="Default"/>
    <w:uiPriority w:val="99"/>
    <w:pPr>
      <w:spacing w:line="286" w:lineRule="atLeast"/>
    </w:pPr>
    <w:rPr>
      <w:rFonts w:cs="Times New Roman"/>
      <w:color w:val="auto"/>
    </w:rPr>
  </w:style>
  <w:style w:type="paragraph" w:customStyle="1" w:styleId="CM59">
    <w:name w:val="CM59"/>
    <w:basedOn w:val="Default"/>
    <w:next w:val="Default"/>
    <w:uiPriority w:val="99"/>
    <w:pPr>
      <w:spacing w:line="320" w:lineRule="atLeast"/>
    </w:pPr>
    <w:rPr>
      <w:rFonts w:cs="Times New Roman"/>
      <w:color w:val="auto"/>
    </w:rPr>
  </w:style>
  <w:style w:type="paragraph" w:customStyle="1" w:styleId="CM68">
    <w:name w:val="CM68"/>
    <w:basedOn w:val="Default"/>
    <w:next w:val="Default"/>
    <w:uiPriority w:val="99"/>
    <w:rPr>
      <w:rFonts w:cs="Times New Roman"/>
      <w:color w:val="auto"/>
    </w:rPr>
  </w:style>
  <w:style w:type="paragraph" w:customStyle="1" w:styleId="CM69">
    <w:name w:val="CM69"/>
    <w:basedOn w:val="Default"/>
    <w:next w:val="Default"/>
    <w:uiPriority w:val="99"/>
    <w:pPr>
      <w:spacing w:line="353" w:lineRule="atLeast"/>
    </w:pPr>
    <w:rPr>
      <w:rFonts w:cs="Times New Roman"/>
      <w:color w:val="auto"/>
    </w:rPr>
  </w:style>
  <w:style w:type="paragraph" w:customStyle="1" w:styleId="CM196">
    <w:name w:val="CM196"/>
    <w:basedOn w:val="Default"/>
    <w:next w:val="Default"/>
    <w:uiPriority w:val="99"/>
    <w:rPr>
      <w:rFonts w:cs="Times New Roman"/>
      <w:color w:val="auto"/>
    </w:rPr>
  </w:style>
  <w:style w:type="paragraph" w:customStyle="1" w:styleId="CM70">
    <w:name w:val="CM70"/>
    <w:basedOn w:val="Default"/>
    <w:next w:val="Default"/>
    <w:uiPriority w:val="99"/>
    <w:pPr>
      <w:spacing w:line="271" w:lineRule="atLeast"/>
    </w:pPr>
    <w:rPr>
      <w:rFonts w:cs="Times New Roman"/>
      <w:color w:val="auto"/>
    </w:rPr>
  </w:style>
  <w:style w:type="paragraph" w:customStyle="1" w:styleId="CM71">
    <w:name w:val="CM71"/>
    <w:basedOn w:val="Default"/>
    <w:next w:val="Default"/>
    <w:uiPriority w:val="99"/>
    <w:pPr>
      <w:spacing w:line="268" w:lineRule="atLeast"/>
    </w:pPr>
    <w:rPr>
      <w:rFonts w:cs="Times New Roman"/>
      <w:color w:val="auto"/>
    </w:rPr>
  </w:style>
  <w:style w:type="paragraph" w:customStyle="1" w:styleId="CM72">
    <w:name w:val="CM72"/>
    <w:basedOn w:val="Default"/>
    <w:next w:val="Default"/>
    <w:uiPriority w:val="99"/>
    <w:pPr>
      <w:spacing w:line="260" w:lineRule="atLeast"/>
    </w:pPr>
    <w:rPr>
      <w:rFonts w:cs="Times New Roman"/>
      <w:color w:val="auto"/>
    </w:rPr>
  </w:style>
  <w:style w:type="paragraph" w:customStyle="1" w:styleId="CM73">
    <w:name w:val="CM73"/>
    <w:basedOn w:val="Default"/>
    <w:next w:val="Default"/>
    <w:uiPriority w:val="99"/>
    <w:pPr>
      <w:spacing w:line="278" w:lineRule="atLeast"/>
    </w:pPr>
    <w:rPr>
      <w:rFonts w:cs="Times New Roman"/>
      <w:color w:val="auto"/>
    </w:rPr>
  </w:style>
  <w:style w:type="paragraph" w:customStyle="1" w:styleId="CM66">
    <w:name w:val="CM66"/>
    <w:basedOn w:val="Default"/>
    <w:next w:val="Default"/>
    <w:uiPriority w:val="99"/>
    <w:pPr>
      <w:spacing w:line="271" w:lineRule="atLeast"/>
    </w:pPr>
    <w:rPr>
      <w:rFonts w:cs="Times New Roman"/>
      <w:color w:val="auto"/>
    </w:rPr>
  </w:style>
  <w:style w:type="paragraph" w:customStyle="1" w:styleId="CM74">
    <w:name w:val="CM74"/>
    <w:basedOn w:val="Default"/>
    <w:next w:val="Default"/>
    <w:uiPriority w:val="99"/>
    <w:rPr>
      <w:rFonts w:cs="Times New Roman"/>
      <w:color w:val="auto"/>
    </w:rPr>
  </w:style>
  <w:style w:type="paragraph" w:customStyle="1" w:styleId="CM75">
    <w:name w:val="CM75"/>
    <w:basedOn w:val="Default"/>
    <w:next w:val="Default"/>
    <w:uiPriority w:val="99"/>
    <w:pPr>
      <w:spacing w:line="243" w:lineRule="atLeast"/>
    </w:pPr>
    <w:rPr>
      <w:rFonts w:cs="Times New Roman"/>
      <w:color w:val="auto"/>
    </w:rPr>
  </w:style>
  <w:style w:type="paragraph" w:customStyle="1" w:styleId="CM76">
    <w:name w:val="CM76"/>
    <w:basedOn w:val="Default"/>
    <w:next w:val="Default"/>
    <w:uiPriority w:val="99"/>
    <w:pPr>
      <w:spacing w:line="273" w:lineRule="atLeast"/>
    </w:pPr>
    <w:rPr>
      <w:rFonts w:cs="Times New Roman"/>
      <w:color w:val="auto"/>
    </w:rPr>
  </w:style>
  <w:style w:type="paragraph" w:customStyle="1" w:styleId="CM77">
    <w:name w:val="CM77"/>
    <w:basedOn w:val="Default"/>
    <w:next w:val="Default"/>
    <w:uiPriority w:val="99"/>
    <w:pPr>
      <w:spacing w:line="271" w:lineRule="atLeast"/>
    </w:pPr>
    <w:rPr>
      <w:rFonts w:cs="Times New Roman"/>
      <w:color w:val="auto"/>
    </w:rPr>
  </w:style>
  <w:style w:type="paragraph" w:customStyle="1" w:styleId="CM78">
    <w:name w:val="CM78"/>
    <w:basedOn w:val="Default"/>
    <w:next w:val="Default"/>
    <w:uiPriority w:val="99"/>
    <w:pPr>
      <w:spacing w:line="271" w:lineRule="atLeast"/>
    </w:pPr>
    <w:rPr>
      <w:rFonts w:cs="Times New Roman"/>
      <w:color w:val="auto"/>
    </w:rPr>
  </w:style>
  <w:style w:type="paragraph" w:customStyle="1" w:styleId="CM205">
    <w:name w:val="CM205"/>
    <w:basedOn w:val="Default"/>
    <w:next w:val="Default"/>
    <w:uiPriority w:val="99"/>
    <w:rPr>
      <w:rFonts w:cs="Times New Roman"/>
      <w:color w:val="auto"/>
    </w:rPr>
  </w:style>
  <w:style w:type="paragraph" w:customStyle="1" w:styleId="CM79">
    <w:name w:val="CM79"/>
    <w:basedOn w:val="Default"/>
    <w:next w:val="Default"/>
    <w:uiPriority w:val="99"/>
    <w:pPr>
      <w:spacing w:line="280" w:lineRule="atLeast"/>
    </w:pPr>
    <w:rPr>
      <w:rFonts w:cs="Times New Roman"/>
      <w:color w:val="auto"/>
    </w:rPr>
  </w:style>
  <w:style w:type="paragraph" w:customStyle="1" w:styleId="CM80">
    <w:name w:val="CM80"/>
    <w:basedOn w:val="Default"/>
    <w:next w:val="Default"/>
    <w:uiPriority w:val="99"/>
    <w:pPr>
      <w:spacing w:line="276" w:lineRule="atLeast"/>
    </w:pPr>
    <w:rPr>
      <w:rFonts w:cs="Times New Roman"/>
      <w:color w:val="auto"/>
    </w:rPr>
  </w:style>
  <w:style w:type="paragraph" w:customStyle="1" w:styleId="CM81">
    <w:name w:val="CM81"/>
    <w:basedOn w:val="Default"/>
    <w:next w:val="Default"/>
    <w:uiPriority w:val="99"/>
    <w:pPr>
      <w:spacing w:line="171" w:lineRule="atLeast"/>
    </w:pPr>
    <w:rPr>
      <w:rFonts w:cs="Times New Roman"/>
      <w:color w:val="auto"/>
    </w:rPr>
  </w:style>
  <w:style w:type="paragraph" w:customStyle="1" w:styleId="CM82">
    <w:name w:val="CM82"/>
    <w:basedOn w:val="Default"/>
    <w:next w:val="Default"/>
    <w:uiPriority w:val="99"/>
    <w:rPr>
      <w:rFonts w:cs="Times New Roman"/>
      <w:color w:val="auto"/>
    </w:rPr>
  </w:style>
  <w:style w:type="paragraph" w:customStyle="1" w:styleId="CM83">
    <w:name w:val="CM83"/>
    <w:basedOn w:val="Default"/>
    <w:next w:val="Default"/>
    <w:uiPriority w:val="99"/>
    <w:pPr>
      <w:spacing w:line="291" w:lineRule="atLeast"/>
    </w:pPr>
    <w:rPr>
      <w:rFonts w:cs="Times New Roman"/>
      <w:color w:val="auto"/>
    </w:rPr>
  </w:style>
  <w:style w:type="paragraph" w:customStyle="1" w:styleId="CM197">
    <w:name w:val="CM197"/>
    <w:basedOn w:val="Default"/>
    <w:next w:val="Default"/>
    <w:uiPriority w:val="99"/>
    <w:rPr>
      <w:rFonts w:cs="Times New Roman"/>
      <w:color w:val="auto"/>
    </w:rPr>
  </w:style>
  <w:style w:type="paragraph" w:customStyle="1" w:styleId="CM84">
    <w:name w:val="CM84"/>
    <w:basedOn w:val="Default"/>
    <w:next w:val="Default"/>
    <w:uiPriority w:val="99"/>
    <w:pPr>
      <w:spacing w:line="300" w:lineRule="atLeast"/>
    </w:pPr>
    <w:rPr>
      <w:rFonts w:cs="Times New Roman"/>
      <w:color w:val="auto"/>
    </w:rPr>
  </w:style>
  <w:style w:type="paragraph" w:customStyle="1" w:styleId="CM198">
    <w:name w:val="CM198"/>
    <w:basedOn w:val="Default"/>
    <w:next w:val="Default"/>
    <w:uiPriority w:val="99"/>
    <w:rPr>
      <w:rFonts w:cs="Times New Roman"/>
      <w:color w:val="auto"/>
    </w:rPr>
  </w:style>
  <w:style w:type="paragraph" w:customStyle="1" w:styleId="CM86">
    <w:name w:val="CM86"/>
    <w:basedOn w:val="Default"/>
    <w:next w:val="Default"/>
    <w:uiPriority w:val="99"/>
    <w:pPr>
      <w:spacing w:line="300" w:lineRule="atLeast"/>
    </w:pPr>
    <w:rPr>
      <w:rFonts w:cs="Times New Roman"/>
      <w:color w:val="auto"/>
    </w:rPr>
  </w:style>
  <w:style w:type="paragraph" w:customStyle="1" w:styleId="CM87">
    <w:name w:val="CM87"/>
    <w:basedOn w:val="Default"/>
    <w:next w:val="Default"/>
    <w:uiPriority w:val="99"/>
    <w:pPr>
      <w:spacing w:line="296" w:lineRule="atLeast"/>
    </w:pPr>
    <w:rPr>
      <w:rFonts w:cs="Times New Roman"/>
      <w:color w:val="auto"/>
    </w:rPr>
  </w:style>
  <w:style w:type="paragraph" w:customStyle="1" w:styleId="CM88">
    <w:name w:val="CM88"/>
    <w:basedOn w:val="Default"/>
    <w:next w:val="Default"/>
    <w:uiPriority w:val="99"/>
    <w:pPr>
      <w:spacing w:line="280" w:lineRule="atLeast"/>
    </w:pPr>
    <w:rPr>
      <w:rFonts w:cs="Times New Roman"/>
      <w:color w:val="auto"/>
    </w:rPr>
  </w:style>
  <w:style w:type="paragraph" w:customStyle="1" w:styleId="CM89">
    <w:name w:val="CM89"/>
    <w:basedOn w:val="Default"/>
    <w:next w:val="Default"/>
    <w:uiPriority w:val="99"/>
    <w:pPr>
      <w:spacing w:line="300" w:lineRule="atLeast"/>
    </w:pPr>
    <w:rPr>
      <w:rFonts w:cs="Times New Roman"/>
      <w:color w:val="auto"/>
    </w:rPr>
  </w:style>
  <w:style w:type="paragraph" w:customStyle="1" w:styleId="CM92">
    <w:name w:val="CM92"/>
    <w:basedOn w:val="Default"/>
    <w:next w:val="Default"/>
    <w:uiPriority w:val="99"/>
    <w:rPr>
      <w:rFonts w:cs="Times New Roman"/>
      <w:color w:val="auto"/>
    </w:rPr>
  </w:style>
  <w:style w:type="paragraph" w:customStyle="1" w:styleId="CM44">
    <w:name w:val="CM44"/>
    <w:basedOn w:val="Default"/>
    <w:next w:val="Default"/>
    <w:uiPriority w:val="99"/>
    <w:pPr>
      <w:spacing w:line="293" w:lineRule="atLeast"/>
    </w:pPr>
    <w:rPr>
      <w:rFonts w:cs="Times New Roman"/>
      <w:color w:val="auto"/>
    </w:rPr>
  </w:style>
  <w:style w:type="paragraph" w:customStyle="1" w:styleId="CM199">
    <w:name w:val="CM199"/>
    <w:basedOn w:val="Default"/>
    <w:next w:val="Default"/>
    <w:uiPriority w:val="99"/>
    <w:rPr>
      <w:rFonts w:cs="Times New Roman"/>
      <w:color w:val="auto"/>
    </w:rPr>
  </w:style>
  <w:style w:type="paragraph" w:customStyle="1" w:styleId="CM94">
    <w:name w:val="CM94"/>
    <w:basedOn w:val="Default"/>
    <w:next w:val="Default"/>
    <w:uiPriority w:val="99"/>
    <w:rPr>
      <w:rFonts w:cs="Times New Roman"/>
      <w:color w:val="auto"/>
    </w:rPr>
  </w:style>
  <w:style w:type="paragraph" w:customStyle="1" w:styleId="CM95">
    <w:name w:val="CM95"/>
    <w:basedOn w:val="Default"/>
    <w:next w:val="Default"/>
    <w:uiPriority w:val="99"/>
    <w:pPr>
      <w:spacing w:line="291" w:lineRule="atLeast"/>
    </w:pPr>
    <w:rPr>
      <w:rFonts w:cs="Times New Roman"/>
      <w:color w:val="auto"/>
    </w:rPr>
  </w:style>
  <w:style w:type="paragraph" w:customStyle="1" w:styleId="CM96">
    <w:name w:val="CM96"/>
    <w:basedOn w:val="Default"/>
    <w:next w:val="Default"/>
    <w:uiPriority w:val="99"/>
    <w:rPr>
      <w:rFonts w:cs="Times New Roman"/>
      <w:color w:val="auto"/>
    </w:rPr>
  </w:style>
  <w:style w:type="paragraph" w:customStyle="1" w:styleId="CM98">
    <w:name w:val="CM98"/>
    <w:basedOn w:val="Default"/>
    <w:next w:val="Default"/>
    <w:uiPriority w:val="99"/>
    <w:pPr>
      <w:spacing w:line="293" w:lineRule="atLeast"/>
    </w:pPr>
    <w:rPr>
      <w:rFonts w:cs="Times New Roman"/>
      <w:color w:val="auto"/>
    </w:rPr>
  </w:style>
  <w:style w:type="paragraph" w:customStyle="1" w:styleId="CM99">
    <w:name w:val="CM99"/>
    <w:basedOn w:val="Default"/>
    <w:next w:val="Default"/>
    <w:uiPriority w:val="99"/>
    <w:rPr>
      <w:rFonts w:cs="Times New Roman"/>
      <w:color w:val="auto"/>
    </w:rPr>
  </w:style>
  <w:style w:type="paragraph" w:customStyle="1" w:styleId="CM100">
    <w:name w:val="CM100"/>
    <w:basedOn w:val="Default"/>
    <w:next w:val="Default"/>
    <w:uiPriority w:val="99"/>
    <w:rPr>
      <w:rFonts w:cs="Times New Roman"/>
      <w:color w:val="auto"/>
    </w:rPr>
  </w:style>
  <w:style w:type="paragraph" w:customStyle="1" w:styleId="CM101">
    <w:name w:val="CM101"/>
    <w:basedOn w:val="Default"/>
    <w:next w:val="Default"/>
    <w:uiPriority w:val="99"/>
    <w:rPr>
      <w:rFonts w:cs="Times New Roman"/>
      <w:color w:val="auto"/>
    </w:rPr>
  </w:style>
  <w:style w:type="paragraph" w:customStyle="1" w:styleId="CM102">
    <w:name w:val="CM102"/>
    <w:basedOn w:val="Default"/>
    <w:next w:val="Default"/>
    <w:uiPriority w:val="99"/>
    <w:pPr>
      <w:spacing w:line="296" w:lineRule="atLeast"/>
    </w:pPr>
    <w:rPr>
      <w:rFonts w:cs="Times New Roman"/>
      <w:color w:val="auto"/>
    </w:rPr>
  </w:style>
  <w:style w:type="paragraph" w:customStyle="1" w:styleId="CM201">
    <w:name w:val="CM201"/>
    <w:basedOn w:val="Default"/>
    <w:next w:val="Default"/>
    <w:uiPriority w:val="99"/>
    <w:rPr>
      <w:rFonts w:cs="Times New Roman"/>
      <w:color w:val="auto"/>
    </w:rPr>
  </w:style>
  <w:style w:type="paragraph" w:customStyle="1" w:styleId="CM104">
    <w:name w:val="CM104"/>
    <w:basedOn w:val="Default"/>
    <w:next w:val="Default"/>
    <w:uiPriority w:val="99"/>
    <w:rPr>
      <w:rFonts w:cs="Times New Roman"/>
      <w:color w:val="auto"/>
    </w:rPr>
  </w:style>
  <w:style w:type="paragraph" w:customStyle="1" w:styleId="CM191">
    <w:name w:val="CM191"/>
    <w:basedOn w:val="Default"/>
    <w:next w:val="Default"/>
    <w:uiPriority w:val="99"/>
    <w:rPr>
      <w:rFonts w:cs="Times New Roman"/>
      <w:color w:val="auto"/>
    </w:rPr>
  </w:style>
  <w:style w:type="paragraph" w:customStyle="1" w:styleId="CM202">
    <w:name w:val="CM202"/>
    <w:basedOn w:val="Default"/>
    <w:next w:val="Default"/>
    <w:uiPriority w:val="99"/>
    <w:rPr>
      <w:rFonts w:cs="Times New Roman"/>
      <w:color w:val="auto"/>
    </w:rPr>
  </w:style>
  <w:style w:type="paragraph" w:customStyle="1" w:styleId="CM105">
    <w:name w:val="CM105"/>
    <w:basedOn w:val="Default"/>
    <w:next w:val="Default"/>
    <w:uiPriority w:val="99"/>
    <w:pPr>
      <w:spacing w:line="116" w:lineRule="atLeast"/>
    </w:pPr>
    <w:rPr>
      <w:rFonts w:cs="Times New Roman"/>
      <w:color w:val="auto"/>
    </w:rPr>
  </w:style>
  <w:style w:type="paragraph" w:customStyle="1" w:styleId="CM107">
    <w:name w:val="CM107"/>
    <w:basedOn w:val="Default"/>
    <w:next w:val="Default"/>
    <w:uiPriority w:val="99"/>
    <w:pPr>
      <w:spacing w:line="106" w:lineRule="atLeast"/>
    </w:pPr>
    <w:rPr>
      <w:rFonts w:cs="Times New Roman"/>
      <w:color w:val="auto"/>
    </w:rPr>
  </w:style>
  <w:style w:type="paragraph" w:customStyle="1" w:styleId="CM108">
    <w:name w:val="CM108"/>
    <w:basedOn w:val="Default"/>
    <w:next w:val="Default"/>
    <w:uiPriority w:val="99"/>
    <w:pPr>
      <w:spacing w:line="103" w:lineRule="atLeast"/>
    </w:pPr>
    <w:rPr>
      <w:rFonts w:cs="Times New Roman"/>
      <w:color w:val="auto"/>
    </w:rPr>
  </w:style>
  <w:style w:type="paragraph" w:customStyle="1" w:styleId="CM109">
    <w:name w:val="CM109"/>
    <w:basedOn w:val="Default"/>
    <w:next w:val="Default"/>
    <w:uiPriority w:val="99"/>
    <w:pPr>
      <w:spacing w:line="108" w:lineRule="atLeast"/>
    </w:pPr>
    <w:rPr>
      <w:rFonts w:cs="Times New Roman"/>
      <w:color w:val="auto"/>
    </w:rPr>
  </w:style>
  <w:style w:type="paragraph" w:customStyle="1" w:styleId="CM110">
    <w:name w:val="CM110"/>
    <w:basedOn w:val="Default"/>
    <w:next w:val="Default"/>
    <w:uiPriority w:val="99"/>
    <w:pPr>
      <w:spacing w:line="103" w:lineRule="atLeast"/>
    </w:pPr>
    <w:rPr>
      <w:rFonts w:cs="Times New Roman"/>
      <w:color w:val="auto"/>
    </w:rPr>
  </w:style>
  <w:style w:type="paragraph" w:customStyle="1" w:styleId="CM111">
    <w:name w:val="CM111"/>
    <w:basedOn w:val="Default"/>
    <w:next w:val="Default"/>
    <w:uiPriority w:val="99"/>
    <w:rPr>
      <w:rFonts w:cs="Times New Roman"/>
      <w:color w:val="auto"/>
    </w:rPr>
  </w:style>
  <w:style w:type="paragraph" w:customStyle="1" w:styleId="CM112">
    <w:name w:val="CM112"/>
    <w:basedOn w:val="Default"/>
    <w:next w:val="Default"/>
    <w:uiPriority w:val="99"/>
    <w:pPr>
      <w:spacing w:line="286" w:lineRule="atLeast"/>
    </w:pPr>
    <w:rPr>
      <w:rFonts w:cs="Times New Roman"/>
      <w:color w:val="auto"/>
    </w:rPr>
  </w:style>
  <w:style w:type="paragraph" w:customStyle="1" w:styleId="CM114">
    <w:name w:val="CM114"/>
    <w:basedOn w:val="Default"/>
    <w:next w:val="Default"/>
    <w:uiPriority w:val="99"/>
    <w:pPr>
      <w:spacing w:line="258" w:lineRule="atLeast"/>
    </w:pPr>
    <w:rPr>
      <w:rFonts w:cs="Times New Roman"/>
      <w:color w:val="auto"/>
    </w:rPr>
  </w:style>
  <w:style w:type="paragraph" w:customStyle="1" w:styleId="CM115">
    <w:name w:val="CM115"/>
    <w:basedOn w:val="Default"/>
    <w:next w:val="Default"/>
    <w:uiPriority w:val="99"/>
    <w:pPr>
      <w:spacing w:line="231" w:lineRule="atLeast"/>
    </w:pPr>
    <w:rPr>
      <w:rFonts w:cs="Times New Roman"/>
      <w:color w:val="auto"/>
    </w:rPr>
  </w:style>
  <w:style w:type="paragraph" w:customStyle="1" w:styleId="CM118">
    <w:name w:val="CM118"/>
    <w:basedOn w:val="Default"/>
    <w:next w:val="Default"/>
    <w:uiPriority w:val="99"/>
    <w:pPr>
      <w:spacing w:line="291" w:lineRule="atLeast"/>
    </w:pPr>
    <w:rPr>
      <w:rFonts w:cs="Times New Roman"/>
      <w:color w:val="auto"/>
    </w:rPr>
  </w:style>
  <w:style w:type="paragraph" w:customStyle="1" w:styleId="CM119">
    <w:name w:val="CM119"/>
    <w:basedOn w:val="Default"/>
    <w:next w:val="Default"/>
    <w:uiPriority w:val="99"/>
    <w:pPr>
      <w:spacing w:line="291" w:lineRule="atLeast"/>
    </w:pPr>
    <w:rPr>
      <w:rFonts w:cs="Times New Roman"/>
      <w:color w:val="auto"/>
    </w:rPr>
  </w:style>
  <w:style w:type="paragraph" w:customStyle="1" w:styleId="CM120">
    <w:name w:val="CM120"/>
    <w:basedOn w:val="Default"/>
    <w:next w:val="Default"/>
    <w:uiPriority w:val="99"/>
    <w:rPr>
      <w:rFonts w:cs="Times New Roman"/>
      <w:color w:val="auto"/>
    </w:rPr>
  </w:style>
  <w:style w:type="paragraph" w:customStyle="1" w:styleId="CM122">
    <w:name w:val="CM122"/>
    <w:basedOn w:val="Default"/>
    <w:next w:val="Default"/>
    <w:uiPriority w:val="99"/>
    <w:pPr>
      <w:spacing w:line="293" w:lineRule="atLeast"/>
    </w:pPr>
    <w:rPr>
      <w:rFonts w:cs="Times New Roman"/>
      <w:color w:val="auto"/>
    </w:rPr>
  </w:style>
  <w:style w:type="paragraph" w:customStyle="1" w:styleId="CM117">
    <w:name w:val="CM117"/>
    <w:basedOn w:val="Default"/>
    <w:next w:val="Default"/>
    <w:uiPriority w:val="99"/>
    <w:pPr>
      <w:spacing w:line="291" w:lineRule="atLeast"/>
    </w:pPr>
    <w:rPr>
      <w:rFonts w:cs="Times New Roman"/>
      <w:color w:val="auto"/>
    </w:rPr>
  </w:style>
  <w:style w:type="paragraph" w:customStyle="1" w:styleId="CM123">
    <w:name w:val="CM123"/>
    <w:basedOn w:val="Default"/>
    <w:next w:val="Default"/>
    <w:uiPriority w:val="99"/>
    <w:pPr>
      <w:spacing w:line="286" w:lineRule="atLeast"/>
    </w:pPr>
    <w:rPr>
      <w:rFonts w:cs="Times New Roman"/>
      <w:color w:val="auto"/>
    </w:rPr>
  </w:style>
  <w:style w:type="paragraph" w:customStyle="1" w:styleId="CM124">
    <w:name w:val="CM124"/>
    <w:basedOn w:val="Default"/>
    <w:next w:val="Default"/>
    <w:uiPriority w:val="99"/>
    <w:pPr>
      <w:spacing w:line="336" w:lineRule="atLeast"/>
    </w:pPr>
    <w:rPr>
      <w:rFonts w:cs="Times New Roman"/>
      <w:color w:val="auto"/>
    </w:rPr>
  </w:style>
  <w:style w:type="paragraph" w:customStyle="1" w:styleId="CM125">
    <w:name w:val="CM125"/>
    <w:basedOn w:val="Default"/>
    <w:next w:val="Default"/>
    <w:uiPriority w:val="99"/>
    <w:pPr>
      <w:spacing w:line="211" w:lineRule="atLeast"/>
    </w:pPr>
    <w:rPr>
      <w:rFonts w:cs="Times New Roman"/>
      <w:color w:val="auto"/>
    </w:rPr>
  </w:style>
  <w:style w:type="paragraph" w:customStyle="1" w:styleId="CM203">
    <w:name w:val="CM203"/>
    <w:basedOn w:val="Default"/>
    <w:next w:val="Default"/>
    <w:uiPriority w:val="99"/>
    <w:rPr>
      <w:rFonts w:cs="Times New Roman"/>
      <w:color w:val="auto"/>
    </w:rPr>
  </w:style>
  <w:style w:type="paragraph" w:customStyle="1" w:styleId="CM127">
    <w:name w:val="CM127"/>
    <w:basedOn w:val="Default"/>
    <w:next w:val="Default"/>
    <w:uiPriority w:val="99"/>
    <w:rPr>
      <w:rFonts w:cs="Times New Roman"/>
      <w:color w:val="auto"/>
    </w:rPr>
  </w:style>
  <w:style w:type="paragraph" w:customStyle="1" w:styleId="CM130">
    <w:name w:val="CM130"/>
    <w:basedOn w:val="Default"/>
    <w:next w:val="Default"/>
    <w:uiPriority w:val="99"/>
    <w:pPr>
      <w:spacing w:line="271" w:lineRule="atLeast"/>
    </w:pPr>
    <w:rPr>
      <w:rFonts w:cs="Times New Roman"/>
      <w:color w:val="auto"/>
    </w:rPr>
  </w:style>
  <w:style w:type="paragraph" w:customStyle="1" w:styleId="CM131">
    <w:name w:val="CM131"/>
    <w:basedOn w:val="Default"/>
    <w:next w:val="Default"/>
    <w:uiPriority w:val="99"/>
    <w:pPr>
      <w:spacing w:line="300" w:lineRule="atLeast"/>
    </w:pPr>
    <w:rPr>
      <w:rFonts w:cs="Times New Roman"/>
      <w:color w:val="auto"/>
    </w:rPr>
  </w:style>
  <w:style w:type="paragraph" w:customStyle="1" w:styleId="CM133">
    <w:name w:val="CM133"/>
    <w:basedOn w:val="Default"/>
    <w:next w:val="Default"/>
    <w:uiPriority w:val="99"/>
    <w:pPr>
      <w:spacing w:line="260" w:lineRule="atLeast"/>
    </w:pPr>
    <w:rPr>
      <w:rFonts w:cs="Times New Roman"/>
      <w:color w:val="auto"/>
    </w:rPr>
  </w:style>
  <w:style w:type="paragraph" w:customStyle="1" w:styleId="CM134">
    <w:name w:val="CM134"/>
    <w:basedOn w:val="Default"/>
    <w:next w:val="Default"/>
    <w:uiPriority w:val="99"/>
    <w:pPr>
      <w:spacing w:line="271" w:lineRule="atLeast"/>
    </w:pPr>
    <w:rPr>
      <w:rFonts w:cs="Times New Roman"/>
      <w:color w:val="auto"/>
    </w:rPr>
  </w:style>
  <w:style w:type="paragraph" w:customStyle="1" w:styleId="CM23">
    <w:name w:val="CM23"/>
    <w:basedOn w:val="Default"/>
    <w:next w:val="Default"/>
    <w:uiPriority w:val="99"/>
    <w:pPr>
      <w:spacing w:line="293" w:lineRule="atLeast"/>
    </w:pPr>
    <w:rPr>
      <w:rFonts w:cs="Times New Roman"/>
      <w:color w:val="auto"/>
    </w:rPr>
  </w:style>
  <w:style w:type="paragraph" w:customStyle="1" w:styleId="CM204">
    <w:name w:val="CM204"/>
    <w:basedOn w:val="Default"/>
    <w:next w:val="Default"/>
    <w:uiPriority w:val="99"/>
    <w:rPr>
      <w:rFonts w:cs="Times New Roman"/>
      <w:color w:val="auto"/>
    </w:rPr>
  </w:style>
  <w:style w:type="paragraph" w:customStyle="1" w:styleId="CM135">
    <w:name w:val="CM135"/>
    <w:basedOn w:val="Default"/>
    <w:next w:val="Default"/>
    <w:uiPriority w:val="99"/>
    <w:pPr>
      <w:spacing w:line="248" w:lineRule="atLeast"/>
    </w:pPr>
    <w:rPr>
      <w:rFonts w:cs="Times New Roman"/>
      <w:color w:val="auto"/>
    </w:rPr>
  </w:style>
  <w:style w:type="paragraph" w:customStyle="1" w:styleId="CM136">
    <w:name w:val="CM136"/>
    <w:basedOn w:val="Default"/>
    <w:next w:val="Default"/>
    <w:uiPriority w:val="99"/>
    <w:pPr>
      <w:spacing w:line="280" w:lineRule="atLeast"/>
    </w:pPr>
    <w:rPr>
      <w:rFonts w:cs="Times New Roman"/>
      <w:color w:val="auto"/>
    </w:rPr>
  </w:style>
  <w:style w:type="paragraph" w:customStyle="1" w:styleId="CM137">
    <w:name w:val="CM137"/>
    <w:basedOn w:val="Default"/>
    <w:next w:val="Default"/>
    <w:uiPriority w:val="99"/>
    <w:rPr>
      <w:rFonts w:cs="Times New Roman"/>
      <w:color w:val="auto"/>
    </w:rPr>
  </w:style>
  <w:style w:type="paragraph" w:customStyle="1" w:styleId="CM129">
    <w:name w:val="CM129"/>
    <w:basedOn w:val="Default"/>
    <w:next w:val="Default"/>
    <w:uiPriority w:val="99"/>
    <w:pPr>
      <w:spacing w:line="268" w:lineRule="atLeast"/>
    </w:pPr>
    <w:rPr>
      <w:rFonts w:cs="Times New Roman"/>
      <w:color w:val="auto"/>
    </w:rPr>
  </w:style>
  <w:style w:type="paragraph" w:customStyle="1" w:styleId="CM140">
    <w:name w:val="CM140"/>
    <w:basedOn w:val="Default"/>
    <w:next w:val="Default"/>
    <w:uiPriority w:val="99"/>
    <w:pPr>
      <w:spacing w:line="336" w:lineRule="atLeast"/>
    </w:pPr>
    <w:rPr>
      <w:rFonts w:cs="Times New Roman"/>
      <w:color w:val="auto"/>
    </w:rPr>
  </w:style>
  <w:style w:type="paragraph" w:customStyle="1" w:styleId="CM141">
    <w:name w:val="CM141"/>
    <w:basedOn w:val="Default"/>
    <w:next w:val="Default"/>
    <w:uiPriority w:val="99"/>
    <w:rPr>
      <w:rFonts w:cs="Times New Roman"/>
      <w:color w:val="auto"/>
    </w:rPr>
  </w:style>
  <w:style w:type="paragraph" w:customStyle="1" w:styleId="CM142">
    <w:name w:val="CM142"/>
    <w:basedOn w:val="Default"/>
    <w:next w:val="Default"/>
    <w:uiPriority w:val="99"/>
    <w:rPr>
      <w:rFonts w:cs="Times New Roman"/>
      <w:color w:val="auto"/>
    </w:rPr>
  </w:style>
  <w:style w:type="paragraph" w:customStyle="1" w:styleId="CM143">
    <w:name w:val="CM143"/>
    <w:basedOn w:val="Default"/>
    <w:next w:val="Default"/>
    <w:uiPriority w:val="99"/>
    <w:pPr>
      <w:spacing w:line="246" w:lineRule="atLeast"/>
    </w:pPr>
    <w:rPr>
      <w:rFonts w:cs="Times New Roman"/>
      <w:color w:val="auto"/>
    </w:rPr>
  </w:style>
  <w:style w:type="paragraph" w:customStyle="1" w:styleId="CM144">
    <w:name w:val="CM144"/>
    <w:basedOn w:val="Default"/>
    <w:next w:val="Default"/>
    <w:uiPriority w:val="99"/>
    <w:pPr>
      <w:spacing w:line="243" w:lineRule="atLeast"/>
    </w:pPr>
    <w:rPr>
      <w:rFonts w:cs="Times New Roman"/>
      <w:color w:val="auto"/>
    </w:rPr>
  </w:style>
  <w:style w:type="paragraph" w:customStyle="1" w:styleId="CM145">
    <w:name w:val="CM145"/>
    <w:basedOn w:val="Default"/>
    <w:next w:val="Default"/>
    <w:uiPriority w:val="99"/>
    <w:pPr>
      <w:spacing w:line="246" w:lineRule="atLeast"/>
    </w:pPr>
    <w:rPr>
      <w:rFonts w:cs="Times New Roman"/>
      <w:color w:val="auto"/>
    </w:rPr>
  </w:style>
  <w:style w:type="paragraph" w:customStyle="1" w:styleId="CM146">
    <w:name w:val="CM146"/>
    <w:basedOn w:val="Default"/>
    <w:next w:val="Default"/>
    <w:uiPriority w:val="99"/>
    <w:pPr>
      <w:spacing w:line="246" w:lineRule="atLeast"/>
    </w:pPr>
    <w:rPr>
      <w:rFonts w:cs="Times New Roman"/>
      <w:color w:val="auto"/>
    </w:rPr>
  </w:style>
  <w:style w:type="paragraph" w:customStyle="1" w:styleId="CM149">
    <w:name w:val="CM149"/>
    <w:basedOn w:val="Default"/>
    <w:next w:val="Default"/>
    <w:uiPriority w:val="99"/>
    <w:pPr>
      <w:spacing w:line="246" w:lineRule="atLeast"/>
    </w:pPr>
    <w:rPr>
      <w:rFonts w:cs="Times New Roman"/>
      <w:color w:val="auto"/>
    </w:rPr>
  </w:style>
  <w:style w:type="paragraph" w:customStyle="1" w:styleId="CM150">
    <w:name w:val="CM150"/>
    <w:basedOn w:val="Default"/>
    <w:next w:val="Default"/>
    <w:uiPriority w:val="99"/>
    <w:pPr>
      <w:spacing w:line="246" w:lineRule="atLeast"/>
    </w:pPr>
    <w:rPr>
      <w:rFonts w:cs="Times New Roman"/>
      <w:color w:val="auto"/>
    </w:rPr>
  </w:style>
  <w:style w:type="paragraph" w:customStyle="1" w:styleId="CM151">
    <w:name w:val="CM151"/>
    <w:basedOn w:val="Default"/>
    <w:next w:val="Default"/>
    <w:uiPriority w:val="99"/>
    <w:pPr>
      <w:spacing w:line="246" w:lineRule="atLeast"/>
    </w:pPr>
    <w:rPr>
      <w:rFonts w:cs="Times New Roman"/>
      <w:color w:val="auto"/>
    </w:rPr>
  </w:style>
  <w:style w:type="paragraph" w:customStyle="1" w:styleId="CM152">
    <w:name w:val="CM152"/>
    <w:basedOn w:val="Default"/>
    <w:next w:val="Default"/>
    <w:uiPriority w:val="99"/>
    <w:pPr>
      <w:spacing w:line="246" w:lineRule="atLeast"/>
    </w:pPr>
    <w:rPr>
      <w:rFonts w:cs="Times New Roman"/>
      <w:color w:val="auto"/>
    </w:rPr>
  </w:style>
  <w:style w:type="paragraph" w:customStyle="1" w:styleId="CM153">
    <w:name w:val="CM153"/>
    <w:basedOn w:val="Default"/>
    <w:next w:val="Default"/>
    <w:uiPriority w:val="99"/>
    <w:rPr>
      <w:rFonts w:cs="Times New Roman"/>
      <w:color w:val="auto"/>
    </w:rPr>
  </w:style>
  <w:style w:type="paragraph" w:customStyle="1" w:styleId="CM206">
    <w:name w:val="CM206"/>
    <w:basedOn w:val="Default"/>
    <w:next w:val="Default"/>
    <w:uiPriority w:val="99"/>
    <w:rPr>
      <w:rFonts w:cs="Times New Roman"/>
      <w:color w:val="auto"/>
    </w:rPr>
  </w:style>
  <w:style w:type="paragraph" w:customStyle="1" w:styleId="CM154">
    <w:name w:val="CM154"/>
    <w:basedOn w:val="Default"/>
    <w:next w:val="Default"/>
    <w:uiPriority w:val="99"/>
    <w:rPr>
      <w:rFonts w:cs="Times New Roman"/>
      <w:color w:val="auto"/>
    </w:rPr>
  </w:style>
  <w:style w:type="paragraph" w:customStyle="1" w:styleId="CM148">
    <w:name w:val="CM148"/>
    <w:basedOn w:val="Default"/>
    <w:next w:val="Default"/>
    <w:uiPriority w:val="99"/>
    <w:pPr>
      <w:spacing w:line="246" w:lineRule="atLeast"/>
    </w:pPr>
    <w:rPr>
      <w:rFonts w:cs="Times New Roman"/>
      <w:color w:val="auto"/>
    </w:rPr>
  </w:style>
  <w:style w:type="paragraph" w:customStyle="1" w:styleId="CM155">
    <w:name w:val="CM155"/>
    <w:basedOn w:val="Default"/>
    <w:next w:val="Default"/>
    <w:uiPriority w:val="99"/>
    <w:pPr>
      <w:spacing w:line="243" w:lineRule="atLeast"/>
    </w:pPr>
    <w:rPr>
      <w:rFonts w:cs="Times New Roman"/>
      <w:color w:val="auto"/>
    </w:rPr>
  </w:style>
  <w:style w:type="paragraph" w:customStyle="1" w:styleId="CM156">
    <w:name w:val="CM156"/>
    <w:basedOn w:val="Default"/>
    <w:next w:val="Default"/>
    <w:uiPriority w:val="99"/>
    <w:pPr>
      <w:spacing w:line="246" w:lineRule="atLeast"/>
    </w:pPr>
    <w:rPr>
      <w:rFonts w:cs="Times New Roman"/>
      <w:color w:val="auto"/>
    </w:rPr>
  </w:style>
  <w:style w:type="paragraph" w:customStyle="1" w:styleId="CM207">
    <w:name w:val="CM207"/>
    <w:basedOn w:val="Default"/>
    <w:next w:val="Default"/>
    <w:uiPriority w:val="99"/>
    <w:rPr>
      <w:rFonts w:cs="Times New Roman"/>
      <w:color w:val="auto"/>
    </w:rPr>
  </w:style>
  <w:style w:type="paragraph" w:customStyle="1" w:styleId="CM157">
    <w:name w:val="CM157"/>
    <w:basedOn w:val="Default"/>
    <w:next w:val="Default"/>
    <w:uiPriority w:val="99"/>
    <w:pPr>
      <w:spacing w:line="246" w:lineRule="atLeast"/>
    </w:pPr>
    <w:rPr>
      <w:rFonts w:cs="Times New Roman"/>
      <w:color w:val="auto"/>
    </w:rPr>
  </w:style>
  <w:style w:type="paragraph" w:customStyle="1" w:styleId="CM208">
    <w:name w:val="CM208"/>
    <w:basedOn w:val="Default"/>
    <w:next w:val="Default"/>
    <w:uiPriority w:val="99"/>
    <w:rPr>
      <w:rFonts w:cs="Times New Roman"/>
      <w:color w:val="auto"/>
    </w:rPr>
  </w:style>
  <w:style w:type="paragraph" w:customStyle="1" w:styleId="CM159">
    <w:name w:val="CM159"/>
    <w:basedOn w:val="Default"/>
    <w:next w:val="Default"/>
    <w:uiPriority w:val="99"/>
    <w:pPr>
      <w:spacing w:line="246" w:lineRule="atLeast"/>
    </w:pPr>
    <w:rPr>
      <w:rFonts w:cs="Times New Roman"/>
      <w:color w:val="auto"/>
    </w:rPr>
  </w:style>
  <w:style w:type="paragraph" w:customStyle="1" w:styleId="CM160">
    <w:name w:val="CM160"/>
    <w:basedOn w:val="Default"/>
    <w:next w:val="Default"/>
    <w:uiPriority w:val="99"/>
    <w:pPr>
      <w:spacing w:line="348" w:lineRule="atLeast"/>
    </w:pPr>
    <w:rPr>
      <w:rFonts w:cs="Times New Roman"/>
      <w:color w:val="auto"/>
    </w:rPr>
  </w:style>
  <w:style w:type="paragraph" w:customStyle="1" w:styleId="CM161">
    <w:name w:val="CM161"/>
    <w:basedOn w:val="Default"/>
    <w:next w:val="Default"/>
    <w:uiPriority w:val="99"/>
    <w:pPr>
      <w:spacing w:line="340" w:lineRule="atLeast"/>
    </w:pPr>
    <w:rPr>
      <w:rFonts w:cs="Times New Roman"/>
      <w:color w:val="auto"/>
    </w:rPr>
  </w:style>
  <w:style w:type="paragraph" w:styleId="BalloonText">
    <w:name w:val="Balloon Text"/>
    <w:basedOn w:val="Normal"/>
    <w:link w:val="BalloonTextChar"/>
    <w:uiPriority w:val="99"/>
    <w:semiHidden/>
    <w:unhideWhenUsed/>
    <w:rsid w:val="00A450E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450E1"/>
    <w:rPr>
      <w:rFonts w:ascii="Lucida Grande" w:hAnsi="Lucida Grande" w:cs="Lucida Grande"/>
      <w:sz w:val="18"/>
      <w:szCs w:val="18"/>
    </w:rPr>
  </w:style>
  <w:style w:type="paragraph" w:styleId="CommentText">
    <w:name w:val="annotation text"/>
    <w:basedOn w:val="Normal"/>
    <w:link w:val="CommentTextChar"/>
    <w:uiPriority w:val="99"/>
    <w:semiHidden/>
    <w:unhideWhenUsed/>
    <w:rPr>
      <w:sz w:val="24"/>
      <w:szCs w:val="24"/>
    </w:rPr>
  </w:style>
  <w:style w:type="character" w:customStyle="1" w:styleId="CommentTextChar">
    <w:name w:val="Comment Text Char"/>
    <w:basedOn w:val="DefaultParagraphFont"/>
    <w:link w:val="CommentText"/>
    <w:uiPriority w:val="99"/>
    <w:semiHidden/>
    <w:rPr>
      <w:sz w:val="24"/>
      <w:szCs w:val="24"/>
    </w:rPr>
  </w:style>
  <w:style w:type="character" w:styleId="CommentReference">
    <w:name w:val="annotation reference"/>
    <w:basedOn w:val="DefaultParagraphFont"/>
    <w:uiPriority w:val="99"/>
    <w:semiHidden/>
    <w:unhideWhenUsed/>
    <w:rPr>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pPr>
      <w:widowControl w:val="0"/>
      <w:autoSpaceDE w:val="0"/>
      <w:autoSpaceDN w:val="0"/>
      <w:adjustRightInd w:val="0"/>
    </w:pPr>
    <w:rPr>
      <w:rFonts w:ascii="Dax Condensed" w:hAnsi="Dax Condensed" w:cs="Dax Condensed"/>
      <w:color w:val="000000"/>
      <w:sz w:val="24"/>
      <w:szCs w:val="24"/>
    </w:rPr>
  </w:style>
  <w:style w:type="paragraph" w:customStyle="1" w:styleId="CM1">
    <w:name w:val="CM1"/>
    <w:basedOn w:val="Default"/>
    <w:next w:val="Default"/>
    <w:uiPriority w:val="99"/>
    <w:rPr>
      <w:rFonts w:cs="Times New Roman"/>
      <w:color w:val="auto"/>
    </w:rPr>
  </w:style>
  <w:style w:type="paragraph" w:customStyle="1" w:styleId="CM162">
    <w:name w:val="CM162"/>
    <w:basedOn w:val="Default"/>
    <w:next w:val="Default"/>
    <w:uiPriority w:val="99"/>
    <w:rPr>
      <w:rFonts w:cs="Times New Roman"/>
      <w:color w:val="auto"/>
    </w:rPr>
  </w:style>
  <w:style w:type="paragraph" w:customStyle="1" w:styleId="CM163">
    <w:name w:val="CM163"/>
    <w:basedOn w:val="Default"/>
    <w:next w:val="Default"/>
    <w:uiPriority w:val="99"/>
    <w:rPr>
      <w:rFonts w:cs="Times New Roman"/>
      <w:color w:val="auto"/>
    </w:rPr>
  </w:style>
  <w:style w:type="paragraph" w:customStyle="1" w:styleId="CM164">
    <w:name w:val="CM164"/>
    <w:basedOn w:val="Default"/>
    <w:next w:val="Default"/>
    <w:uiPriority w:val="99"/>
    <w:rPr>
      <w:rFonts w:cs="Times New Roman"/>
      <w:color w:val="auto"/>
    </w:rPr>
  </w:style>
  <w:style w:type="paragraph" w:customStyle="1" w:styleId="CM2">
    <w:name w:val="CM2"/>
    <w:basedOn w:val="Default"/>
    <w:next w:val="Default"/>
    <w:uiPriority w:val="99"/>
    <w:pPr>
      <w:spacing w:line="291" w:lineRule="atLeast"/>
    </w:pPr>
    <w:rPr>
      <w:rFonts w:cs="Times New Roman"/>
      <w:color w:val="auto"/>
    </w:rPr>
  </w:style>
  <w:style w:type="paragraph" w:customStyle="1" w:styleId="CM165">
    <w:name w:val="CM165"/>
    <w:basedOn w:val="Default"/>
    <w:next w:val="Default"/>
    <w:uiPriority w:val="99"/>
    <w:rPr>
      <w:rFonts w:cs="Times New Roman"/>
      <w:color w:val="auto"/>
    </w:rPr>
  </w:style>
  <w:style w:type="paragraph" w:customStyle="1" w:styleId="CM103">
    <w:name w:val="CM103"/>
    <w:basedOn w:val="Default"/>
    <w:next w:val="Default"/>
    <w:uiPriority w:val="99"/>
    <w:pPr>
      <w:spacing w:line="300" w:lineRule="atLeast"/>
    </w:pPr>
    <w:rPr>
      <w:rFonts w:cs="Times New Roman"/>
      <w:color w:val="auto"/>
    </w:rPr>
  </w:style>
  <w:style w:type="paragraph" w:customStyle="1" w:styleId="CM4">
    <w:name w:val="CM4"/>
    <w:basedOn w:val="Default"/>
    <w:next w:val="Default"/>
    <w:uiPriority w:val="99"/>
    <w:pPr>
      <w:spacing w:line="291" w:lineRule="atLeast"/>
    </w:pPr>
    <w:rPr>
      <w:rFonts w:cs="Times New Roman"/>
      <w:color w:val="auto"/>
    </w:rPr>
  </w:style>
  <w:style w:type="paragraph" w:customStyle="1" w:styleId="CM166">
    <w:name w:val="CM166"/>
    <w:basedOn w:val="Default"/>
    <w:next w:val="Default"/>
    <w:uiPriority w:val="99"/>
    <w:rPr>
      <w:rFonts w:cs="Times New Roman"/>
      <w:color w:val="auto"/>
    </w:rPr>
  </w:style>
  <w:style w:type="paragraph" w:customStyle="1" w:styleId="CM5">
    <w:name w:val="CM5"/>
    <w:basedOn w:val="Default"/>
    <w:next w:val="Default"/>
    <w:uiPriority w:val="99"/>
    <w:pPr>
      <w:spacing w:line="413" w:lineRule="atLeast"/>
    </w:pPr>
    <w:rPr>
      <w:rFonts w:cs="Times New Roman"/>
      <w:color w:val="auto"/>
    </w:rPr>
  </w:style>
  <w:style w:type="paragraph" w:customStyle="1" w:styleId="CM167">
    <w:name w:val="CM167"/>
    <w:basedOn w:val="Default"/>
    <w:next w:val="Default"/>
    <w:uiPriority w:val="99"/>
    <w:rPr>
      <w:rFonts w:cs="Times New Roman"/>
      <w:color w:val="auto"/>
    </w:rPr>
  </w:style>
  <w:style w:type="paragraph" w:customStyle="1" w:styleId="CM6">
    <w:name w:val="CM6"/>
    <w:basedOn w:val="Default"/>
    <w:next w:val="Default"/>
    <w:uiPriority w:val="99"/>
    <w:rPr>
      <w:rFonts w:cs="Times New Roman"/>
      <w:color w:val="auto"/>
    </w:rPr>
  </w:style>
  <w:style w:type="paragraph" w:customStyle="1" w:styleId="CM7">
    <w:name w:val="CM7"/>
    <w:basedOn w:val="Default"/>
    <w:next w:val="Default"/>
    <w:uiPriority w:val="99"/>
    <w:rPr>
      <w:rFonts w:cs="Times New Roman"/>
      <w:color w:val="auto"/>
    </w:rPr>
  </w:style>
  <w:style w:type="paragraph" w:customStyle="1" w:styleId="CM8">
    <w:name w:val="CM8"/>
    <w:basedOn w:val="Default"/>
    <w:next w:val="Default"/>
    <w:uiPriority w:val="99"/>
    <w:pPr>
      <w:spacing w:line="358" w:lineRule="atLeast"/>
    </w:pPr>
    <w:rPr>
      <w:rFonts w:cs="Times New Roman"/>
      <w:color w:val="auto"/>
    </w:rPr>
  </w:style>
  <w:style w:type="paragraph" w:customStyle="1" w:styleId="CM9">
    <w:name w:val="CM9"/>
    <w:basedOn w:val="Default"/>
    <w:next w:val="Default"/>
    <w:uiPriority w:val="99"/>
    <w:pPr>
      <w:spacing w:line="356" w:lineRule="atLeast"/>
    </w:pPr>
    <w:rPr>
      <w:rFonts w:cs="Times New Roman"/>
      <w:color w:val="auto"/>
    </w:rPr>
  </w:style>
  <w:style w:type="paragraph" w:customStyle="1" w:styleId="CM10">
    <w:name w:val="CM10"/>
    <w:basedOn w:val="Default"/>
    <w:next w:val="Default"/>
    <w:uiPriority w:val="99"/>
    <w:pPr>
      <w:spacing w:line="356" w:lineRule="atLeast"/>
    </w:pPr>
    <w:rPr>
      <w:rFonts w:cs="Times New Roman"/>
      <w:color w:val="auto"/>
    </w:rPr>
  </w:style>
  <w:style w:type="paragraph" w:customStyle="1" w:styleId="CM11">
    <w:name w:val="CM11"/>
    <w:basedOn w:val="Default"/>
    <w:next w:val="Default"/>
    <w:uiPriority w:val="99"/>
    <w:pPr>
      <w:spacing w:line="296" w:lineRule="atLeast"/>
    </w:pPr>
    <w:rPr>
      <w:rFonts w:cs="Times New Roman"/>
      <w:color w:val="auto"/>
    </w:rPr>
  </w:style>
  <w:style w:type="paragraph" w:customStyle="1" w:styleId="CM12">
    <w:name w:val="CM12"/>
    <w:basedOn w:val="Default"/>
    <w:next w:val="Default"/>
    <w:uiPriority w:val="99"/>
    <w:rPr>
      <w:rFonts w:cs="Times New Roman"/>
      <w:color w:val="auto"/>
    </w:rPr>
  </w:style>
  <w:style w:type="paragraph" w:customStyle="1" w:styleId="CM13">
    <w:name w:val="CM13"/>
    <w:basedOn w:val="Default"/>
    <w:next w:val="Default"/>
    <w:uiPriority w:val="99"/>
    <w:pPr>
      <w:spacing w:line="353" w:lineRule="atLeast"/>
    </w:pPr>
    <w:rPr>
      <w:rFonts w:cs="Times New Roman"/>
      <w:color w:val="auto"/>
    </w:rPr>
  </w:style>
  <w:style w:type="paragraph" w:customStyle="1" w:styleId="CM14">
    <w:name w:val="CM14"/>
    <w:basedOn w:val="Default"/>
    <w:next w:val="Default"/>
    <w:uiPriority w:val="99"/>
    <w:pPr>
      <w:spacing w:line="356" w:lineRule="atLeast"/>
    </w:pPr>
    <w:rPr>
      <w:rFonts w:cs="Times New Roman"/>
      <w:color w:val="auto"/>
    </w:rPr>
  </w:style>
  <w:style w:type="paragraph" w:customStyle="1" w:styleId="CM169">
    <w:name w:val="CM169"/>
    <w:basedOn w:val="Default"/>
    <w:next w:val="Default"/>
    <w:uiPriority w:val="99"/>
    <w:rPr>
      <w:rFonts w:cs="Times New Roman"/>
      <w:color w:val="auto"/>
    </w:rPr>
  </w:style>
  <w:style w:type="paragraph" w:customStyle="1" w:styleId="CM170">
    <w:name w:val="CM170"/>
    <w:basedOn w:val="Default"/>
    <w:next w:val="Default"/>
    <w:uiPriority w:val="99"/>
    <w:rPr>
      <w:rFonts w:cs="Times New Roman"/>
      <w:color w:val="auto"/>
    </w:rPr>
  </w:style>
  <w:style w:type="paragraph" w:customStyle="1" w:styleId="CM171">
    <w:name w:val="CM171"/>
    <w:basedOn w:val="Default"/>
    <w:next w:val="Default"/>
    <w:uiPriority w:val="99"/>
    <w:rPr>
      <w:rFonts w:cs="Times New Roman"/>
      <w:color w:val="auto"/>
    </w:rPr>
  </w:style>
  <w:style w:type="paragraph" w:customStyle="1" w:styleId="CM172">
    <w:name w:val="CM172"/>
    <w:basedOn w:val="Default"/>
    <w:next w:val="Default"/>
    <w:uiPriority w:val="99"/>
    <w:rPr>
      <w:rFonts w:cs="Times New Roman"/>
      <w:color w:val="auto"/>
    </w:rPr>
  </w:style>
  <w:style w:type="paragraph" w:customStyle="1" w:styleId="CM173">
    <w:name w:val="CM173"/>
    <w:basedOn w:val="Default"/>
    <w:next w:val="Default"/>
    <w:uiPriority w:val="99"/>
    <w:rPr>
      <w:rFonts w:cs="Times New Roman"/>
      <w:color w:val="auto"/>
    </w:rPr>
  </w:style>
  <w:style w:type="paragraph" w:customStyle="1" w:styleId="CM15">
    <w:name w:val="CM15"/>
    <w:basedOn w:val="Default"/>
    <w:next w:val="Default"/>
    <w:uiPriority w:val="99"/>
    <w:pPr>
      <w:spacing w:line="293" w:lineRule="atLeast"/>
    </w:pPr>
    <w:rPr>
      <w:rFonts w:cs="Times New Roman"/>
      <w:color w:val="auto"/>
    </w:rPr>
  </w:style>
  <w:style w:type="paragraph" w:customStyle="1" w:styleId="CM16">
    <w:name w:val="CM16"/>
    <w:basedOn w:val="Default"/>
    <w:next w:val="Default"/>
    <w:uiPriority w:val="99"/>
    <w:pPr>
      <w:spacing w:line="293" w:lineRule="atLeast"/>
    </w:pPr>
    <w:rPr>
      <w:rFonts w:cs="Times New Roman"/>
      <w:color w:val="auto"/>
    </w:rPr>
  </w:style>
  <w:style w:type="paragraph" w:customStyle="1" w:styleId="CM17">
    <w:name w:val="CM17"/>
    <w:basedOn w:val="Default"/>
    <w:next w:val="Default"/>
    <w:uiPriority w:val="99"/>
    <w:pPr>
      <w:spacing w:line="296" w:lineRule="atLeast"/>
    </w:pPr>
    <w:rPr>
      <w:rFonts w:cs="Times New Roman"/>
      <w:color w:val="auto"/>
    </w:rPr>
  </w:style>
  <w:style w:type="paragraph" w:customStyle="1" w:styleId="CM18">
    <w:name w:val="CM18"/>
    <w:basedOn w:val="Default"/>
    <w:next w:val="Default"/>
    <w:uiPriority w:val="99"/>
    <w:pPr>
      <w:spacing w:line="293" w:lineRule="atLeast"/>
    </w:pPr>
    <w:rPr>
      <w:rFonts w:cs="Times New Roman"/>
      <w:color w:val="auto"/>
    </w:rPr>
  </w:style>
  <w:style w:type="paragraph" w:customStyle="1" w:styleId="CM19">
    <w:name w:val="CM19"/>
    <w:basedOn w:val="Default"/>
    <w:next w:val="Default"/>
    <w:uiPriority w:val="99"/>
    <w:pPr>
      <w:spacing w:line="293" w:lineRule="atLeast"/>
    </w:pPr>
    <w:rPr>
      <w:rFonts w:cs="Times New Roman"/>
      <w:color w:val="auto"/>
    </w:rPr>
  </w:style>
  <w:style w:type="paragraph" w:customStyle="1" w:styleId="CM20">
    <w:name w:val="CM20"/>
    <w:basedOn w:val="Default"/>
    <w:next w:val="Default"/>
    <w:uiPriority w:val="99"/>
    <w:rPr>
      <w:rFonts w:cs="Times New Roman"/>
      <w:color w:val="auto"/>
    </w:rPr>
  </w:style>
  <w:style w:type="paragraph" w:customStyle="1" w:styleId="CM21">
    <w:name w:val="CM21"/>
    <w:basedOn w:val="Default"/>
    <w:next w:val="Default"/>
    <w:uiPriority w:val="99"/>
    <w:rPr>
      <w:rFonts w:cs="Times New Roman"/>
      <w:color w:val="auto"/>
    </w:rPr>
  </w:style>
  <w:style w:type="paragraph" w:customStyle="1" w:styleId="CM175">
    <w:name w:val="CM175"/>
    <w:basedOn w:val="Default"/>
    <w:next w:val="Default"/>
    <w:uiPriority w:val="99"/>
    <w:rPr>
      <w:rFonts w:cs="Times New Roman"/>
      <w:color w:val="auto"/>
    </w:rPr>
  </w:style>
  <w:style w:type="paragraph" w:customStyle="1" w:styleId="CM24">
    <w:name w:val="CM24"/>
    <w:basedOn w:val="Default"/>
    <w:next w:val="Default"/>
    <w:uiPriority w:val="99"/>
    <w:pPr>
      <w:spacing w:line="298" w:lineRule="atLeast"/>
    </w:pPr>
    <w:rPr>
      <w:rFonts w:cs="Times New Roman"/>
      <w:color w:val="auto"/>
    </w:rPr>
  </w:style>
  <w:style w:type="paragraph" w:customStyle="1" w:styleId="CM3">
    <w:name w:val="CM3"/>
    <w:basedOn w:val="Default"/>
    <w:next w:val="Default"/>
    <w:uiPriority w:val="99"/>
    <w:pPr>
      <w:spacing w:line="296" w:lineRule="atLeast"/>
    </w:pPr>
    <w:rPr>
      <w:rFonts w:cs="Times New Roman"/>
      <w:color w:val="auto"/>
    </w:rPr>
  </w:style>
  <w:style w:type="paragraph" w:customStyle="1" w:styleId="CM176">
    <w:name w:val="CM176"/>
    <w:basedOn w:val="Default"/>
    <w:next w:val="Default"/>
    <w:uiPriority w:val="99"/>
    <w:rPr>
      <w:rFonts w:cs="Times New Roman"/>
      <w:color w:val="auto"/>
    </w:rPr>
  </w:style>
  <w:style w:type="paragraph" w:customStyle="1" w:styleId="CM177">
    <w:name w:val="CM177"/>
    <w:basedOn w:val="Default"/>
    <w:next w:val="Default"/>
    <w:uiPriority w:val="99"/>
    <w:rPr>
      <w:rFonts w:cs="Times New Roman"/>
      <w:color w:val="auto"/>
    </w:rPr>
  </w:style>
  <w:style w:type="paragraph" w:customStyle="1" w:styleId="CM25">
    <w:name w:val="CM25"/>
    <w:basedOn w:val="Default"/>
    <w:next w:val="Default"/>
    <w:uiPriority w:val="99"/>
    <w:pPr>
      <w:spacing w:line="293" w:lineRule="atLeast"/>
    </w:pPr>
    <w:rPr>
      <w:rFonts w:cs="Times New Roman"/>
      <w:color w:val="auto"/>
    </w:rPr>
  </w:style>
  <w:style w:type="paragraph" w:customStyle="1" w:styleId="CM26">
    <w:name w:val="CM26"/>
    <w:basedOn w:val="Default"/>
    <w:next w:val="Default"/>
    <w:uiPriority w:val="99"/>
    <w:pPr>
      <w:spacing w:line="293" w:lineRule="atLeast"/>
    </w:pPr>
    <w:rPr>
      <w:rFonts w:cs="Times New Roman"/>
      <w:color w:val="auto"/>
    </w:rPr>
  </w:style>
  <w:style w:type="paragraph" w:customStyle="1" w:styleId="CM27">
    <w:name w:val="CM27"/>
    <w:basedOn w:val="Default"/>
    <w:next w:val="Default"/>
    <w:uiPriority w:val="99"/>
    <w:pPr>
      <w:spacing w:line="291" w:lineRule="atLeast"/>
    </w:pPr>
    <w:rPr>
      <w:rFonts w:cs="Times New Roman"/>
      <w:color w:val="auto"/>
    </w:rPr>
  </w:style>
  <w:style w:type="paragraph" w:customStyle="1" w:styleId="CM28">
    <w:name w:val="CM28"/>
    <w:basedOn w:val="Default"/>
    <w:next w:val="Default"/>
    <w:uiPriority w:val="99"/>
    <w:pPr>
      <w:spacing w:line="298" w:lineRule="atLeast"/>
    </w:pPr>
    <w:rPr>
      <w:rFonts w:cs="Times New Roman"/>
      <w:color w:val="auto"/>
    </w:rPr>
  </w:style>
  <w:style w:type="paragraph" w:customStyle="1" w:styleId="CM29">
    <w:name w:val="CM29"/>
    <w:basedOn w:val="Default"/>
    <w:next w:val="Default"/>
    <w:uiPriority w:val="99"/>
    <w:pPr>
      <w:spacing w:line="286" w:lineRule="atLeast"/>
    </w:pPr>
    <w:rPr>
      <w:rFonts w:cs="Times New Roman"/>
      <w:color w:val="auto"/>
    </w:rPr>
  </w:style>
  <w:style w:type="paragraph" w:customStyle="1" w:styleId="CM30">
    <w:name w:val="CM30"/>
    <w:basedOn w:val="Default"/>
    <w:next w:val="Default"/>
    <w:uiPriority w:val="99"/>
    <w:pPr>
      <w:spacing w:line="333" w:lineRule="atLeast"/>
    </w:pPr>
    <w:rPr>
      <w:rFonts w:cs="Times New Roman"/>
      <w:color w:val="auto"/>
    </w:rPr>
  </w:style>
  <w:style w:type="paragraph" w:customStyle="1" w:styleId="CM178">
    <w:name w:val="CM178"/>
    <w:basedOn w:val="Default"/>
    <w:next w:val="Default"/>
    <w:uiPriority w:val="99"/>
    <w:rPr>
      <w:rFonts w:cs="Times New Roman"/>
      <w:color w:val="auto"/>
    </w:rPr>
  </w:style>
  <w:style w:type="paragraph" w:customStyle="1" w:styleId="CM31">
    <w:name w:val="CM31"/>
    <w:basedOn w:val="Default"/>
    <w:next w:val="Default"/>
    <w:uiPriority w:val="99"/>
    <w:pPr>
      <w:spacing w:line="300" w:lineRule="atLeast"/>
    </w:pPr>
    <w:rPr>
      <w:rFonts w:cs="Times New Roman"/>
      <w:color w:val="auto"/>
    </w:rPr>
  </w:style>
  <w:style w:type="paragraph" w:customStyle="1" w:styleId="CM33">
    <w:name w:val="CM33"/>
    <w:basedOn w:val="Default"/>
    <w:next w:val="Default"/>
    <w:uiPriority w:val="99"/>
    <w:pPr>
      <w:spacing w:line="296" w:lineRule="atLeast"/>
    </w:pPr>
    <w:rPr>
      <w:rFonts w:cs="Times New Roman"/>
      <w:color w:val="auto"/>
    </w:rPr>
  </w:style>
  <w:style w:type="paragraph" w:customStyle="1" w:styleId="CM34">
    <w:name w:val="CM34"/>
    <w:basedOn w:val="Default"/>
    <w:next w:val="Default"/>
    <w:uiPriority w:val="99"/>
    <w:pPr>
      <w:spacing w:line="300" w:lineRule="atLeast"/>
    </w:pPr>
    <w:rPr>
      <w:rFonts w:cs="Times New Roman"/>
      <w:color w:val="auto"/>
    </w:rPr>
  </w:style>
  <w:style w:type="paragraph" w:customStyle="1" w:styleId="CM35">
    <w:name w:val="CM35"/>
    <w:basedOn w:val="Default"/>
    <w:next w:val="Default"/>
    <w:uiPriority w:val="99"/>
    <w:pPr>
      <w:spacing w:line="291" w:lineRule="atLeast"/>
    </w:pPr>
    <w:rPr>
      <w:rFonts w:cs="Times New Roman"/>
      <w:color w:val="auto"/>
    </w:rPr>
  </w:style>
  <w:style w:type="paragraph" w:customStyle="1" w:styleId="CM179">
    <w:name w:val="CM179"/>
    <w:basedOn w:val="Default"/>
    <w:next w:val="Default"/>
    <w:uiPriority w:val="99"/>
    <w:rPr>
      <w:rFonts w:cs="Times New Roman"/>
      <w:color w:val="auto"/>
    </w:rPr>
  </w:style>
  <w:style w:type="paragraph" w:customStyle="1" w:styleId="CM36">
    <w:name w:val="CM36"/>
    <w:basedOn w:val="Default"/>
    <w:next w:val="Default"/>
    <w:uiPriority w:val="99"/>
    <w:pPr>
      <w:spacing w:line="251" w:lineRule="atLeast"/>
    </w:pPr>
    <w:rPr>
      <w:rFonts w:cs="Times New Roman"/>
      <w:color w:val="auto"/>
    </w:rPr>
  </w:style>
  <w:style w:type="paragraph" w:customStyle="1" w:styleId="CM37">
    <w:name w:val="CM37"/>
    <w:basedOn w:val="Default"/>
    <w:next w:val="Default"/>
    <w:uiPriority w:val="99"/>
    <w:pPr>
      <w:spacing w:line="268" w:lineRule="atLeast"/>
    </w:pPr>
    <w:rPr>
      <w:rFonts w:cs="Times New Roman"/>
      <w:color w:val="auto"/>
    </w:rPr>
  </w:style>
  <w:style w:type="paragraph" w:customStyle="1" w:styleId="CM38">
    <w:name w:val="CM38"/>
    <w:basedOn w:val="Default"/>
    <w:next w:val="Default"/>
    <w:uiPriority w:val="99"/>
    <w:pPr>
      <w:spacing w:line="268" w:lineRule="atLeast"/>
    </w:pPr>
    <w:rPr>
      <w:rFonts w:cs="Times New Roman"/>
      <w:color w:val="auto"/>
    </w:rPr>
  </w:style>
  <w:style w:type="paragraph" w:customStyle="1" w:styleId="CM185">
    <w:name w:val="CM185"/>
    <w:basedOn w:val="Default"/>
    <w:next w:val="Default"/>
    <w:uiPriority w:val="99"/>
    <w:rPr>
      <w:rFonts w:cs="Times New Roman"/>
      <w:color w:val="auto"/>
    </w:rPr>
  </w:style>
  <w:style w:type="paragraph" w:customStyle="1" w:styleId="CM180">
    <w:name w:val="CM180"/>
    <w:basedOn w:val="Default"/>
    <w:next w:val="Default"/>
    <w:uiPriority w:val="99"/>
    <w:rPr>
      <w:rFonts w:cs="Times New Roman"/>
      <w:color w:val="auto"/>
    </w:rPr>
  </w:style>
  <w:style w:type="paragraph" w:customStyle="1" w:styleId="CM39">
    <w:name w:val="CM39"/>
    <w:basedOn w:val="Default"/>
    <w:next w:val="Default"/>
    <w:uiPriority w:val="99"/>
    <w:pPr>
      <w:spacing w:line="298" w:lineRule="atLeast"/>
    </w:pPr>
    <w:rPr>
      <w:rFonts w:cs="Times New Roman"/>
      <w:color w:val="auto"/>
    </w:rPr>
  </w:style>
  <w:style w:type="paragraph" w:customStyle="1" w:styleId="CM40">
    <w:name w:val="CM40"/>
    <w:basedOn w:val="Default"/>
    <w:next w:val="Default"/>
    <w:uiPriority w:val="99"/>
    <w:pPr>
      <w:spacing w:line="291" w:lineRule="atLeast"/>
    </w:pPr>
    <w:rPr>
      <w:rFonts w:cs="Times New Roman"/>
      <w:color w:val="auto"/>
    </w:rPr>
  </w:style>
  <w:style w:type="paragraph" w:customStyle="1" w:styleId="CM41">
    <w:name w:val="CM41"/>
    <w:basedOn w:val="Default"/>
    <w:next w:val="Default"/>
    <w:uiPriority w:val="99"/>
    <w:pPr>
      <w:spacing w:line="438" w:lineRule="atLeast"/>
    </w:pPr>
    <w:rPr>
      <w:rFonts w:cs="Times New Roman"/>
      <w:color w:val="auto"/>
    </w:rPr>
  </w:style>
  <w:style w:type="paragraph" w:customStyle="1" w:styleId="CM181">
    <w:name w:val="CM181"/>
    <w:basedOn w:val="Default"/>
    <w:next w:val="Default"/>
    <w:uiPriority w:val="99"/>
    <w:rPr>
      <w:rFonts w:cs="Times New Roman"/>
      <w:color w:val="auto"/>
    </w:rPr>
  </w:style>
  <w:style w:type="paragraph" w:customStyle="1" w:styleId="CM42">
    <w:name w:val="CM42"/>
    <w:basedOn w:val="Default"/>
    <w:next w:val="Default"/>
    <w:uiPriority w:val="99"/>
    <w:pPr>
      <w:spacing w:line="300" w:lineRule="atLeast"/>
    </w:pPr>
    <w:rPr>
      <w:rFonts w:cs="Times New Roman"/>
      <w:color w:val="auto"/>
    </w:rPr>
  </w:style>
  <w:style w:type="paragraph" w:customStyle="1" w:styleId="CM43">
    <w:name w:val="CM43"/>
    <w:basedOn w:val="Default"/>
    <w:next w:val="Default"/>
    <w:uiPriority w:val="99"/>
    <w:pPr>
      <w:spacing w:line="220" w:lineRule="atLeast"/>
    </w:pPr>
    <w:rPr>
      <w:rFonts w:cs="Times New Roman"/>
      <w:color w:val="auto"/>
    </w:rPr>
  </w:style>
  <w:style w:type="paragraph" w:customStyle="1" w:styleId="CM47">
    <w:name w:val="CM47"/>
    <w:basedOn w:val="Default"/>
    <w:next w:val="Default"/>
    <w:uiPriority w:val="99"/>
    <w:pPr>
      <w:spacing w:line="300" w:lineRule="atLeast"/>
    </w:pPr>
    <w:rPr>
      <w:rFonts w:cs="Times New Roman"/>
      <w:color w:val="auto"/>
    </w:rPr>
  </w:style>
  <w:style w:type="paragraph" w:customStyle="1" w:styleId="CM32">
    <w:name w:val="CM32"/>
    <w:basedOn w:val="Default"/>
    <w:next w:val="Default"/>
    <w:uiPriority w:val="99"/>
    <w:pPr>
      <w:spacing w:line="291" w:lineRule="atLeast"/>
    </w:pPr>
    <w:rPr>
      <w:rFonts w:cs="Times New Roman"/>
      <w:color w:val="auto"/>
    </w:rPr>
  </w:style>
  <w:style w:type="paragraph" w:customStyle="1" w:styleId="CM183">
    <w:name w:val="CM183"/>
    <w:basedOn w:val="Default"/>
    <w:next w:val="Default"/>
    <w:uiPriority w:val="99"/>
    <w:rPr>
      <w:rFonts w:cs="Times New Roman"/>
      <w:color w:val="auto"/>
    </w:rPr>
  </w:style>
  <w:style w:type="paragraph" w:customStyle="1" w:styleId="CM48">
    <w:name w:val="CM48"/>
    <w:basedOn w:val="Default"/>
    <w:next w:val="Default"/>
    <w:uiPriority w:val="99"/>
    <w:pPr>
      <w:spacing w:line="303" w:lineRule="atLeast"/>
    </w:pPr>
    <w:rPr>
      <w:rFonts w:cs="Times New Roman"/>
      <w:color w:val="auto"/>
    </w:rPr>
  </w:style>
  <w:style w:type="paragraph" w:customStyle="1" w:styleId="CM174">
    <w:name w:val="CM174"/>
    <w:basedOn w:val="Default"/>
    <w:next w:val="Default"/>
    <w:uiPriority w:val="99"/>
    <w:rPr>
      <w:rFonts w:cs="Times New Roman"/>
      <w:color w:val="auto"/>
    </w:rPr>
  </w:style>
  <w:style w:type="paragraph" w:customStyle="1" w:styleId="CM49">
    <w:name w:val="CM49"/>
    <w:basedOn w:val="Default"/>
    <w:next w:val="Default"/>
    <w:uiPriority w:val="99"/>
    <w:rPr>
      <w:rFonts w:cs="Times New Roman"/>
      <w:color w:val="auto"/>
    </w:rPr>
  </w:style>
  <w:style w:type="paragraph" w:customStyle="1" w:styleId="CM50">
    <w:name w:val="CM50"/>
    <w:basedOn w:val="Default"/>
    <w:next w:val="Default"/>
    <w:uiPriority w:val="99"/>
    <w:rPr>
      <w:rFonts w:cs="Times New Roman"/>
      <w:color w:val="auto"/>
    </w:rPr>
  </w:style>
  <w:style w:type="paragraph" w:customStyle="1" w:styleId="CM51">
    <w:name w:val="CM51"/>
    <w:basedOn w:val="Default"/>
    <w:next w:val="Default"/>
    <w:uiPriority w:val="99"/>
    <w:pPr>
      <w:spacing w:line="300" w:lineRule="atLeast"/>
    </w:pPr>
    <w:rPr>
      <w:rFonts w:cs="Times New Roman"/>
      <w:color w:val="auto"/>
    </w:rPr>
  </w:style>
  <w:style w:type="paragraph" w:customStyle="1" w:styleId="CM52">
    <w:name w:val="CM52"/>
    <w:basedOn w:val="Default"/>
    <w:next w:val="Default"/>
    <w:uiPriority w:val="99"/>
    <w:pPr>
      <w:spacing w:line="300" w:lineRule="atLeast"/>
    </w:pPr>
    <w:rPr>
      <w:rFonts w:cs="Times New Roman"/>
      <w:color w:val="auto"/>
    </w:rPr>
  </w:style>
  <w:style w:type="paragraph" w:customStyle="1" w:styleId="CM53">
    <w:name w:val="CM53"/>
    <w:basedOn w:val="Default"/>
    <w:next w:val="Default"/>
    <w:uiPriority w:val="99"/>
    <w:pPr>
      <w:spacing w:line="291" w:lineRule="atLeast"/>
    </w:pPr>
    <w:rPr>
      <w:rFonts w:cs="Times New Roman"/>
      <w:color w:val="auto"/>
    </w:rPr>
  </w:style>
  <w:style w:type="paragraph" w:customStyle="1" w:styleId="CM54">
    <w:name w:val="CM54"/>
    <w:basedOn w:val="Default"/>
    <w:next w:val="Default"/>
    <w:uiPriority w:val="99"/>
    <w:pPr>
      <w:spacing w:line="296" w:lineRule="atLeast"/>
    </w:pPr>
    <w:rPr>
      <w:rFonts w:cs="Times New Roman"/>
      <w:color w:val="auto"/>
    </w:rPr>
  </w:style>
  <w:style w:type="paragraph" w:customStyle="1" w:styleId="CM55">
    <w:name w:val="CM55"/>
    <w:basedOn w:val="Default"/>
    <w:next w:val="Default"/>
    <w:uiPriority w:val="99"/>
    <w:pPr>
      <w:spacing w:line="291" w:lineRule="atLeast"/>
    </w:pPr>
    <w:rPr>
      <w:rFonts w:cs="Times New Roman"/>
      <w:color w:val="auto"/>
    </w:rPr>
  </w:style>
  <w:style w:type="paragraph" w:customStyle="1" w:styleId="CM56">
    <w:name w:val="CM56"/>
    <w:basedOn w:val="Default"/>
    <w:next w:val="Default"/>
    <w:uiPriority w:val="99"/>
    <w:pPr>
      <w:spacing w:line="286" w:lineRule="atLeast"/>
    </w:pPr>
    <w:rPr>
      <w:rFonts w:cs="Times New Roman"/>
      <w:color w:val="auto"/>
    </w:rPr>
  </w:style>
  <w:style w:type="paragraph" w:customStyle="1" w:styleId="CM184">
    <w:name w:val="CM184"/>
    <w:basedOn w:val="Default"/>
    <w:next w:val="Default"/>
    <w:uiPriority w:val="99"/>
    <w:rPr>
      <w:rFonts w:cs="Times New Roman"/>
      <w:color w:val="auto"/>
    </w:rPr>
  </w:style>
  <w:style w:type="paragraph" w:customStyle="1" w:styleId="CM58">
    <w:name w:val="CM58"/>
    <w:basedOn w:val="Default"/>
    <w:next w:val="Default"/>
    <w:uiPriority w:val="99"/>
    <w:pPr>
      <w:spacing w:line="286" w:lineRule="atLeast"/>
    </w:pPr>
    <w:rPr>
      <w:rFonts w:cs="Times New Roman"/>
      <w:color w:val="auto"/>
    </w:rPr>
  </w:style>
  <w:style w:type="paragraph" w:customStyle="1" w:styleId="CM45">
    <w:name w:val="CM45"/>
    <w:basedOn w:val="Default"/>
    <w:next w:val="Default"/>
    <w:uiPriority w:val="99"/>
    <w:pPr>
      <w:spacing w:line="346" w:lineRule="atLeast"/>
    </w:pPr>
    <w:rPr>
      <w:rFonts w:cs="Times New Roman"/>
      <w:color w:val="auto"/>
    </w:rPr>
  </w:style>
  <w:style w:type="paragraph" w:customStyle="1" w:styleId="CM186">
    <w:name w:val="CM186"/>
    <w:basedOn w:val="Default"/>
    <w:next w:val="Default"/>
    <w:uiPriority w:val="99"/>
    <w:rPr>
      <w:rFonts w:cs="Times New Roman"/>
      <w:color w:val="auto"/>
    </w:rPr>
  </w:style>
  <w:style w:type="paragraph" w:customStyle="1" w:styleId="CM187">
    <w:name w:val="CM187"/>
    <w:basedOn w:val="Default"/>
    <w:next w:val="Default"/>
    <w:uiPriority w:val="99"/>
    <w:rPr>
      <w:rFonts w:cs="Times New Roman"/>
      <w:color w:val="auto"/>
    </w:rPr>
  </w:style>
  <w:style w:type="paragraph" w:customStyle="1" w:styleId="CM57">
    <w:name w:val="CM57"/>
    <w:basedOn w:val="Default"/>
    <w:next w:val="Default"/>
    <w:uiPriority w:val="99"/>
    <w:pPr>
      <w:spacing w:line="251" w:lineRule="atLeast"/>
    </w:pPr>
    <w:rPr>
      <w:rFonts w:cs="Times New Roman"/>
      <w:color w:val="auto"/>
    </w:rPr>
  </w:style>
  <w:style w:type="paragraph" w:customStyle="1" w:styleId="CM188">
    <w:name w:val="CM188"/>
    <w:basedOn w:val="Default"/>
    <w:next w:val="Default"/>
    <w:uiPriority w:val="99"/>
    <w:rPr>
      <w:rFonts w:cs="Times New Roman"/>
      <w:color w:val="auto"/>
    </w:rPr>
  </w:style>
  <w:style w:type="paragraph" w:customStyle="1" w:styleId="CM189">
    <w:name w:val="CM189"/>
    <w:basedOn w:val="Default"/>
    <w:next w:val="Default"/>
    <w:uiPriority w:val="99"/>
    <w:rPr>
      <w:rFonts w:cs="Times New Roman"/>
      <w:color w:val="auto"/>
    </w:rPr>
  </w:style>
  <w:style w:type="paragraph" w:customStyle="1" w:styleId="CM190">
    <w:name w:val="CM190"/>
    <w:basedOn w:val="Default"/>
    <w:next w:val="Default"/>
    <w:uiPriority w:val="99"/>
    <w:rPr>
      <w:rFonts w:cs="Times New Roman"/>
      <w:color w:val="auto"/>
    </w:rPr>
  </w:style>
  <w:style w:type="paragraph" w:customStyle="1" w:styleId="CM62">
    <w:name w:val="CM62"/>
    <w:basedOn w:val="Default"/>
    <w:next w:val="Default"/>
    <w:uiPriority w:val="99"/>
    <w:pPr>
      <w:spacing w:line="356" w:lineRule="atLeast"/>
    </w:pPr>
    <w:rPr>
      <w:rFonts w:cs="Times New Roman"/>
      <w:color w:val="auto"/>
    </w:rPr>
  </w:style>
  <w:style w:type="paragraph" w:customStyle="1" w:styleId="CM63">
    <w:name w:val="CM63"/>
    <w:basedOn w:val="Default"/>
    <w:next w:val="Default"/>
    <w:uiPriority w:val="99"/>
    <w:pPr>
      <w:spacing w:line="300" w:lineRule="atLeast"/>
    </w:pPr>
    <w:rPr>
      <w:rFonts w:cs="Times New Roman"/>
      <w:color w:val="auto"/>
    </w:rPr>
  </w:style>
  <w:style w:type="paragraph" w:customStyle="1" w:styleId="CM192">
    <w:name w:val="CM192"/>
    <w:basedOn w:val="Default"/>
    <w:next w:val="Default"/>
    <w:uiPriority w:val="99"/>
    <w:rPr>
      <w:rFonts w:cs="Times New Roman"/>
      <w:color w:val="auto"/>
    </w:rPr>
  </w:style>
  <w:style w:type="paragraph" w:customStyle="1" w:styleId="CM193">
    <w:name w:val="CM193"/>
    <w:basedOn w:val="Default"/>
    <w:next w:val="Default"/>
    <w:uiPriority w:val="99"/>
    <w:rPr>
      <w:rFonts w:cs="Times New Roman"/>
      <w:color w:val="auto"/>
    </w:rPr>
  </w:style>
  <w:style w:type="paragraph" w:customStyle="1" w:styleId="CM64">
    <w:name w:val="CM64"/>
    <w:basedOn w:val="Default"/>
    <w:next w:val="Default"/>
    <w:uiPriority w:val="99"/>
    <w:rPr>
      <w:rFonts w:cs="Times New Roman"/>
      <w:color w:val="auto"/>
    </w:rPr>
  </w:style>
  <w:style w:type="paragraph" w:customStyle="1" w:styleId="CM194">
    <w:name w:val="CM194"/>
    <w:basedOn w:val="Default"/>
    <w:next w:val="Default"/>
    <w:uiPriority w:val="99"/>
    <w:rPr>
      <w:rFonts w:cs="Times New Roman"/>
      <w:color w:val="auto"/>
    </w:rPr>
  </w:style>
  <w:style w:type="paragraph" w:customStyle="1" w:styleId="CM195">
    <w:name w:val="CM195"/>
    <w:basedOn w:val="Default"/>
    <w:next w:val="Default"/>
    <w:uiPriority w:val="99"/>
    <w:rPr>
      <w:rFonts w:cs="Times New Roman"/>
      <w:color w:val="auto"/>
    </w:rPr>
  </w:style>
  <w:style w:type="paragraph" w:customStyle="1" w:styleId="CM65">
    <w:name w:val="CM65"/>
    <w:basedOn w:val="Default"/>
    <w:next w:val="Default"/>
    <w:uiPriority w:val="99"/>
    <w:pPr>
      <w:spacing w:line="286" w:lineRule="atLeast"/>
    </w:pPr>
    <w:rPr>
      <w:rFonts w:cs="Times New Roman"/>
      <w:color w:val="auto"/>
    </w:rPr>
  </w:style>
  <w:style w:type="paragraph" w:customStyle="1" w:styleId="CM59">
    <w:name w:val="CM59"/>
    <w:basedOn w:val="Default"/>
    <w:next w:val="Default"/>
    <w:uiPriority w:val="99"/>
    <w:pPr>
      <w:spacing w:line="320" w:lineRule="atLeast"/>
    </w:pPr>
    <w:rPr>
      <w:rFonts w:cs="Times New Roman"/>
      <w:color w:val="auto"/>
    </w:rPr>
  </w:style>
  <w:style w:type="paragraph" w:customStyle="1" w:styleId="CM68">
    <w:name w:val="CM68"/>
    <w:basedOn w:val="Default"/>
    <w:next w:val="Default"/>
    <w:uiPriority w:val="99"/>
    <w:rPr>
      <w:rFonts w:cs="Times New Roman"/>
      <w:color w:val="auto"/>
    </w:rPr>
  </w:style>
  <w:style w:type="paragraph" w:customStyle="1" w:styleId="CM69">
    <w:name w:val="CM69"/>
    <w:basedOn w:val="Default"/>
    <w:next w:val="Default"/>
    <w:uiPriority w:val="99"/>
    <w:pPr>
      <w:spacing w:line="353" w:lineRule="atLeast"/>
    </w:pPr>
    <w:rPr>
      <w:rFonts w:cs="Times New Roman"/>
      <w:color w:val="auto"/>
    </w:rPr>
  </w:style>
  <w:style w:type="paragraph" w:customStyle="1" w:styleId="CM196">
    <w:name w:val="CM196"/>
    <w:basedOn w:val="Default"/>
    <w:next w:val="Default"/>
    <w:uiPriority w:val="99"/>
    <w:rPr>
      <w:rFonts w:cs="Times New Roman"/>
      <w:color w:val="auto"/>
    </w:rPr>
  </w:style>
  <w:style w:type="paragraph" w:customStyle="1" w:styleId="CM70">
    <w:name w:val="CM70"/>
    <w:basedOn w:val="Default"/>
    <w:next w:val="Default"/>
    <w:uiPriority w:val="99"/>
    <w:pPr>
      <w:spacing w:line="271" w:lineRule="atLeast"/>
    </w:pPr>
    <w:rPr>
      <w:rFonts w:cs="Times New Roman"/>
      <w:color w:val="auto"/>
    </w:rPr>
  </w:style>
  <w:style w:type="paragraph" w:customStyle="1" w:styleId="CM71">
    <w:name w:val="CM71"/>
    <w:basedOn w:val="Default"/>
    <w:next w:val="Default"/>
    <w:uiPriority w:val="99"/>
    <w:pPr>
      <w:spacing w:line="268" w:lineRule="atLeast"/>
    </w:pPr>
    <w:rPr>
      <w:rFonts w:cs="Times New Roman"/>
      <w:color w:val="auto"/>
    </w:rPr>
  </w:style>
  <w:style w:type="paragraph" w:customStyle="1" w:styleId="CM72">
    <w:name w:val="CM72"/>
    <w:basedOn w:val="Default"/>
    <w:next w:val="Default"/>
    <w:uiPriority w:val="99"/>
    <w:pPr>
      <w:spacing w:line="260" w:lineRule="atLeast"/>
    </w:pPr>
    <w:rPr>
      <w:rFonts w:cs="Times New Roman"/>
      <w:color w:val="auto"/>
    </w:rPr>
  </w:style>
  <w:style w:type="paragraph" w:customStyle="1" w:styleId="CM73">
    <w:name w:val="CM73"/>
    <w:basedOn w:val="Default"/>
    <w:next w:val="Default"/>
    <w:uiPriority w:val="99"/>
    <w:pPr>
      <w:spacing w:line="278" w:lineRule="atLeast"/>
    </w:pPr>
    <w:rPr>
      <w:rFonts w:cs="Times New Roman"/>
      <w:color w:val="auto"/>
    </w:rPr>
  </w:style>
  <w:style w:type="paragraph" w:customStyle="1" w:styleId="CM66">
    <w:name w:val="CM66"/>
    <w:basedOn w:val="Default"/>
    <w:next w:val="Default"/>
    <w:uiPriority w:val="99"/>
    <w:pPr>
      <w:spacing w:line="271" w:lineRule="atLeast"/>
    </w:pPr>
    <w:rPr>
      <w:rFonts w:cs="Times New Roman"/>
      <w:color w:val="auto"/>
    </w:rPr>
  </w:style>
  <w:style w:type="paragraph" w:customStyle="1" w:styleId="CM74">
    <w:name w:val="CM74"/>
    <w:basedOn w:val="Default"/>
    <w:next w:val="Default"/>
    <w:uiPriority w:val="99"/>
    <w:rPr>
      <w:rFonts w:cs="Times New Roman"/>
      <w:color w:val="auto"/>
    </w:rPr>
  </w:style>
  <w:style w:type="paragraph" w:customStyle="1" w:styleId="CM75">
    <w:name w:val="CM75"/>
    <w:basedOn w:val="Default"/>
    <w:next w:val="Default"/>
    <w:uiPriority w:val="99"/>
    <w:pPr>
      <w:spacing w:line="243" w:lineRule="atLeast"/>
    </w:pPr>
    <w:rPr>
      <w:rFonts w:cs="Times New Roman"/>
      <w:color w:val="auto"/>
    </w:rPr>
  </w:style>
  <w:style w:type="paragraph" w:customStyle="1" w:styleId="CM76">
    <w:name w:val="CM76"/>
    <w:basedOn w:val="Default"/>
    <w:next w:val="Default"/>
    <w:uiPriority w:val="99"/>
    <w:pPr>
      <w:spacing w:line="273" w:lineRule="atLeast"/>
    </w:pPr>
    <w:rPr>
      <w:rFonts w:cs="Times New Roman"/>
      <w:color w:val="auto"/>
    </w:rPr>
  </w:style>
  <w:style w:type="paragraph" w:customStyle="1" w:styleId="CM77">
    <w:name w:val="CM77"/>
    <w:basedOn w:val="Default"/>
    <w:next w:val="Default"/>
    <w:uiPriority w:val="99"/>
    <w:pPr>
      <w:spacing w:line="271" w:lineRule="atLeast"/>
    </w:pPr>
    <w:rPr>
      <w:rFonts w:cs="Times New Roman"/>
      <w:color w:val="auto"/>
    </w:rPr>
  </w:style>
  <w:style w:type="paragraph" w:customStyle="1" w:styleId="CM78">
    <w:name w:val="CM78"/>
    <w:basedOn w:val="Default"/>
    <w:next w:val="Default"/>
    <w:uiPriority w:val="99"/>
    <w:pPr>
      <w:spacing w:line="271" w:lineRule="atLeast"/>
    </w:pPr>
    <w:rPr>
      <w:rFonts w:cs="Times New Roman"/>
      <w:color w:val="auto"/>
    </w:rPr>
  </w:style>
  <w:style w:type="paragraph" w:customStyle="1" w:styleId="CM205">
    <w:name w:val="CM205"/>
    <w:basedOn w:val="Default"/>
    <w:next w:val="Default"/>
    <w:uiPriority w:val="99"/>
    <w:rPr>
      <w:rFonts w:cs="Times New Roman"/>
      <w:color w:val="auto"/>
    </w:rPr>
  </w:style>
  <w:style w:type="paragraph" w:customStyle="1" w:styleId="CM79">
    <w:name w:val="CM79"/>
    <w:basedOn w:val="Default"/>
    <w:next w:val="Default"/>
    <w:uiPriority w:val="99"/>
    <w:pPr>
      <w:spacing w:line="280" w:lineRule="atLeast"/>
    </w:pPr>
    <w:rPr>
      <w:rFonts w:cs="Times New Roman"/>
      <w:color w:val="auto"/>
    </w:rPr>
  </w:style>
  <w:style w:type="paragraph" w:customStyle="1" w:styleId="CM80">
    <w:name w:val="CM80"/>
    <w:basedOn w:val="Default"/>
    <w:next w:val="Default"/>
    <w:uiPriority w:val="99"/>
    <w:pPr>
      <w:spacing w:line="276" w:lineRule="atLeast"/>
    </w:pPr>
    <w:rPr>
      <w:rFonts w:cs="Times New Roman"/>
      <w:color w:val="auto"/>
    </w:rPr>
  </w:style>
  <w:style w:type="paragraph" w:customStyle="1" w:styleId="CM81">
    <w:name w:val="CM81"/>
    <w:basedOn w:val="Default"/>
    <w:next w:val="Default"/>
    <w:uiPriority w:val="99"/>
    <w:pPr>
      <w:spacing w:line="171" w:lineRule="atLeast"/>
    </w:pPr>
    <w:rPr>
      <w:rFonts w:cs="Times New Roman"/>
      <w:color w:val="auto"/>
    </w:rPr>
  </w:style>
  <w:style w:type="paragraph" w:customStyle="1" w:styleId="CM82">
    <w:name w:val="CM82"/>
    <w:basedOn w:val="Default"/>
    <w:next w:val="Default"/>
    <w:uiPriority w:val="99"/>
    <w:rPr>
      <w:rFonts w:cs="Times New Roman"/>
      <w:color w:val="auto"/>
    </w:rPr>
  </w:style>
  <w:style w:type="paragraph" w:customStyle="1" w:styleId="CM83">
    <w:name w:val="CM83"/>
    <w:basedOn w:val="Default"/>
    <w:next w:val="Default"/>
    <w:uiPriority w:val="99"/>
    <w:pPr>
      <w:spacing w:line="291" w:lineRule="atLeast"/>
    </w:pPr>
    <w:rPr>
      <w:rFonts w:cs="Times New Roman"/>
      <w:color w:val="auto"/>
    </w:rPr>
  </w:style>
  <w:style w:type="paragraph" w:customStyle="1" w:styleId="CM197">
    <w:name w:val="CM197"/>
    <w:basedOn w:val="Default"/>
    <w:next w:val="Default"/>
    <w:uiPriority w:val="99"/>
    <w:rPr>
      <w:rFonts w:cs="Times New Roman"/>
      <w:color w:val="auto"/>
    </w:rPr>
  </w:style>
  <w:style w:type="paragraph" w:customStyle="1" w:styleId="CM84">
    <w:name w:val="CM84"/>
    <w:basedOn w:val="Default"/>
    <w:next w:val="Default"/>
    <w:uiPriority w:val="99"/>
    <w:pPr>
      <w:spacing w:line="300" w:lineRule="atLeast"/>
    </w:pPr>
    <w:rPr>
      <w:rFonts w:cs="Times New Roman"/>
      <w:color w:val="auto"/>
    </w:rPr>
  </w:style>
  <w:style w:type="paragraph" w:customStyle="1" w:styleId="CM198">
    <w:name w:val="CM198"/>
    <w:basedOn w:val="Default"/>
    <w:next w:val="Default"/>
    <w:uiPriority w:val="99"/>
    <w:rPr>
      <w:rFonts w:cs="Times New Roman"/>
      <w:color w:val="auto"/>
    </w:rPr>
  </w:style>
  <w:style w:type="paragraph" w:customStyle="1" w:styleId="CM86">
    <w:name w:val="CM86"/>
    <w:basedOn w:val="Default"/>
    <w:next w:val="Default"/>
    <w:uiPriority w:val="99"/>
    <w:pPr>
      <w:spacing w:line="300" w:lineRule="atLeast"/>
    </w:pPr>
    <w:rPr>
      <w:rFonts w:cs="Times New Roman"/>
      <w:color w:val="auto"/>
    </w:rPr>
  </w:style>
  <w:style w:type="paragraph" w:customStyle="1" w:styleId="CM87">
    <w:name w:val="CM87"/>
    <w:basedOn w:val="Default"/>
    <w:next w:val="Default"/>
    <w:uiPriority w:val="99"/>
    <w:pPr>
      <w:spacing w:line="296" w:lineRule="atLeast"/>
    </w:pPr>
    <w:rPr>
      <w:rFonts w:cs="Times New Roman"/>
      <w:color w:val="auto"/>
    </w:rPr>
  </w:style>
  <w:style w:type="paragraph" w:customStyle="1" w:styleId="CM88">
    <w:name w:val="CM88"/>
    <w:basedOn w:val="Default"/>
    <w:next w:val="Default"/>
    <w:uiPriority w:val="99"/>
    <w:pPr>
      <w:spacing w:line="280" w:lineRule="atLeast"/>
    </w:pPr>
    <w:rPr>
      <w:rFonts w:cs="Times New Roman"/>
      <w:color w:val="auto"/>
    </w:rPr>
  </w:style>
  <w:style w:type="paragraph" w:customStyle="1" w:styleId="CM89">
    <w:name w:val="CM89"/>
    <w:basedOn w:val="Default"/>
    <w:next w:val="Default"/>
    <w:uiPriority w:val="99"/>
    <w:pPr>
      <w:spacing w:line="300" w:lineRule="atLeast"/>
    </w:pPr>
    <w:rPr>
      <w:rFonts w:cs="Times New Roman"/>
      <w:color w:val="auto"/>
    </w:rPr>
  </w:style>
  <w:style w:type="paragraph" w:customStyle="1" w:styleId="CM92">
    <w:name w:val="CM92"/>
    <w:basedOn w:val="Default"/>
    <w:next w:val="Default"/>
    <w:uiPriority w:val="99"/>
    <w:rPr>
      <w:rFonts w:cs="Times New Roman"/>
      <w:color w:val="auto"/>
    </w:rPr>
  </w:style>
  <w:style w:type="paragraph" w:customStyle="1" w:styleId="CM44">
    <w:name w:val="CM44"/>
    <w:basedOn w:val="Default"/>
    <w:next w:val="Default"/>
    <w:uiPriority w:val="99"/>
    <w:pPr>
      <w:spacing w:line="293" w:lineRule="atLeast"/>
    </w:pPr>
    <w:rPr>
      <w:rFonts w:cs="Times New Roman"/>
      <w:color w:val="auto"/>
    </w:rPr>
  </w:style>
  <w:style w:type="paragraph" w:customStyle="1" w:styleId="CM199">
    <w:name w:val="CM199"/>
    <w:basedOn w:val="Default"/>
    <w:next w:val="Default"/>
    <w:uiPriority w:val="99"/>
    <w:rPr>
      <w:rFonts w:cs="Times New Roman"/>
      <w:color w:val="auto"/>
    </w:rPr>
  </w:style>
  <w:style w:type="paragraph" w:customStyle="1" w:styleId="CM94">
    <w:name w:val="CM94"/>
    <w:basedOn w:val="Default"/>
    <w:next w:val="Default"/>
    <w:uiPriority w:val="99"/>
    <w:rPr>
      <w:rFonts w:cs="Times New Roman"/>
      <w:color w:val="auto"/>
    </w:rPr>
  </w:style>
  <w:style w:type="paragraph" w:customStyle="1" w:styleId="CM95">
    <w:name w:val="CM95"/>
    <w:basedOn w:val="Default"/>
    <w:next w:val="Default"/>
    <w:uiPriority w:val="99"/>
    <w:pPr>
      <w:spacing w:line="291" w:lineRule="atLeast"/>
    </w:pPr>
    <w:rPr>
      <w:rFonts w:cs="Times New Roman"/>
      <w:color w:val="auto"/>
    </w:rPr>
  </w:style>
  <w:style w:type="paragraph" w:customStyle="1" w:styleId="CM96">
    <w:name w:val="CM96"/>
    <w:basedOn w:val="Default"/>
    <w:next w:val="Default"/>
    <w:uiPriority w:val="99"/>
    <w:rPr>
      <w:rFonts w:cs="Times New Roman"/>
      <w:color w:val="auto"/>
    </w:rPr>
  </w:style>
  <w:style w:type="paragraph" w:customStyle="1" w:styleId="CM98">
    <w:name w:val="CM98"/>
    <w:basedOn w:val="Default"/>
    <w:next w:val="Default"/>
    <w:uiPriority w:val="99"/>
    <w:pPr>
      <w:spacing w:line="293" w:lineRule="atLeast"/>
    </w:pPr>
    <w:rPr>
      <w:rFonts w:cs="Times New Roman"/>
      <w:color w:val="auto"/>
    </w:rPr>
  </w:style>
  <w:style w:type="paragraph" w:customStyle="1" w:styleId="CM99">
    <w:name w:val="CM99"/>
    <w:basedOn w:val="Default"/>
    <w:next w:val="Default"/>
    <w:uiPriority w:val="99"/>
    <w:rPr>
      <w:rFonts w:cs="Times New Roman"/>
      <w:color w:val="auto"/>
    </w:rPr>
  </w:style>
  <w:style w:type="paragraph" w:customStyle="1" w:styleId="CM100">
    <w:name w:val="CM100"/>
    <w:basedOn w:val="Default"/>
    <w:next w:val="Default"/>
    <w:uiPriority w:val="99"/>
    <w:rPr>
      <w:rFonts w:cs="Times New Roman"/>
      <w:color w:val="auto"/>
    </w:rPr>
  </w:style>
  <w:style w:type="paragraph" w:customStyle="1" w:styleId="CM101">
    <w:name w:val="CM101"/>
    <w:basedOn w:val="Default"/>
    <w:next w:val="Default"/>
    <w:uiPriority w:val="99"/>
    <w:rPr>
      <w:rFonts w:cs="Times New Roman"/>
      <w:color w:val="auto"/>
    </w:rPr>
  </w:style>
  <w:style w:type="paragraph" w:customStyle="1" w:styleId="CM102">
    <w:name w:val="CM102"/>
    <w:basedOn w:val="Default"/>
    <w:next w:val="Default"/>
    <w:uiPriority w:val="99"/>
    <w:pPr>
      <w:spacing w:line="296" w:lineRule="atLeast"/>
    </w:pPr>
    <w:rPr>
      <w:rFonts w:cs="Times New Roman"/>
      <w:color w:val="auto"/>
    </w:rPr>
  </w:style>
  <w:style w:type="paragraph" w:customStyle="1" w:styleId="CM201">
    <w:name w:val="CM201"/>
    <w:basedOn w:val="Default"/>
    <w:next w:val="Default"/>
    <w:uiPriority w:val="99"/>
    <w:rPr>
      <w:rFonts w:cs="Times New Roman"/>
      <w:color w:val="auto"/>
    </w:rPr>
  </w:style>
  <w:style w:type="paragraph" w:customStyle="1" w:styleId="CM104">
    <w:name w:val="CM104"/>
    <w:basedOn w:val="Default"/>
    <w:next w:val="Default"/>
    <w:uiPriority w:val="99"/>
    <w:rPr>
      <w:rFonts w:cs="Times New Roman"/>
      <w:color w:val="auto"/>
    </w:rPr>
  </w:style>
  <w:style w:type="paragraph" w:customStyle="1" w:styleId="CM191">
    <w:name w:val="CM191"/>
    <w:basedOn w:val="Default"/>
    <w:next w:val="Default"/>
    <w:uiPriority w:val="99"/>
    <w:rPr>
      <w:rFonts w:cs="Times New Roman"/>
      <w:color w:val="auto"/>
    </w:rPr>
  </w:style>
  <w:style w:type="paragraph" w:customStyle="1" w:styleId="CM202">
    <w:name w:val="CM202"/>
    <w:basedOn w:val="Default"/>
    <w:next w:val="Default"/>
    <w:uiPriority w:val="99"/>
    <w:rPr>
      <w:rFonts w:cs="Times New Roman"/>
      <w:color w:val="auto"/>
    </w:rPr>
  </w:style>
  <w:style w:type="paragraph" w:customStyle="1" w:styleId="CM105">
    <w:name w:val="CM105"/>
    <w:basedOn w:val="Default"/>
    <w:next w:val="Default"/>
    <w:uiPriority w:val="99"/>
    <w:pPr>
      <w:spacing w:line="116" w:lineRule="atLeast"/>
    </w:pPr>
    <w:rPr>
      <w:rFonts w:cs="Times New Roman"/>
      <w:color w:val="auto"/>
    </w:rPr>
  </w:style>
  <w:style w:type="paragraph" w:customStyle="1" w:styleId="CM107">
    <w:name w:val="CM107"/>
    <w:basedOn w:val="Default"/>
    <w:next w:val="Default"/>
    <w:uiPriority w:val="99"/>
    <w:pPr>
      <w:spacing w:line="106" w:lineRule="atLeast"/>
    </w:pPr>
    <w:rPr>
      <w:rFonts w:cs="Times New Roman"/>
      <w:color w:val="auto"/>
    </w:rPr>
  </w:style>
  <w:style w:type="paragraph" w:customStyle="1" w:styleId="CM108">
    <w:name w:val="CM108"/>
    <w:basedOn w:val="Default"/>
    <w:next w:val="Default"/>
    <w:uiPriority w:val="99"/>
    <w:pPr>
      <w:spacing w:line="103" w:lineRule="atLeast"/>
    </w:pPr>
    <w:rPr>
      <w:rFonts w:cs="Times New Roman"/>
      <w:color w:val="auto"/>
    </w:rPr>
  </w:style>
  <w:style w:type="paragraph" w:customStyle="1" w:styleId="CM109">
    <w:name w:val="CM109"/>
    <w:basedOn w:val="Default"/>
    <w:next w:val="Default"/>
    <w:uiPriority w:val="99"/>
    <w:pPr>
      <w:spacing w:line="108" w:lineRule="atLeast"/>
    </w:pPr>
    <w:rPr>
      <w:rFonts w:cs="Times New Roman"/>
      <w:color w:val="auto"/>
    </w:rPr>
  </w:style>
  <w:style w:type="paragraph" w:customStyle="1" w:styleId="CM110">
    <w:name w:val="CM110"/>
    <w:basedOn w:val="Default"/>
    <w:next w:val="Default"/>
    <w:uiPriority w:val="99"/>
    <w:pPr>
      <w:spacing w:line="103" w:lineRule="atLeast"/>
    </w:pPr>
    <w:rPr>
      <w:rFonts w:cs="Times New Roman"/>
      <w:color w:val="auto"/>
    </w:rPr>
  </w:style>
  <w:style w:type="paragraph" w:customStyle="1" w:styleId="CM111">
    <w:name w:val="CM111"/>
    <w:basedOn w:val="Default"/>
    <w:next w:val="Default"/>
    <w:uiPriority w:val="99"/>
    <w:rPr>
      <w:rFonts w:cs="Times New Roman"/>
      <w:color w:val="auto"/>
    </w:rPr>
  </w:style>
  <w:style w:type="paragraph" w:customStyle="1" w:styleId="CM112">
    <w:name w:val="CM112"/>
    <w:basedOn w:val="Default"/>
    <w:next w:val="Default"/>
    <w:uiPriority w:val="99"/>
    <w:pPr>
      <w:spacing w:line="286" w:lineRule="atLeast"/>
    </w:pPr>
    <w:rPr>
      <w:rFonts w:cs="Times New Roman"/>
      <w:color w:val="auto"/>
    </w:rPr>
  </w:style>
  <w:style w:type="paragraph" w:customStyle="1" w:styleId="CM114">
    <w:name w:val="CM114"/>
    <w:basedOn w:val="Default"/>
    <w:next w:val="Default"/>
    <w:uiPriority w:val="99"/>
    <w:pPr>
      <w:spacing w:line="258" w:lineRule="atLeast"/>
    </w:pPr>
    <w:rPr>
      <w:rFonts w:cs="Times New Roman"/>
      <w:color w:val="auto"/>
    </w:rPr>
  </w:style>
  <w:style w:type="paragraph" w:customStyle="1" w:styleId="CM115">
    <w:name w:val="CM115"/>
    <w:basedOn w:val="Default"/>
    <w:next w:val="Default"/>
    <w:uiPriority w:val="99"/>
    <w:pPr>
      <w:spacing w:line="231" w:lineRule="atLeast"/>
    </w:pPr>
    <w:rPr>
      <w:rFonts w:cs="Times New Roman"/>
      <w:color w:val="auto"/>
    </w:rPr>
  </w:style>
  <w:style w:type="paragraph" w:customStyle="1" w:styleId="CM118">
    <w:name w:val="CM118"/>
    <w:basedOn w:val="Default"/>
    <w:next w:val="Default"/>
    <w:uiPriority w:val="99"/>
    <w:pPr>
      <w:spacing w:line="291" w:lineRule="atLeast"/>
    </w:pPr>
    <w:rPr>
      <w:rFonts w:cs="Times New Roman"/>
      <w:color w:val="auto"/>
    </w:rPr>
  </w:style>
  <w:style w:type="paragraph" w:customStyle="1" w:styleId="CM119">
    <w:name w:val="CM119"/>
    <w:basedOn w:val="Default"/>
    <w:next w:val="Default"/>
    <w:uiPriority w:val="99"/>
    <w:pPr>
      <w:spacing w:line="291" w:lineRule="atLeast"/>
    </w:pPr>
    <w:rPr>
      <w:rFonts w:cs="Times New Roman"/>
      <w:color w:val="auto"/>
    </w:rPr>
  </w:style>
  <w:style w:type="paragraph" w:customStyle="1" w:styleId="CM120">
    <w:name w:val="CM120"/>
    <w:basedOn w:val="Default"/>
    <w:next w:val="Default"/>
    <w:uiPriority w:val="99"/>
    <w:rPr>
      <w:rFonts w:cs="Times New Roman"/>
      <w:color w:val="auto"/>
    </w:rPr>
  </w:style>
  <w:style w:type="paragraph" w:customStyle="1" w:styleId="CM122">
    <w:name w:val="CM122"/>
    <w:basedOn w:val="Default"/>
    <w:next w:val="Default"/>
    <w:uiPriority w:val="99"/>
    <w:pPr>
      <w:spacing w:line="293" w:lineRule="atLeast"/>
    </w:pPr>
    <w:rPr>
      <w:rFonts w:cs="Times New Roman"/>
      <w:color w:val="auto"/>
    </w:rPr>
  </w:style>
  <w:style w:type="paragraph" w:customStyle="1" w:styleId="CM117">
    <w:name w:val="CM117"/>
    <w:basedOn w:val="Default"/>
    <w:next w:val="Default"/>
    <w:uiPriority w:val="99"/>
    <w:pPr>
      <w:spacing w:line="291" w:lineRule="atLeast"/>
    </w:pPr>
    <w:rPr>
      <w:rFonts w:cs="Times New Roman"/>
      <w:color w:val="auto"/>
    </w:rPr>
  </w:style>
  <w:style w:type="paragraph" w:customStyle="1" w:styleId="CM123">
    <w:name w:val="CM123"/>
    <w:basedOn w:val="Default"/>
    <w:next w:val="Default"/>
    <w:uiPriority w:val="99"/>
    <w:pPr>
      <w:spacing w:line="286" w:lineRule="atLeast"/>
    </w:pPr>
    <w:rPr>
      <w:rFonts w:cs="Times New Roman"/>
      <w:color w:val="auto"/>
    </w:rPr>
  </w:style>
  <w:style w:type="paragraph" w:customStyle="1" w:styleId="CM124">
    <w:name w:val="CM124"/>
    <w:basedOn w:val="Default"/>
    <w:next w:val="Default"/>
    <w:uiPriority w:val="99"/>
    <w:pPr>
      <w:spacing w:line="336" w:lineRule="atLeast"/>
    </w:pPr>
    <w:rPr>
      <w:rFonts w:cs="Times New Roman"/>
      <w:color w:val="auto"/>
    </w:rPr>
  </w:style>
  <w:style w:type="paragraph" w:customStyle="1" w:styleId="CM125">
    <w:name w:val="CM125"/>
    <w:basedOn w:val="Default"/>
    <w:next w:val="Default"/>
    <w:uiPriority w:val="99"/>
    <w:pPr>
      <w:spacing w:line="211" w:lineRule="atLeast"/>
    </w:pPr>
    <w:rPr>
      <w:rFonts w:cs="Times New Roman"/>
      <w:color w:val="auto"/>
    </w:rPr>
  </w:style>
  <w:style w:type="paragraph" w:customStyle="1" w:styleId="CM203">
    <w:name w:val="CM203"/>
    <w:basedOn w:val="Default"/>
    <w:next w:val="Default"/>
    <w:uiPriority w:val="99"/>
    <w:rPr>
      <w:rFonts w:cs="Times New Roman"/>
      <w:color w:val="auto"/>
    </w:rPr>
  </w:style>
  <w:style w:type="paragraph" w:customStyle="1" w:styleId="CM127">
    <w:name w:val="CM127"/>
    <w:basedOn w:val="Default"/>
    <w:next w:val="Default"/>
    <w:uiPriority w:val="99"/>
    <w:rPr>
      <w:rFonts w:cs="Times New Roman"/>
      <w:color w:val="auto"/>
    </w:rPr>
  </w:style>
  <w:style w:type="paragraph" w:customStyle="1" w:styleId="CM130">
    <w:name w:val="CM130"/>
    <w:basedOn w:val="Default"/>
    <w:next w:val="Default"/>
    <w:uiPriority w:val="99"/>
    <w:pPr>
      <w:spacing w:line="271" w:lineRule="atLeast"/>
    </w:pPr>
    <w:rPr>
      <w:rFonts w:cs="Times New Roman"/>
      <w:color w:val="auto"/>
    </w:rPr>
  </w:style>
  <w:style w:type="paragraph" w:customStyle="1" w:styleId="CM131">
    <w:name w:val="CM131"/>
    <w:basedOn w:val="Default"/>
    <w:next w:val="Default"/>
    <w:uiPriority w:val="99"/>
    <w:pPr>
      <w:spacing w:line="300" w:lineRule="atLeast"/>
    </w:pPr>
    <w:rPr>
      <w:rFonts w:cs="Times New Roman"/>
      <w:color w:val="auto"/>
    </w:rPr>
  </w:style>
  <w:style w:type="paragraph" w:customStyle="1" w:styleId="CM133">
    <w:name w:val="CM133"/>
    <w:basedOn w:val="Default"/>
    <w:next w:val="Default"/>
    <w:uiPriority w:val="99"/>
    <w:pPr>
      <w:spacing w:line="260" w:lineRule="atLeast"/>
    </w:pPr>
    <w:rPr>
      <w:rFonts w:cs="Times New Roman"/>
      <w:color w:val="auto"/>
    </w:rPr>
  </w:style>
  <w:style w:type="paragraph" w:customStyle="1" w:styleId="CM134">
    <w:name w:val="CM134"/>
    <w:basedOn w:val="Default"/>
    <w:next w:val="Default"/>
    <w:uiPriority w:val="99"/>
    <w:pPr>
      <w:spacing w:line="271" w:lineRule="atLeast"/>
    </w:pPr>
    <w:rPr>
      <w:rFonts w:cs="Times New Roman"/>
      <w:color w:val="auto"/>
    </w:rPr>
  </w:style>
  <w:style w:type="paragraph" w:customStyle="1" w:styleId="CM23">
    <w:name w:val="CM23"/>
    <w:basedOn w:val="Default"/>
    <w:next w:val="Default"/>
    <w:uiPriority w:val="99"/>
    <w:pPr>
      <w:spacing w:line="293" w:lineRule="atLeast"/>
    </w:pPr>
    <w:rPr>
      <w:rFonts w:cs="Times New Roman"/>
      <w:color w:val="auto"/>
    </w:rPr>
  </w:style>
  <w:style w:type="paragraph" w:customStyle="1" w:styleId="CM204">
    <w:name w:val="CM204"/>
    <w:basedOn w:val="Default"/>
    <w:next w:val="Default"/>
    <w:uiPriority w:val="99"/>
    <w:rPr>
      <w:rFonts w:cs="Times New Roman"/>
      <w:color w:val="auto"/>
    </w:rPr>
  </w:style>
  <w:style w:type="paragraph" w:customStyle="1" w:styleId="CM135">
    <w:name w:val="CM135"/>
    <w:basedOn w:val="Default"/>
    <w:next w:val="Default"/>
    <w:uiPriority w:val="99"/>
    <w:pPr>
      <w:spacing w:line="248" w:lineRule="atLeast"/>
    </w:pPr>
    <w:rPr>
      <w:rFonts w:cs="Times New Roman"/>
      <w:color w:val="auto"/>
    </w:rPr>
  </w:style>
  <w:style w:type="paragraph" w:customStyle="1" w:styleId="CM136">
    <w:name w:val="CM136"/>
    <w:basedOn w:val="Default"/>
    <w:next w:val="Default"/>
    <w:uiPriority w:val="99"/>
    <w:pPr>
      <w:spacing w:line="280" w:lineRule="atLeast"/>
    </w:pPr>
    <w:rPr>
      <w:rFonts w:cs="Times New Roman"/>
      <w:color w:val="auto"/>
    </w:rPr>
  </w:style>
  <w:style w:type="paragraph" w:customStyle="1" w:styleId="CM137">
    <w:name w:val="CM137"/>
    <w:basedOn w:val="Default"/>
    <w:next w:val="Default"/>
    <w:uiPriority w:val="99"/>
    <w:rPr>
      <w:rFonts w:cs="Times New Roman"/>
      <w:color w:val="auto"/>
    </w:rPr>
  </w:style>
  <w:style w:type="paragraph" w:customStyle="1" w:styleId="CM129">
    <w:name w:val="CM129"/>
    <w:basedOn w:val="Default"/>
    <w:next w:val="Default"/>
    <w:uiPriority w:val="99"/>
    <w:pPr>
      <w:spacing w:line="268" w:lineRule="atLeast"/>
    </w:pPr>
    <w:rPr>
      <w:rFonts w:cs="Times New Roman"/>
      <w:color w:val="auto"/>
    </w:rPr>
  </w:style>
  <w:style w:type="paragraph" w:customStyle="1" w:styleId="CM140">
    <w:name w:val="CM140"/>
    <w:basedOn w:val="Default"/>
    <w:next w:val="Default"/>
    <w:uiPriority w:val="99"/>
    <w:pPr>
      <w:spacing w:line="336" w:lineRule="atLeast"/>
    </w:pPr>
    <w:rPr>
      <w:rFonts w:cs="Times New Roman"/>
      <w:color w:val="auto"/>
    </w:rPr>
  </w:style>
  <w:style w:type="paragraph" w:customStyle="1" w:styleId="CM141">
    <w:name w:val="CM141"/>
    <w:basedOn w:val="Default"/>
    <w:next w:val="Default"/>
    <w:uiPriority w:val="99"/>
    <w:rPr>
      <w:rFonts w:cs="Times New Roman"/>
      <w:color w:val="auto"/>
    </w:rPr>
  </w:style>
  <w:style w:type="paragraph" w:customStyle="1" w:styleId="CM142">
    <w:name w:val="CM142"/>
    <w:basedOn w:val="Default"/>
    <w:next w:val="Default"/>
    <w:uiPriority w:val="99"/>
    <w:rPr>
      <w:rFonts w:cs="Times New Roman"/>
      <w:color w:val="auto"/>
    </w:rPr>
  </w:style>
  <w:style w:type="paragraph" w:customStyle="1" w:styleId="CM143">
    <w:name w:val="CM143"/>
    <w:basedOn w:val="Default"/>
    <w:next w:val="Default"/>
    <w:uiPriority w:val="99"/>
    <w:pPr>
      <w:spacing w:line="246" w:lineRule="atLeast"/>
    </w:pPr>
    <w:rPr>
      <w:rFonts w:cs="Times New Roman"/>
      <w:color w:val="auto"/>
    </w:rPr>
  </w:style>
  <w:style w:type="paragraph" w:customStyle="1" w:styleId="CM144">
    <w:name w:val="CM144"/>
    <w:basedOn w:val="Default"/>
    <w:next w:val="Default"/>
    <w:uiPriority w:val="99"/>
    <w:pPr>
      <w:spacing w:line="243" w:lineRule="atLeast"/>
    </w:pPr>
    <w:rPr>
      <w:rFonts w:cs="Times New Roman"/>
      <w:color w:val="auto"/>
    </w:rPr>
  </w:style>
  <w:style w:type="paragraph" w:customStyle="1" w:styleId="CM145">
    <w:name w:val="CM145"/>
    <w:basedOn w:val="Default"/>
    <w:next w:val="Default"/>
    <w:uiPriority w:val="99"/>
    <w:pPr>
      <w:spacing w:line="246" w:lineRule="atLeast"/>
    </w:pPr>
    <w:rPr>
      <w:rFonts w:cs="Times New Roman"/>
      <w:color w:val="auto"/>
    </w:rPr>
  </w:style>
  <w:style w:type="paragraph" w:customStyle="1" w:styleId="CM146">
    <w:name w:val="CM146"/>
    <w:basedOn w:val="Default"/>
    <w:next w:val="Default"/>
    <w:uiPriority w:val="99"/>
    <w:pPr>
      <w:spacing w:line="246" w:lineRule="atLeast"/>
    </w:pPr>
    <w:rPr>
      <w:rFonts w:cs="Times New Roman"/>
      <w:color w:val="auto"/>
    </w:rPr>
  </w:style>
  <w:style w:type="paragraph" w:customStyle="1" w:styleId="CM149">
    <w:name w:val="CM149"/>
    <w:basedOn w:val="Default"/>
    <w:next w:val="Default"/>
    <w:uiPriority w:val="99"/>
    <w:pPr>
      <w:spacing w:line="246" w:lineRule="atLeast"/>
    </w:pPr>
    <w:rPr>
      <w:rFonts w:cs="Times New Roman"/>
      <w:color w:val="auto"/>
    </w:rPr>
  </w:style>
  <w:style w:type="paragraph" w:customStyle="1" w:styleId="CM150">
    <w:name w:val="CM150"/>
    <w:basedOn w:val="Default"/>
    <w:next w:val="Default"/>
    <w:uiPriority w:val="99"/>
    <w:pPr>
      <w:spacing w:line="246" w:lineRule="atLeast"/>
    </w:pPr>
    <w:rPr>
      <w:rFonts w:cs="Times New Roman"/>
      <w:color w:val="auto"/>
    </w:rPr>
  </w:style>
  <w:style w:type="paragraph" w:customStyle="1" w:styleId="CM151">
    <w:name w:val="CM151"/>
    <w:basedOn w:val="Default"/>
    <w:next w:val="Default"/>
    <w:uiPriority w:val="99"/>
    <w:pPr>
      <w:spacing w:line="246" w:lineRule="atLeast"/>
    </w:pPr>
    <w:rPr>
      <w:rFonts w:cs="Times New Roman"/>
      <w:color w:val="auto"/>
    </w:rPr>
  </w:style>
  <w:style w:type="paragraph" w:customStyle="1" w:styleId="CM152">
    <w:name w:val="CM152"/>
    <w:basedOn w:val="Default"/>
    <w:next w:val="Default"/>
    <w:uiPriority w:val="99"/>
    <w:pPr>
      <w:spacing w:line="246" w:lineRule="atLeast"/>
    </w:pPr>
    <w:rPr>
      <w:rFonts w:cs="Times New Roman"/>
      <w:color w:val="auto"/>
    </w:rPr>
  </w:style>
  <w:style w:type="paragraph" w:customStyle="1" w:styleId="CM153">
    <w:name w:val="CM153"/>
    <w:basedOn w:val="Default"/>
    <w:next w:val="Default"/>
    <w:uiPriority w:val="99"/>
    <w:rPr>
      <w:rFonts w:cs="Times New Roman"/>
      <w:color w:val="auto"/>
    </w:rPr>
  </w:style>
  <w:style w:type="paragraph" w:customStyle="1" w:styleId="CM206">
    <w:name w:val="CM206"/>
    <w:basedOn w:val="Default"/>
    <w:next w:val="Default"/>
    <w:uiPriority w:val="99"/>
    <w:rPr>
      <w:rFonts w:cs="Times New Roman"/>
      <w:color w:val="auto"/>
    </w:rPr>
  </w:style>
  <w:style w:type="paragraph" w:customStyle="1" w:styleId="CM154">
    <w:name w:val="CM154"/>
    <w:basedOn w:val="Default"/>
    <w:next w:val="Default"/>
    <w:uiPriority w:val="99"/>
    <w:rPr>
      <w:rFonts w:cs="Times New Roman"/>
      <w:color w:val="auto"/>
    </w:rPr>
  </w:style>
  <w:style w:type="paragraph" w:customStyle="1" w:styleId="CM148">
    <w:name w:val="CM148"/>
    <w:basedOn w:val="Default"/>
    <w:next w:val="Default"/>
    <w:uiPriority w:val="99"/>
    <w:pPr>
      <w:spacing w:line="246" w:lineRule="atLeast"/>
    </w:pPr>
    <w:rPr>
      <w:rFonts w:cs="Times New Roman"/>
      <w:color w:val="auto"/>
    </w:rPr>
  </w:style>
  <w:style w:type="paragraph" w:customStyle="1" w:styleId="CM155">
    <w:name w:val="CM155"/>
    <w:basedOn w:val="Default"/>
    <w:next w:val="Default"/>
    <w:uiPriority w:val="99"/>
    <w:pPr>
      <w:spacing w:line="243" w:lineRule="atLeast"/>
    </w:pPr>
    <w:rPr>
      <w:rFonts w:cs="Times New Roman"/>
      <w:color w:val="auto"/>
    </w:rPr>
  </w:style>
  <w:style w:type="paragraph" w:customStyle="1" w:styleId="CM156">
    <w:name w:val="CM156"/>
    <w:basedOn w:val="Default"/>
    <w:next w:val="Default"/>
    <w:uiPriority w:val="99"/>
    <w:pPr>
      <w:spacing w:line="246" w:lineRule="atLeast"/>
    </w:pPr>
    <w:rPr>
      <w:rFonts w:cs="Times New Roman"/>
      <w:color w:val="auto"/>
    </w:rPr>
  </w:style>
  <w:style w:type="paragraph" w:customStyle="1" w:styleId="CM207">
    <w:name w:val="CM207"/>
    <w:basedOn w:val="Default"/>
    <w:next w:val="Default"/>
    <w:uiPriority w:val="99"/>
    <w:rPr>
      <w:rFonts w:cs="Times New Roman"/>
      <w:color w:val="auto"/>
    </w:rPr>
  </w:style>
  <w:style w:type="paragraph" w:customStyle="1" w:styleId="CM157">
    <w:name w:val="CM157"/>
    <w:basedOn w:val="Default"/>
    <w:next w:val="Default"/>
    <w:uiPriority w:val="99"/>
    <w:pPr>
      <w:spacing w:line="246" w:lineRule="atLeast"/>
    </w:pPr>
    <w:rPr>
      <w:rFonts w:cs="Times New Roman"/>
      <w:color w:val="auto"/>
    </w:rPr>
  </w:style>
  <w:style w:type="paragraph" w:customStyle="1" w:styleId="CM208">
    <w:name w:val="CM208"/>
    <w:basedOn w:val="Default"/>
    <w:next w:val="Default"/>
    <w:uiPriority w:val="99"/>
    <w:rPr>
      <w:rFonts w:cs="Times New Roman"/>
      <w:color w:val="auto"/>
    </w:rPr>
  </w:style>
  <w:style w:type="paragraph" w:customStyle="1" w:styleId="CM159">
    <w:name w:val="CM159"/>
    <w:basedOn w:val="Default"/>
    <w:next w:val="Default"/>
    <w:uiPriority w:val="99"/>
    <w:pPr>
      <w:spacing w:line="246" w:lineRule="atLeast"/>
    </w:pPr>
    <w:rPr>
      <w:rFonts w:cs="Times New Roman"/>
      <w:color w:val="auto"/>
    </w:rPr>
  </w:style>
  <w:style w:type="paragraph" w:customStyle="1" w:styleId="CM160">
    <w:name w:val="CM160"/>
    <w:basedOn w:val="Default"/>
    <w:next w:val="Default"/>
    <w:uiPriority w:val="99"/>
    <w:pPr>
      <w:spacing w:line="348" w:lineRule="atLeast"/>
    </w:pPr>
    <w:rPr>
      <w:rFonts w:cs="Times New Roman"/>
      <w:color w:val="auto"/>
    </w:rPr>
  </w:style>
  <w:style w:type="paragraph" w:customStyle="1" w:styleId="CM161">
    <w:name w:val="CM161"/>
    <w:basedOn w:val="Default"/>
    <w:next w:val="Default"/>
    <w:uiPriority w:val="99"/>
    <w:pPr>
      <w:spacing w:line="340" w:lineRule="atLeast"/>
    </w:pPr>
    <w:rPr>
      <w:rFonts w:cs="Times New Roman"/>
      <w:color w:val="auto"/>
    </w:rPr>
  </w:style>
  <w:style w:type="paragraph" w:styleId="BalloonText">
    <w:name w:val="Balloon Text"/>
    <w:basedOn w:val="Normal"/>
    <w:link w:val="BalloonTextChar"/>
    <w:uiPriority w:val="99"/>
    <w:semiHidden/>
    <w:unhideWhenUsed/>
    <w:rsid w:val="00A450E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450E1"/>
    <w:rPr>
      <w:rFonts w:ascii="Lucida Grande" w:hAnsi="Lucida Grande" w:cs="Lucida Grande"/>
      <w:sz w:val="18"/>
      <w:szCs w:val="18"/>
    </w:rPr>
  </w:style>
  <w:style w:type="paragraph" w:styleId="CommentText">
    <w:name w:val="annotation text"/>
    <w:basedOn w:val="Normal"/>
    <w:link w:val="CommentTextChar"/>
    <w:uiPriority w:val="99"/>
    <w:semiHidden/>
    <w:unhideWhenUsed/>
    <w:rPr>
      <w:sz w:val="24"/>
      <w:szCs w:val="24"/>
    </w:rPr>
  </w:style>
  <w:style w:type="character" w:customStyle="1" w:styleId="CommentTextChar">
    <w:name w:val="Comment Text Char"/>
    <w:basedOn w:val="DefaultParagraphFont"/>
    <w:link w:val="CommentText"/>
    <w:uiPriority w:val="99"/>
    <w:semiHidden/>
    <w:rPr>
      <w:sz w:val="24"/>
      <w:szCs w:val="24"/>
    </w:rPr>
  </w:style>
  <w:style w:type="character" w:styleId="CommentReference">
    <w:name w:val="annotation reference"/>
    <w:basedOn w:val="DefaultParagraphFont"/>
    <w:uiPriority w:val="99"/>
    <w:semiHidden/>
    <w:unhideWhenUse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459" Type="http://schemas.openxmlformats.org/officeDocument/2006/relationships/image" Target="media/image306.jpeg"/><Relationship Id="rId20" Type="http://schemas.openxmlformats.org/officeDocument/2006/relationships/image" Target="media/image15.jpeg"/><Relationship Id="rId21" Type="http://schemas.openxmlformats.org/officeDocument/2006/relationships/image" Target="media/image16.jpeg"/><Relationship Id="rId22" Type="http://schemas.openxmlformats.org/officeDocument/2006/relationships/image" Target="media/image17.jpeg"/><Relationship Id="rId23" Type="http://schemas.openxmlformats.org/officeDocument/2006/relationships/image" Target="media/image18.jpeg"/><Relationship Id="rId24" Type="http://schemas.openxmlformats.org/officeDocument/2006/relationships/image" Target="media/image19.jpeg"/><Relationship Id="rId25" Type="http://schemas.openxmlformats.org/officeDocument/2006/relationships/image" Target="media/image20.jpeg"/><Relationship Id="rId26" Type="http://schemas.openxmlformats.org/officeDocument/2006/relationships/image" Target="media/image21.jpeg"/><Relationship Id="rId27" Type="http://schemas.openxmlformats.org/officeDocument/2006/relationships/image" Target="media/image22.jpeg"/><Relationship Id="rId28" Type="http://schemas.openxmlformats.org/officeDocument/2006/relationships/image" Target="media/image23.jpeg"/><Relationship Id="rId29" Type="http://schemas.openxmlformats.org/officeDocument/2006/relationships/image" Target="media/image24.jpeg"/><Relationship Id="rId170" Type="http://schemas.openxmlformats.org/officeDocument/2006/relationships/hyperlink" Target="http://www.ialathree.org/chapo/publications/documentspdf/doc_105_eng.pdf" TargetMode="External"/><Relationship Id="rId171" Type="http://schemas.openxmlformats.org/officeDocument/2006/relationships/hyperlink" Target="http://www.ialathree.org/chapo/publications/documentspdf/doc_106_eng.pdf" TargetMode="External"/><Relationship Id="rId172" Type="http://schemas.openxmlformats.org/officeDocument/2006/relationships/hyperlink" Target="http://www.ialathree.org/chapo/publications/documentspdf/doc_243_eng.pdf" TargetMode="External"/><Relationship Id="rId173" Type="http://schemas.openxmlformats.org/officeDocument/2006/relationships/hyperlink" Target="http://www.ialathree.org/chapo/publications/documentspdf/doc_244_eng.pdf" TargetMode="External"/><Relationship Id="rId174" Type="http://schemas.openxmlformats.org/officeDocument/2006/relationships/hyperlink" Target="http://www.ialathree.org/chapo/publications/documentspdf/doc_245_eng.pdf" TargetMode="External"/><Relationship Id="rId175" Type="http://schemas.openxmlformats.org/officeDocument/2006/relationships/hyperlink" Target="http://www.ialathree.org/chapo/publications/documentspdf/doc_246_eng.pdf" TargetMode="External"/><Relationship Id="rId176" Type="http://schemas.openxmlformats.org/officeDocument/2006/relationships/hyperlink" Target="http://www.ialathree.org/chapo/publications/documentspdf/doc_112_eng.pdf" TargetMode="External"/><Relationship Id="rId177" Type="http://schemas.openxmlformats.org/officeDocument/2006/relationships/hyperlink" Target="http://www.ialathree.org/chapo/publications/documentspdf/doc_41_eng.pdf" TargetMode="External"/><Relationship Id="rId178" Type="http://schemas.openxmlformats.org/officeDocument/2006/relationships/hyperlink" Target="http://www.ialathree.org/chapo/publications/documentspdf/doc_41_eng.pdf" TargetMode="External"/><Relationship Id="rId179" Type="http://schemas.openxmlformats.org/officeDocument/2006/relationships/image" Target="media/image131.jpeg"/><Relationship Id="rId230" Type="http://schemas.openxmlformats.org/officeDocument/2006/relationships/image" Target="media/image158.jpeg"/><Relationship Id="rId231" Type="http://schemas.openxmlformats.org/officeDocument/2006/relationships/image" Target="media/image159.jpeg"/><Relationship Id="rId232" Type="http://schemas.openxmlformats.org/officeDocument/2006/relationships/hyperlink" Target="http://www.ialathree.org/chapo/publications/documentspdf/doc_99_eng.pdf" TargetMode="External"/><Relationship Id="rId233" Type="http://schemas.openxmlformats.org/officeDocument/2006/relationships/hyperlink" Target="http://www.ialathree.org/chapo/publications/documentspdf/doc_99_eng.pdf" TargetMode="External"/><Relationship Id="rId234" Type="http://schemas.openxmlformats.org/officeDocument/2006/relationships/hyperlink" Target="http://www.ialathree.org/chapo/publications/documentspdf/doc_100_eng.pdf" TargetMode="External"/><Relationship Id="rId235" Type="http://schemas.openxmlformats.org/officeDocument/2006/relationships/hyperlink" Target="http://www.ialathree.org/chapo/publications/documentspdf/doc_100_eng.pdf" TargetMode="External"/><Relationship Id="rId236" Type="http://schemas.openxmlformats.org/officeDocument/2006/relationships/hyperlink" Target="http://www.ialathree.org/chapo/publications/documentspdf/doc_192_eng.pdf" TargetMode="External"/><Relationship Id="rId237" Type="http://schemas.openxmlformats.org/officeDocument/2006/relationships/hyperlink" Target="http://www.ialathree.org/chapo/publications/documentspdf/doc_59_eng.pdf" TargetMode="External"/><Relationship Id="rId238" Type="http://schemas.openxmlformats.org/officeDocument/2006/relationships/hyperlink" Target="http://www.ialathree.org/chapo/publications/documentspdf/doc_59_eng.pdf" TargetMode="External"/><Relationship Id="rId239" Type="http://schemas.openxmlformats.org/officeDocument/2006/relationships/hyperlink" Target="http://www.ialathree.org/chapo/publications/documentspdf/doc_235_eng.pdf" TargetMode="External"/><Relationship Id="rId460" Type="http://schemas.openxmlformats.org/officeDocument/2006/relationships/image" Target="media/image307.jpeg"/><Relationship Id="rId461" Type="http://schemas.openxmlformats.org/officeDocument/2006/relationships/image" Target="media/image308.jpeg"/><Relationship Id="rId462" Type="http://schemas.openxmlformats.org/officeDocument/2006/relationships/image" Target="media/image309.jpeg"/><Relationship Id="rId463" Type="http://schemas.openxmlformats.org/officeDocument/2006/relationships/image" Target="media/image310.jpeg"/><Relationship Id="rId464" Type="http://schemas.openxmlformats.org/officeDocument/2006/relationships/image" Target="media/image311.jpeg"/><Relationship Id="rId465" Type="http://schemas.openxmlformats.org/officeDocument/2006/relationships/image" Target="media/image312.jpeg"/><Relationship Id="rId466" Type="http://schemas.openxmlformats.org/officeDocument/2006/relationships/image" Target="media/image313.jpeg"/><Relationship Id="rId467" Type="http://schemas.openxmlformats.org/officeDocument/2006/relationships/image" Target="media/image314.jpeg"/><Relationship Id="rId468" Type="http://schemas.openxmlformats.org/officeDocument/2006/relationships/image" Target="media/image315.jpeg"/><Relationship Id="rId469" Type="http://schemas.openxmlformats.org/officeDocument/2006/relationships/image" Target="media/image316.jpeg"/><Relationship Id="rId30" Type="http://schemas.openxmlformats.org/officeDocument/2006/relationships/image" Target="media/image25.jpeg"/><Relationship Id="rId31" Type="http://schemas.openxmlformats.org/officeDocument/2006/relationships/image" Target="media/image26.jpeg"/><Relationship Id="rId32" Type="http://schemas.openxmlformats.org/officeDocument/2006/relationships/image" Target="media/image27.jpeg"/><Relationship Id="rId33" Type="http://schemas.openxmlformats.org/officeDocument/2006/relationships/image" Target="media/image28.jpeg"/><Relationship Id="rId34" Type="http://schemas.openxmlformats.org/officeDocument/2006/relationships/image" Target="media/image29.jpeg"/><Relationship Id="rId35" Type="http://schemas.openxmlformats.org/officeDocument/2006/relationships/image" Target="media/image30.jpeg"/><Relationship Id="rId36" Type="http://schemas.openxmlformats.org/officeDocument/2006/relationships/image" Target="media/image31.jpeg"/><Relationship Id="rId37" Type="http://schemas.openxmlformats.org/officeDocument/2006/relationships/image" Target="media/image32.jpeg"/><Relationship Id="rId38" Type="http://schemas.openxmlformats.org/officeDocument/2006/relationships/image" Target="media/image33.jpeg"/><Relationship Id="rId39" Type="http://schemas.openxmlformats.org/officeDocument/2006/relationships/image" Target="media/image34.jpeg"/><Relationship Id="rId180" Type="http://schemas.openxmlformats.org/officeDocument/2006/relationships/hyperlink" Target="http://www.ialathree.org/chapo/publications/documentspdf/doc_213_eng.pdf" TargetMode="External"/><Relationship Id="rId181" Type="http://schemas.openxmlformats.org/officeDocument/2006/relationships/hyperlink" Target="http://www.ialathree.org/chapo/publications/documentspdf/doc_247_eng.pdf" TargetMode="External"/><Relationship Id="rId182" Type="http://schemas.openxmlformats.org/officeDocument/2006/relationships/image" Target="media/image132.jpeg"/><Relationship Id="rId183" Type="http://schemas.openxmlformats.org/officeDocument/2006/relationships/image" Target="media/image133.jpeg"/><Relationship Id="rId184" Type="http://schemas.openxmlformats.org/officeDocument/2006/relationships/image" Target="media/image134.jpeg"/><Relationship Id="rId185" Type="http://schemas.openxmlformats.org/officeDocument/2006/relationships/image" Target="media/image135.jpeg"/><Relationship Id="rId186" Type="http://schemas.openxmlformats.org/officeDocument/2006/relationships/image" Target="media/image136.jpeg"/><Relationship Id="rId187" Type="http://schemas.openxmlformats.org/officeDocument/2006/relationships/image" Target="media/image137.jpeg"/><Relationship Id="rId188" Type="http://schemas.openxmlformats.org/officeDocument/2006/relationships/image" Target="media/image138.jpeg"/><Relationship Id="rId189" Type="http://schemas.openxmlformats.org/officeDocument/2006/relationships/image" Target="media/image139.jpeg"/><Relationship Id="rId240" Type="http://schemas.openxmlformats.org/officeDocument/2006/relationships/hyperlink" Target="http://www.ialathree.org/chapo/publications/documentspdf/doc_235_eng.pdf" TargetMode="External"/><Relationship Id="rId241" Type="http://schemas.openxmlformats.org/officeDocument/2006/relationships/hyperlink" Target="http://www.ialathree.org/chapo/publications/documentspdf/doc_162_eng.pdf" TargetMode="External"/><Relationship Id="rId242" Type="http://schemas.openxmlformats.org/officeDocument/2006/relationships/hyperlink" Target="http://www.ialathree.org/chapo/publications/documentspdf/doc_99_eng.pdf" TargetMode="External"/><Relationship Id="rId243" Type="http://schemas.openxmlformats.org/officeDocument/2006/relationships/hyperlink" Target="http://www.ialathree.org/chapo/publications/documentspdf/doc_217_eng.pdf" TargetMode="External"/><Relationship Id="rId244" Type="http://schemas.openxmlformats.org/officeDocument/2006/relationships/hyperlink" Target="http://www.ialathree.org/chapo/publications/documentspdf/doc_99_eng.pdf" TargetMode="External"/><Relationship Id="rId245" Type="http://schemas.openxmlformats.org/officeDocument/2006/relationships/hyperlink" Target="http://www.ialathree.org/chapo/publications/documentspdf/doc_100_eng.pdf" TargetMode="External"/><Relationship Id="rId246" Type="http://schemas.openxmlformats.org/officeDocument/2006/relationships/hyperlink" Target="http://www.ialathree.org/chapo/publications/documentspdf/doc_254_eng.pdf" TargetMode="External"/><Relationship Id="rId247" Type="http://schemas.openxmlformats.org/officeDocument/2006/relationships/image" Target="media/image160.jpeg"/><Relationship Id="rId248" Type="http://schemas.openxmlformats.org/officeDocument/2006/relationships/hyperlink" Target="http://www.ialathree.org/chapo/publications/documentspdf/doc_257_eng.pdf" TargetMode="External"/><Relationship Id="rId249" Type="http://schemas.openxmlformats.org/officeDocument/2006/relationships/image" Target="media/image161.jpeg"/><Relationship Id="rId300" Type="http://schemas.openxmlformats.org/officeDocument/2006/relationships/image" Target="media/image183.jpeg"/><Relationship Id="rId301" Type="http://schemas.openxmlformats.org/officeDocument/2006/relationships/image" Target="media/image184.jpeg"/><Relationship Id="rId302" Type="http://schemas.openxmlformats.org/officeDocument/2006/relationships/hyperlink" Target="http://www.ialathree.org/chapo/publications/documentspdf/doc_44_eng.pdf" TargetMode="External"/><Relationship Id="rId303" Type="http://schemas.openxmlformats.org/officeDocument/2006/relationships/hyperlink" Target="http://www.ialathree.org/chapo/publications/documentspdf/doc_48_eng.pdf" TargetMode="External"/><Relationship Id="rId304" Type="http://schemas.openxmlformats.org/officeDocument/2006/relationships/hyperlink" Target="http://www.ialathree.org/chapo/publications/documentspdf/doc_225_eng.pdf" TargetMode="External"/><Relationship Id="rId305" Type="http://schemas.openxmlformats.org/officeDocument/2006/relationships/image" Target="media/image185.jpeg"/><Relationship Id="rId306" Type="http://schemas.openxmlformats.org/officeDocument/2006/relationships/image" Target="media/image186.jpeg"/><Relationship Id="rId307" Type="http://schemas.openxmlformats.org/officeDocument/2006/relationships/image" Target="media/image187.jpeg"/><Relationship Id="rId308" Type="http://schemas.openxmlformats.org/officeDocument/2006/relationships/image" Target="media/image188.jpeg"/><Relationship Id="rId309" Type="http://schemas.openxmlformats.org/officeDocument/2006/relationships/image" Target="media/image189.jpeg"/><Relationship Id="rId470" Type="http://schemas.openxmlformats.org/officeDocument/2006/relationships/image" Target="media/image317.jpeg"/><Relationship Id="rId471" Type="http://schemas.openxmlformats.org/officeDocument/2006/relationships/image" Target="media/image318.jpeg"/><Relationship Id="rId472" Type="http://schemas.openxmlformats.org/officeDocument/2006/relationships/image" Target="media/image319.jpeg"/><Relationship Id="rId473" Type="http://schemas.openxmlformats.org/officeDocument/2006/relationships/image" Target="media/image320.jpeg"/><Relationship Id="rId474" Type="http://schemas.openxmlformats.org/officeDocument/2006/relationships/image" Target="media/image321.jpeg"/><Relationship Id="rId475" Type="http://schemas.openxmlformats.org/officeDocument/2006/relationships/image" Target="media/image322.jpeg"/><Relationship Id="rId476" Type="http://schemas.openxmlformats.org/officeDocument/2006/relationships/image" Target="media/image323.jpeg"/><Relationship Id="rId477" Type="http://schemas.openxmlformats.org/officeDocument/2006/relationships/image" Target="media/image324.jpeg"/><Relationship Id="rId478" Type="http://schemas.openxmlformats.org/officeDocument/2006/relationships/image" Target="media/image325.jpeg"/><Relationship Id="rId479" Type="http://schemas.openxmlformats.org/officeDocument/2006/relationships/image" Target="media/image326.jpeg"/><Relationship Id="rId40" Type="http://schemas.openxmlformats.org/officeDocument/2006/relationships/image" Target="media/image35.jpeg"/><Relationship Id="rId41" Type="http://schemas.openxmlformats.org/officeDocument/2006/relationships/image" Target="media/image36.jpeg"/><Relationship Id="rId42" Type="http://schemas.openxmlformats.org/officeDocument/2006/relationships/image" Target="media/image37.jpeg"/><Relationship Id="rId43" Type="http://schemas.openxmlformats.org/officeDocument/2006/relationships/image" Target="media/image38.jpeg"/><Relationship Id="rId44" Type="http://schemas.openxmlformats.org/officeDocument/2006/relationships/image" Target="media/image39.jpeg"/><Relationship Id="rId45" Type="http://schemas.openxmlformats.org/officeDocument/2006/relationships/image" Target="media/image40.jpeg"/><Relationship Id="rId46" Type="http://schemas.openxmlformats.org/officeDocument/2006/relationships/image" Target="media/image41.jpeg"/><Relationship Id="rId47" Type="http://schemas.openxmlformats.org/officeDocument/2006/relationships/image" Target="media/image42.jpeg"/><Relationship Id="rId48" Type="http://schemas.openxmlformats.org/officeDocument/2006/relationships/image" Target="media/image43.jpeg"/><Relationship Id="rId49" Type="http://schemas.openxmlformats.org/officeDocument/2006/relationships/image" Target="media/image44.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image" Target="media/image4.jpeg"/><Relationship Id="rId190" Type="http://schemas.openxmlformats.org/officeDocument/2006/relationships/image" Target="media/image140.jpeg"/><Relationship Id="rId191" Type="http://schemas.openxmlformats.org/officeDocument/2006/relationships/image" Target="media/image141.jpeg"/><Relationship Id="rId192" Type="http://schemas.openxmlformats.org/officeDocument/2006/relationships/image" Target="media/image142.jpeg"/><Relationship Id="rId193" Type="http://schemas.openxmlformats.org/officeDocument/2006/relationships/hyperlink" Target="http://www.ialathree.org/chapo/publications/documentspdf/doc_110_eng.pdf" TargetMode="External"/><Relationship Id="rId194" Type="http://schemas.openxmlformats.org/officeDocument/2006/relationships/hyperlink" Target="http://www.ialathree.org/chapo/publications/documentspdf/doc_46_eng.pdf" TargetMode="External"/><Relationship Id="rId195" Type="http://schemas.openxmlformats.org/officeDocument/2006/relationships/image" Target="media/image143.jpeg"/><Relationship Id="rId196" Type="http://schemas.openxmlformats.org/officeDocument/2006/relationships/image" Target="media/image144.jpeg"/><Relationship Id="rId197" Type="http://schemas.openxmlformats.org/officeDocument/2006/relationships/hyperlink" Target="http://www.ialathree.org/chapo/publications/documentspdf/doc_46_eng.pdf" TargetMode="External"/><Relationship Id="rId198" Type="http://schemas.openxmlformats.org/officeDocument/2006/relationships/image" Target="media/image145.jpeg"/><Relationship Id="rId199" Type="http://schemas.openxmlformats.org/officeDocument/2006/relationships/image" Target="media/image146.jpeg"/><Relationship Id="rId250" Type="http://schemas.openxmlformats.org/officeDocument/2006/relationships/hyperlink" Target="http://www.gloss-sealevel.org/" TargetMode="External"/><Relationship Id="rId251" Type="http://schemas.openxmlformats.org/officeDocument/2006/relationships/hyperlink" Target="http://www.gloss-sealevel.org/" TargetMode="External"/><Relationship Id="rId252" Type="http://schemas.openxmlformats.org/officeDocument/2006/relationships/image" Target="media/image162.jpeg"/><Relationship Id="rId253" Type="http://schemas.openxmlformats.org/officeDocument/2006/relationships/image" Target="media/image163.jpeg"/><Relationship Id="rId254" Type="http://schemas.openxmlformats.org/officeDocument/2006/relationships/hyperlink" Target="http://www.ialathree.org/chapo/publications/documentspdf/doc_40_eng.pdf" TargetMode="External"/><Relationship Id="rId255" Type="http://schemas.openxmlformats.org/officeDocument/2006/relationships/hyperlink" Target="http://www.ialathree.org/chapo/publications/documentspdf/doc_2_eng.pdf" TargetMode="External"/><Relationship Id="rId256" Type="http://schemas.openxmlformats.org/officeDocument/2006/relationships/hyperlink" Target="http://www.ialathree.org/chapo/publications/documentspdf/doc_54_eng.pdf" TargetMode="External"/><Relationship Id="rId257" Type="http://schemas.openxmlformats.org/officeDocument/2006/relationships/hyperlink" Target="http://www.ialathree.org/chapo/publications/documentspdf/doc_55_eng.pdf" TargetMode="External"/><Relationship Id="rId258" Type="http://schemas.openxmlformats.org/officeDocument/2006/relationships/hyperlink" Target="http://www.ialathree.org/chapo/publications/documentspdf/doc_61_eng.pdf" TargetMode="External"/><Relationship Id="rId259" Type="http://schemas.openxmlformats.org/officeDocument/2006/relationships/hyperlink" Target="http://www.ialathree.org/chapo/publications/documentspdf/doc_63_eng.pdf" TargetMode="External"/><Relationship Id="rId310" Type="http://schemas.openxmlformats.org/officeDocument/2006/relationships/hyperlink" Target="http://www.ialathree.org/chapo/publications/documentspdf/doc_53_eng.pdf" TargetMode="External"/><Relationship Id="rId311" Type="http://schemas.openxmlformats.org/officeDocument/2006/relationships/hyperlink" Target="http://www.ialathree.org/chapo/publications/documentspdf/doc_14_eng.pdf" TargetMode="External"/><Relationship Id="rId312" Type="http://schemas.openxmlformats.org/officeDocument/2006/relationships/hyperlink" Target="http://www.ialathree.org/chapo/publications/documentspdf/doc_200_eng.pdf" TargetMode="External"/><Relationship Id="rId313" Type="http://schemas.openxmlformats.org/officeDocument/2006/relationships/image" Target="media/image190.jpeg"/><Relationship Id="rId314" Type="http://schemas.openxmlformats.org/officeDocument/2006/relationships/image" Target="media/image191.jpeg"/><Relationship Id="rId315" Type="http://schemas.openxmlformats.org/officeDocument/2006/relationships/image" Target="media/image192.jpeg"/><Relationship Id="rId316" Type="http://schemas.openxmlformats.org/officeDocument/2006/relationships/image" Target="media/image193.jpeg"/><Relationship Id="rId317" Type="http://schemas.openxmlformats.org/officeDocument/2006/relationships/image" Target="media/image194.jpeg"/><Relationship Id="rId318" Type="http://schemas.openxmlformats.org/officeDocument/2006/relationships/image" Target="media/image195.jpeg"/><Relationship Id="rId319" Type="http://schemas.openxmlformats.org/officeDocument/2006/relationships/image" Target="media/image196.jpeg"/><Relationship Id="rId480" Type="http://schemas.openxmlformats.org/officeDocument/2006/relationships/image" Target="media/image327.jpeg"/><Relationship Id="rId481" Type="http://schemas.openxmlformats.org/officeDocument/2006/relationships/image" Target="media/image328.jpeg"/><Relationship Id="rId482" Type="http://schemas.openxmlformats.org/officeDocument/2006/relationships/image" Target="media/image329.jpeg"/><Relationship Id="rId483" Type="http://schemas.openxmlformats.org/officeDocument/2006/relationships/fontTable" Target="fontTable.xml"/><Relationship Id="rId484" Type="http://schemas.openxmlformats.org/officeDocument/2006/relationships/theme" Target="theme/theme1.xml"/><Relationship Id="rId50" Type="http://schemas.openxmlformats.org/officeDocument/2006/relationships/image" Target="media/image45.jpeg"/><Relationship Id="rId51" Type="http://schemas.openxmlformats.org/officeDocument/2006/relationships/image" Target="media/image46.jpeg"/><Relationship Id="rId52" Type="http://schemas.openxmlformats.org/officeDocument/2006/relationships/image" Target="media/image47.jpeg"/><Relationship Id="rId53" Type="http://schemas.openxmlformats.org/officeDocument/2006/relationships/image" Target="media/image48.jpeg"/><Relationship Id="rId54" Type="http://schemas.openxmlformats.org/officeDocument/2006/relationships/image" Target="media/image49.jpeg"/><Relationship Id="rId55" Type="http://schemas.openxmlformats.org/officeDocument/2006/relationships/image" Target="media/image50.jpeg"/><Relationship Id="rId56" Type="http://schemas.openxmlformats.org/officeDocument/2006/relationships/image" Target="media/image51.jpeg"/><Relationship Id="rId57" Type="http://schemas.openxmlformats.org/officeDocument/2006/relationships/image" Target="media/image52.jpeg"/><Relationship Id="rId58" Type="http://schemas.openxmlformats.org/officeDocument/2006/relationships/image" Target="media/image53.jpeg"/><Relationship Id="rId59" Type="http://schemas.openxmlformats.org/officeDocument/2006/relationships/image" Target="media/image54.jpeg"/><Relationship Id="rId260" Type="http://schemas.openxmlformats.org/officeDocument/2006/relationships/hyperlink" Target="http://www.ialathree.org/chapo/publications/documentspdf/doc_200_eng.pdf" TargetMode="External"/><Relationship Id="rId261" Type="http://schemas.openxmlformats.org/officeDocument/2006/relationships/hyperlink" Target="http://www.ialathree.org/chapo/publications/documentspdf/doc_192_eng.pdf" TargetMode="External"/><Relationship Id="rId262" Type="http://schemas.openxmlformats.org/officeDocument/2006/relationships/hyperlink" Target="http://www.ialathree.org/chapo/publications/documentspdf/doc_59_eng.pdf" TargetMode="External"/><Relationship Id="rId263" Type="http://schemas.openxmlformats.org/officeDocument/2006/relationships/hyperlink" Target="http://www.ialathree.org/chapo/publications/documentspdf/doc_235_eng.pdf" TargetMode="External"/><Relationship Id="rId264" Type="http://schemas.openxmlformats.org/officeDocument/2006/relationships/hyperlink" Target="http://www.ialathree.org/chapo/publications/documentspdf/doc_88_eng.pdf" TargetMode="External"/><Relationship Id="rId265" Type="http://schemas.openxmlformats.org/officeDocument/2006/relationships/hyperlink" Target="http://www.ialathree.org/chapo/publications/documentspdf/doc_91_eng.pdf" TargetMode="External"/><Relationship Id="rId266" Type="http://schemas.openxmlformats.org/officeDocument/2006/relationships/hyperlink" Target="http://www.ialathree.org/chapo/publications/documentspdf/doc_91_eng.pdf" TargetMode="External"/><Relationship Id="rId267" Type="http://schemas.openxmlformats.org/officeDocument/2006/relationships/hyperlink" Target="http://www.ialathree.org/chapo/publications/documentspdf/doc_92_eng.pdf" TargetMode="External"/><Relationship Id="rId268" Type="http://schemas.openxmlformats.org/officeDocument/2006/relationships/hyperlink" Target="http://www.ialathree.org/chapo/publications/documentspdf/doc_217_eng.pdf" TargetMode="External"/><Relationship Id="rId269" Type="http://schemas.openxmlformats.org/officeDocument/2006/relationships/hyperlink" Target="http://www.ialathree.org/chapo/publications/documentspdf/doc_98_eng.pdf" TargetMode="External"/><Relationship Id="rId320" Type="http://schemas.openxmlformats.org/officeDocument/2006/relationships/image" Target="media/image197.jpeg"/><Relationship Id="rId321" Type="http://schemas.openxmlformats.org/officeDocument/2006/relationships/image" Target="media/image198.jpeg"/><Relationship Id="rId322" Type="http://schemas.openxmlformats.org/officeDocument/2006/relationships/image" Target="media/image199.jpeg"/><Relationship Id="rId323" Type="http://schemas.openxmlformats.org/officeDocument/2006/relationships/image" Target="media/image200.jpeg"/><Relationship Id="rId324" Type="http://schemas.openxmlformats.org/officeDocument/2006/relationships/image" Target="media/image201.jpeg"/><Relationship Id="rId325" Type="http://schemas.openxmlformats.org/officeDocument/2006/relationships/image" Target="media/image202.jpeg"/><Relationship Id="rId326" Type="http://schemas.openxmlformats.org/officeDocument/2006/relationships/image" Target="media/image203.jpeg"/><Relationship Id="rId327" Type="http://schemas.openxmlformats.org/officeDocument/2006/relationships/hyperlink" Target="http://www.ialathree.org/chapo/publications/documentspdf/doc_86_eng.pdf" TargetMode="External"/><Relationship Id="rId328" Type="http://schemas.openxmlformats.org/officeDocument/2006/relationships/hyperlink" Target="http://www.ialathree.org/chapo/publications/documentspdf/doc_86_eng.pdf" TargetMode="External"/><Relationship Id="rId329" Type="http://schemas.openxmlformats.org/officeDocument/2006/relationships/image" Target="media/image204.jpeg"/><Relationship Id="rId100" Type="http://schemas.openxmlformats.org/officeDocument/2006/relationships/image" Target="media/image86.jpeg"/><Relationship Id="rId101" Type="http://schemas.openxmlformats.org/officeDocument/2006/relationships/image" Target="media/image87.jpeg"/><Relationship Id="rId102" Type="http://schemas.openxmlformats.org/officeDocument/2006/relationships/image" Target="media/image88.jpeg"/><Relationship Id="rId103" Type="http://schemas.openxmlformats.org/officeDocument/2006/relationships/hyperlink" Target="http://www.ialathree.org/chapo/publications/documentspdf/doc_112_eng.pdf" TargetMode="External"/><Relationship Id="rId104" Type="http://schemas.openxmlformats.org/officeDocument/2006/relationships/image" Target="media/image89.jpeg"/><Relationship Id="rId105" Type="http://schemas.openxmlformats.org/officeDocument/2006/relationships/image" Target="media/image90.jpeg"/><Relationship Id="rId106" Type="http://schemas.openxmlformats.org/officeDocument/2006/relationships/hyperlink" Target="http://www.ialathree.org/chapo/publications/documentspdf/doc_229_eng.pdf" TargetMode="External"/><Relationship Id="rId107" Type="http://schemas.openxmlformats.org/officeDocument/2006/relationships/image" Target="media/image91.jpeg"/><Relationship Id="rId108" Type="http://schemas.openxmlformats.org/officeDocument/2006/relationships/image" Target="media/image92.jpeg"/><Relationship Id="rId109" Type="http://schemas.openxmlformats.org/officeDocument/2006/relationships/image" Target="media/image93.jpeg"/><Relationship Id="rId60" Type="http://schemas.openxmlformats.org/officeDocument/2006/relationships/image" Target="media/image55.jpeg"/><Relationship Id="rId61" Type="http://schemas.openxmlformats.org/officeDocument/2006/relationships/image" Target="media/image56.jpeg"/><Relationship Id="rId62" Type="http://schemas.openxmlformats.org/officeDocument/2006/relationships/image" Target="media/image57.jpeg"/><Relationship Id="rId63" Type="http://schemas.openxmlformats.org/officeDocument/2006/relationships/image" Target="media/image58.jpeg"/><Relationship Id="rId64" Type="http://schemas.openxmlformats.org/officeDocument/2006/relationships/image" Target="media/image59.jpeg"/><Relationship Id="rId65" Type="http://schemas.openxmlformats.org/officeDocument/2006/relationships/image" Target="media/image60.jpeg"/><Relationship Id="rId66" Type="http://schemas.openxmlformats.org/officeDocument/2006/relationships/image" Target="media/image61.jpeg"/><Relationship Id="rId67" Type="http://schemas.openxmlformats.org/officeDocument/2006/relationships/image" Target="media/image62.jpeg"/><Relationship Id="rId68" Type="http://schemas.openxmlformats.org/officeDocument/2006/relationships/image" Target="media/image63.jpeg"/><Relationship Id="rId69" Type="http://schemas.openxmlformats.org/officeDocument/2006/relationships/image" Target="media/image64.jpeg"/><Relationship Id="rId270" Type="http://schemas.openxmlformats.org/officeDocument/2006/relationships/hyperlink" Target="http://www.ialathree.org/chapo/publications/documentspdf/doc_102_eng.pdf" TargetMode="External"/><Relationship Id="rId271" Type="http://schemas.openxmlformats.org/officeDocument/2006/relationships/hyperlink" Target="http://www.ialathree.org/chapo/publications/documentspdf/doc_156_eng.pdf" TargetMode="External"/><Relationship Id="rId272" Type="http://schemas.openxmlformats.org/officeDocument/2006/relationships/hyperlink" Target="http://www.ialathree.org/chapo/publications/documentspdf/doc_154_eng.pdf" TargetMode="External"/><Relationship Id="rId273" Type="http://schemas.openxmlformats.org/officeDocument/2006/relationships/hyperlink" Target="http://www.ialathree.org/chapo/publications/documentspdf/doc_186_eng.pdf" TargetMode="External"/><Relationship Id="rId274" Type="http://schemas.openxmlformats.org/officeDocument/2006/relationships/hyperlink" Target="http://www.ialathree.org/chapo/publications/documentspdf/doc_201_eng.pdf" TargetMode="External"/><Relationship Id="rId275" Type="http://schemas.openxmlformats.org/officeDocument/2006/relationships/hyperlink" Target="http://www.ialathree.org/chapo/publications/documentspdf/doc_263_eng.pdf" TargetMode="External"/><Relationship Id="rId276" Type="http://schemas.openxmlformats.org/officeDocument/2006/relationships/image" Target="media/image164.jpeg"/><Relationship Id="rId277" Type="http://schemas.openxmlformats.org/officeDocument/2006/relationships/image" Target="media/image165.jpeg"/><Relationship Id="rId278" Type="http://schemas.openxmlformats.org/officeDocument/2006/relationships/image" Target="media/image166.jpeg"/><Relationship Id="rId279" Type="http://schemas.openxmlformats.org/officeDocument/2006/relationships/image" Target="media/image167.jpeg"/><Relationship Id="rId330" Type="http://schemas.openxmlformats.org/officeDocument/2006/relationships/image" Target="media/image205.jpeg"/><Relationship Id="rId331" Type="http://schemas.openxmlformats.org/officeDocument/2006/relationships/image" Target="media/image206.jpeg"/><Relationship Id="rId332" Type="http://schemas.openxmlformats.org/officeDocument/2006/relationships/image" Target="media/image207.jpeg"/><Relationship Id="rId333" Type="http://schemas.openxmlformats.org/officeDocument/2006/relationships/image" Target="media/image208.jpeg"/><Relationship Id="rId334" Type="http://schemas.openxmlformats.org/officeDocument/2006/relationships/image" Target="media/image209.jpeg"/><Relationship Id="rId335" Type="http://schemas.openxmlformats.org/officeDocument/2006/relationships/image" Target="media/image210.jpeg"/><Relationship Id="rId336" Type="http://schemas.openxmlformats.org/officeDocument/2006/relationships/image" Target="media/image211.jpeg"/><Relationship Id="rId337" Type="http://schemas.openxmlformats.org/officeDocument/2006/relationships/image" Target="media/image212.jpeg"/><Relationship Id="rId338" Type="http://schemas.openxmlformats.org/officeDocument/2006/relationships/image" Target="media/image213.jpeg"/><Relationship Id="rId339" Type="http://schemas.openxmlformats.org/officeDocument/2006/relationships/hyperlink" Target="http://www.ialathree.org/chapo/publications/documentspdf/doc_267_eng.pdf" TargetMode="External"/><Relationship Id="rId110" Type="http://schemas.openxmlformats.org/officeDocument/2006/relationships/image" Target="media/image94.jpeg"/><Relationship Id="rId111" Type="http://schemas.openxmlformats.org/officeDocument/2006/relationships/image" Target="media/image95.jpeg"/><Relationship Id="rId112" Type="http://schemas.openxmlformats.org/officeDocument/2006/relationships/hyperlink" Target="http://www.ialathree.org/chapo/publications/documentspdf/doc_229_eng.pdf" TargetMode="External"/><Relationship Id="rId113" Type="http://schemas.openxmlformats.org/officeDocument/2006/relationships/image" Target="media/image96.jpeg"/><Relationship Id="rId114" Type="http://schemas.openxmlformats.org/officeDocument/2006/relationships/hyperlink" Target="http://www.ialathree.org/chapo/publications/documentspdf/doc_228_eng.pdf" TargetMode="External"/><Relationship Id="rId115" Type="http://schemas.openxmlformats.org/officeDocument/2006/relationships/hyperlink" Target="http://www.ialathree.org/chapo/publications/documentspdf/doc_228_eng.pdf" TargetMode="External"/><Relationship Id="rId70" Type="http://schemas.openxmlformats.org/officeDocument/2006/relationships/hyperlink" Target="http://www.ialathree.org/chapo/publications/documentspdf/doc_76_eng.pdf" TargetMode="External"/><Relationship Id="rId71" Type="http://schemas.openxmlformats.org/officeDocument/2006/relationships/hyperlink" Target="http://www.ialathree.org/chapo/publications/documentspdf/doc_76_eng.pdf" TargetMode="External"/><Relationship Id="rId72" Type="http://schemas.openxmlformats.org/officeDocument/2006/relationships/hyperlink" Target="http://www.ialathree.org/chapo/publications/documentspdf/doc_155_eng.pdf" TargetMode="External"/><Relationship Id="rId73" Type="http://schemas.openxmlformats.org/officeDocument/2006/relationships/image" Target="media/image65.jpeg"/><Relationship Id="rId74" Type="http://schemas.openxmlformats.org/officeDocument/2006/relationships/image" Target="media/image66.jpeg"/><Relationship Id="rId75" Type="http://schemas.openxmlformats.org/officeDocument/2006/relationships/hyperlink" Target="http://www.ialathree.org/chapo/publications/documentspdf/doc_41_eng.pdf" TargetMode="External"/><Relationship Id="rId76" Type="http://schemas.openxmlformats.org/officeDocument/2006/relationships/hyperlink" Target="http://www.ialathree.org/chapo/publications/documentspdf/doc_41_eng.pdf" TargetMode="External"/><Relationship Id="rId77" Type="http://schemas.openxmlformats.org/officeDocument/2006/relationships/hyperlink" Target="http://www.ialathree.org/chapo/publications/documentspdf/doc_43_eng.pdf" TargetMode="External"/><Relationship Id="rId78" Type="http://schemas.openxmlformats.org/officeDocument/2006/relationships/hyperlink" Target="http://www.ialathree.org/chapo/publications/documentspdf/doc_229_eng.pdf" TargetMode="External"/><Relationship Id="rId79" Type="http://schemas.openxmlformats.org/officeDocument/2006/relationships/hyperlink" Target="http://www.ialathree.org/chapo/publications/documentspdf/doc_167_eng.pdf" TargetMode="External"/><Relationship Id="rId116" Type="http://schemas.openxmlformats.org/officeDocument/2006/relationships/image" Target="media/image97.jpeg"/><Relationship Id="rId117" Type="http://schemas.openxmlformats.org/officeDocument/2006/relationships/image" Target="media/image98.jpeg"/><Relationship Id="rId118" Type="http://schemas.openxmlformats.org/officeDocument/2006/relationships/image" Target="media/image99.jpeg"/><Relationship Id="rId119" Type="http://schemas.openxmlformats.org/officeDocument/2006/relationships/image" Target="media/image100.jpeg"/><Relationship Id="rId280" Type="http://schemas.openxmlformats.org/officeDocument/2006/relationships/image" Target="media/image168.jpeg"/><Relationship Id="rId281" Type="http://schemas.openxmlformats.org/officeDocument/2006/relationships/image" Target="media/image169.jpeg"/><Relationship Id="rId282" Type="http://schemas.openxmlformats.org/officeDocument/2006/relationships/image" Target="media/image170.jpeg"/><Relationship Id="rId283" Type="http://schemas.openxmlformats.org/officeDocument/2006/relationships/image" Target="media/image171.jpeg"/><Relationship Id="rId284" Type="http://schemas.openxmlformats.org/officeDocument/2006/relationships/image" Target="media/image172.jpeg"/><Relationship Id="rId285" Type="http://schemas.openxmlformats.org/officeDocument/2006/relationships/image" Target="media/image173.jpeg"/><Relationship Id="rId286" Type="http://schemas.openxmlformats.org/officeDocument/2006/relationships/image" Target="media/image174.jpeg"/><Relationship Id="rId287" Type="http://schemas.openxmlformats.org/officeDocument/2006/relationships/image" Target="media/image175.jpeg"/><Relationship Id="rId288" Type="http://schemas.openxmlformats.org/officeDocument/2006/relationships/image" Target="media/image176.jpeg"/><Relationship Id="rId289" Type="http://schemas.openxmlformats.org/officeDocument/2006/relationships/image" Target="media/image177.jpeg"/><Relationship Id="rId340" Type="http://schemas.openxmlformats.org/officeDocument/2006/relationships/hyperlink" Target="http://www.ialathree.org/chapo/publications/documentspdf/doc_267_eng.pdf" TargetMode="External"/><Relationship Id="rId341" Type="http://schemas.openxmlformats.org/officeDocument/2006/relationships/image" Target="media/image214.jpeg"/><Relationship Id="rId342" Type="http://schemas.openxmlformats.org/officeDocument/2006/relationships/image" Target="media/image215.jpeg"/><Relationship Id="rId343" Type="http://schemas.openxmlformats.org/officeDocument/2006/relationships/hyperlink" Target="http://www.iala-aism.org/" TargetMode="External"/><Relationship Id="rId344" Type="http://schemas.openxmlformats.org/officeDocument/2006/relationships/image" Target="media/image216.jpeg"/><Relationship Id="rId345" Type="http://schemas.openxmlformats.org/officeDocument/2006/relationships/hyperlink" Target="http://www.ialathree.org/chapo/publications/documentspdf/doc_92_eng.pdf" TargetMode="External"/><Relationship Id="rId346" Type="http://schemas.openxmlformats.org/officeDocument/2006/relationships/image" Target="media/image217.jpeg"/><Relationship Id="rId347" Type="http://schemas.openxmlformats.org/officeDocument/2006/relationships/image" Target="media/image218.jpeg"/><Relationship Id="rId348" Type="http://schemas.openxmlformats.org/officeDocument/2006/relationships/image" Target="media/image219.jpeg"/><Relationship Id="rId349" Type="http://schemas.openxmlformats.org/officeDocument/2006/relationships/image" Target="media/image220.jpeg"/><Relationship Id="rId400" Type="http://schemas.openxmlformats.org/officeDocument/2006/relationships/image" Target="media/image248.jpeg"/><Relationship Id="rId401" Type="http://schemas.openxmlformats.org/officeDocument/2006/relationships/image" Target="media/image249.jpeg"/><Relationship Id="rId402" Type="http://schemas.openxmlformats.org/officeDocument/2006/relationships/image" Target="media/image250.jpeg"/><Relationship Id="rId403" Type="http://schemas.openxmlformats.org/officeDocument/2006/relationships/image" Target="media/image251.jpeg"/><Relationship Id="rId404" Type="http://schemas.openxmlformats.org/officeDocument/2006/relationships/image" Target="media/image252.jpeg"/><Relationship Id="rId405" Type="http://schemas.openxmlformats.org/officeDocument/2006/relationships/image" Target="media/image253.jpeg"/><Relationship Id="rId406" Type="http://schemas.openxmlformats.org/officeDocument/2006/relationships/image" Target="media/image254.jpeg"/><Relationship Id="rId407" Type="http://schemas.openxmlformats.org/officeDocument/2006/relationships/hyperlink" Target="http://www.ialathree.org/chapo/publications/documentspdf/doc_261_eng.pdf" TargetMode="External"/><Relationship Id="rId408" Type="http://schemas.openxmlformats.org/officeDocument/2006/relationships/image" Target="media/image255.jpeg"/><Relationship Id="rId409" Type="http://schemas.openxmlformats.org/officeDocument/2006/relationships/image" Target="media/image256.jpeg"/><Relationship Id="rId120" Type="http://schemas.openxmlformats.org/officeDocument/2006/relationships/image" Target="media/image101.jpeg"/><Relationship Id="rId121" Type="http://schemas.openxmlformats.org/officeDocument/2006/relationships/image" Target="media/image102.jpeg"/><Relationship Id="rId122" Type="http://schemas.openxmlformats.org/officeDocument/2006/relationships/hyperlink" Target="http://www.ialathree.org/chapo/publications/documentspdf/doc_229_eng.pdf" TargetMode="External"/><Relationship Id="rId123" Type="http://schemas.openxmlformats.org/officeDocument/2006/relationships/hyperlink" Target="http://www.ialathree.org/chapo/publications/documentspdf/doc_46_eng.pdf" TargetMode="External"/><Relationship Id="rId124" Type="http://schemas.openxmlformats.org/officeDocument/2006/relationships/image" Target="media/image103.jpeg"/><Relationship Id="rId125" Type="http://schemas.openxmlformats.org/officeDocument/2006/relationships/image" Target="media/image104.jpeg"/><Relationship Id="rId80" Type="http://schemas.openxmlformats.org/officeDocument/2006/relationships/hyperlink" Target="www.cie.co.at/" TargetMode="External"/><Relationship Id="rId81" Type="http://schemas.openxmlformats.org/officeDocument/2006/relationships/image" Target="media/image67.jpeg"/><Relationship Id="rId82" Type="http://schemas.openxmlformats.org/officeDocument/2006/relationships/image" Target="media/image68.jpeg"/><Relationship Id="rId83" Type="http://schemas.openxmlformats.org/officeDocument/2006/relationships/image" Target="media/image69.jpeg"/><Relationship Id="rId84" Type="http://schemas.openxmlformats.org/officeDocument/2006/relationships/image" Target="media/image70.jpeg"/><Relationship Id="rId85" Type="http://schemas.openxmlformats.org/officeDocument/2006/relationships/image" Target="media/image71.jpeg"/><Relationship Id="rId86" Type="http://schemas.openxmlformats.org/officeDocument/2006/relationships/image" Target="media/image72.jpeg"/><Relationship Id="rId87" Type="http://schemas.openxmlformats.org/officeDocument/2006/relationships/image" Target="media/image73.jpeg"/><Relationship Id="rId88" Type="http://schemas.openxmlformats.org/officeDocument/2006/relationships/image" Target="media/image74.jpeg"/><Relationship Id="rId89" Type="http://schemas.openxmlformats.org/officeDocument/2006/relationships/image" Target="media/image75.jpeg"/><Relationship Id="rId126" Type="http://schemas.openxmlformats.org/officeDocument/2006/relationships/image" Target="media/image105.jpeg"/><Relationship Id="rId127" Type="http://schemas.openxmlformats.org/officeDocument/2006/relationships/image" Target="media/image106.jpeg"/><Relationship Id="rId128" Type="http://schemas.openxmlformats.org/officeDocument/2006/relationships/image" Target="media/image107.jpeg"/><Relationship Id="rId129" Type="http://schemas.openxmlformats.org/officeDocument/2006/relationships/image" Target="media/image108.jpeg"/><Relationship Id="rId290" Type="http://schemas.openxmlformats.org/officeDocument/2006/relationships/comments" Target="comments.xml"/><Relationship Id="rId291" Type="http://schemas.openxmlformats.org/officeDocument/2006/relationships/image" Target="media/image178.jpeg"/><Relationship Id="rId292" Type="http://schemas.openxmlformats.org/officeDocument/2006/relationships/hyperlink" Target="http://www.ialathree.org/chapo/publications/documentspdf/doc_76_eng.pdf" TargetMode="External"/><Relationship Id="rId293" Type="http://schemas.openxmlformats.org/officeDocument/2006/relationships/image" Target="media/image179.jpeg"/><Relationship Id="rId294" Type="http://schemas.openxmlformats.org/officeDocument/2006/relationships/image" Target="media/image180.jpeg"/><Relationship Id="rId295" Type="http://schemas.openxmlformats.org/officeDocument/2006/relationships/hyperlink" Target="http://www.ialathree.org/chapo/publications/documentspdf/doc_207_eng.pdf" TargetMode="External"/><Relationship Id="rId296" Type="http://schemas.openxmlformats.org/officeDocument/2006/relationships/hyperlink" Target="http://www.ialathree.org/chapo/publications/documentspdf/doc_209_eng.pdf" TargetMode="External"/><Relationship Id="rId297" Type="http://schemas.openxmlformats.org/officeDocument/2006/relationships/hyperlink" Target="http://www.ialathree.org/chapo/publications/documentspdf/doc_241_eng.pdf" TargetMode="External"/><Relationship Id="rId298" Type="http://schemas.openxmlformats.org/officeDocument/2006/relationships/image" Target="media/image181.jpeg"/><Relationship Id="rId299" Type="http://schemas.openxmlformats.org/officeDocument/2006/relationships/image" Target="media/image182.jpeg"/><Relationship Id="rId350" Type="http://schemas.openxmlformats.org/officeDocument/2006/relationships/image" Target="media/image221.jpeg"/><Relationship Id="rId351" Type="http://schemas.openxmlformats.org/officeDocument/2006/relationships/image" Target="media/image222.jpeg"/><Relationship Id="rId352" Type="http://schemas.openxmlformats.org/officeDocument/2006/relationships/image" Target="media/image223.jpeg"/><Relationship Id="rId353" Type="http://schemas.openxmlformats.org/officeDocument/2006/relationships/hyperlink" Target="http://www.ialathree.org/chapo/publications/documentspdf/doc_76_eng.pdf" TargetMode="External"/><Relationship Id="rId354" Type="http://schemas.openxmlformats.org/officeDocument/2006/relationships/hyperlink" Target="http://www.ialathree.org/chapo/publications/documentspdf/doc_155_eng.pdf" TargetMode="External"/><Relationship Id="rId355" Type="http://schemas.openxmlformats.org/officeDocument/2006/relationships/hyperlink" Target="http://www.ialathree.org/chapo/publications/documentspdf/doc_56_eng.pdf" TargetMode="External"/><Relationship Id="rId356" Type="http://schemas.openxmlformats.org/officeDocument/2006/relationships/hyperlink" Target="http://www.ialathree.org/chapo/publications/documentspdf/doc_56_eng.pdf" TargetMode="External"/><Relationship Id="rId357" Type="http://schemas.openxmlformats.org/officeDocument/2006/relationships/image" Target="media/image224.jpeg"/><Relationship Id="rId358" Type="http://schemas.openxmlformats.org/officeDocument/2006/relationships/image" Target="media/image225.jpeg"/><Relationship Id="rId359" Type="http://schemas.openxmlformats.org/officeDocument/2006/relationships/image" Target="media/image226.jpeg"/><Relationship Id="rId410" Type="http://schemas.openxmlformats.org/officeDocument/2006/relationships/image" Target="media/image257.jpeg"/><Relationship Id="rId411" Type="http://schemas.openxmlformats.org/officeDocument/2006/relationships/image" Target="media/image258.jpeg"/><Relationship Id="rId412" Type="http://schemas.openxmlformats.org/officeDocument/2006/relationships/image" Target="media/image259.jpeg"/><Relationship Id="rId413" Type="http://schemas.openxmlformats.org/officeDocument/2006/relationships/image" Target="media/image260.jpeg"/><Relationship Id="rId414" Type="http://schemas.openxmlformats.org/officeDocument/2006/relationships/image" Target="media/image261.jpeg"/><Relationship Id="rId415" Type="http://schemas.openxmlformats.org/officeDocument/2006/relationships/image" Target="media/image262.jpeg"/><Relationship Id="rId416" Type="http://schemas.openxmlformats.org/officeDocument/2006/relationships/image" Target="media/image263.jpeg"/><Relationship Id="rId417" Type="http://schemas.openxmlformats.org/officeDocument/2006/relationships/image" Target="media/image264.jpeg"/><Relationship Id="rId418" Type="http://schemas.openxmlformats.org/officeDocument/2006/relationships/image" Target="media/image265.jpeg"/><Relationship Id="rId419" Type="http://schemas.openxmlformats.org/officeDocument/2006/relationships/image" Target="media/image266.jpeg"/><Relationship Id="rId130" Type="http://schemas.openxmlformats.org/officeDocument/2006/relationships/image" Target="media/image109.jpeg"/><Relationship Id="rId131" Type="http://schemas.openxmlformats.org/officeDocument/2006/relationships/image" Target="media/image110.jpeg"/><Relationship Id="rId132" Type="http://schemas.openxmlformats.org/officeDocument/2006/relationships/image" Target="media/image111.jpeg"/><Relationship Id="rId133" Type="http://schemas.openxmlformats.org/officeDocument/2006/relationships/image" Target="media/image112.jpeg"/><Relationship Id="rId134" Type="http://schemas.openxmlformats.org/officeDocument/2006/relationships/hyperlink" Target="http://www.ialathree.org/chapo/publications/documentspdf/doc_46_eng.pdf" TargetMode="External"/><Relationship Id="rId135" Type="http://schemas.openxmlformats.org/officeDocument/2006/relationships/image" Target="media/image113.jpeg"/><Relationship Id="rId90" Type="http://schemas.openxmlformats.org/officeDocument/2006/relationships/image" Target="media/image76.jpeg"/><Relationship Id="rId91" Type="http://schemas.openxmlformats.org/officeDocument/2006/relationships/image" Target="media/image77.jpeg"/><Relationship Id="rId92" Type="http://schemas.openxmlformats.org/officeDocument/2006/relationships/image" Target="media/image78.jpeg"/><Relationship Id="rId93" Type="http://schemas.openxmlformats.org/officeDocument/2006/relationships/image" Target="media/image79.jpeg"/><Relationship Id="rId94" Type="http://schemas.openxmlformats.org/officeDocument/2006/relationships/image" Target="media/image80.jpeg"/><Relationship Id="rId95" Type="http://schemas.openxmlformats.org/officeDocument/2006/relationships/image" Target="media/image81.jpeg"/><Relationship Id="rId96" Type="http://schemas.openxmlformats.org/officeDocument/2006/relationships/image" Target="media/image82.jpeg"/><Relationship Id="rId97" Type="http://schemas.openxmlformats.org/officeDocument/2006/relationships/image" Target="media/image83.jpeg"/><Relationship Id="rId98" Type="http://schemas.openxmlformats.org/officeDocument/2006/relationships/image" Target="media/image84.jpeg"/><Relationship Id="rId99" Type="http://schemas.openxmlformats.org/officeDocument/2006/relationships/image" Target="media/image85.jpeg"/><Relationship Id="rId136" Type="http://schemas.openxmlformats.org/officeDocument/2006/relationships/hyperlink" Target="http://www.ialathree.org/chapo/publications/documentspdf/doc_107_eng.pdf" TargetMode="External"/><Relationship Id="rId137" Type="http://schemas.openxmlformats.org/officeDocument/2006/relationships/hyperlink" Target="http://www.ialathree.org/chapo/publications/documentspdf/doc_228_eng.pdf" TargetMode="External"/><Relationship Id="rId138" Type="http://schemas.openxmlformats.org/officeDocument/2006/relationships/image" Target="media/image114.jpeg"/><Relationship Id="rId139" Type="http://schemas.openxmlformats.org/officeDocument/2006/relationships/image" Target="media/image115.jpeg"/><Relationship Id="rId360" Type="http://schemas.openxmlformats.org/officeDocument/2006/relationships/image" Target="media/image227.jpeg"/><Relationship Id="rId361" Type="http://schemas.openxmlformats.org/officeDocument/2006/relationships/image" Target="media/image228.jpeg"/><Relationship Id="rId362" Type="http://schemas.openxmlformats.org/officeDocument/2006/relationships/image" Target="media/image229.jpeg"/><Relationship Id="rId363" Type="http://schemas.openxmlformats.org/officeDocument/2006/relationships/hyperlink" Target="http://www.ialathree.org/chapo/publications/documentspdf/doc_207_eng.pdf" TargetMode="External"/><Relationship Id="rId364" Type="http://schemas.openxmlformats.org/officeDocument/2006/relationships/hyperlink" Target="http://www.ialathree.org/chapo/publications/documentspdf/doc_207_eng.pdf" TargetMode="External"/><Relationship Id="rId365" Type="http://schemas.openxmlformats.org/officeDocument/2006/relationships/hyperlink" Target="http://www.ialathree.org/chapo/publications/documentspdf/doc_208_eng.pdf" TargetMode="External"/><Relationship Id="rId366" Type="http://schemas.openxmlformats.org/officeDocument/2006/relationships/hyperlink" Target="http://www.ialathree.org/chapo/publications/documentspdf/doc_208_eng.pdf" TargetMode="External"/><Relationship Id="rId367" Type="http://schemas.openxmlformats.org/officeDocument/2006/relationships/hyperlink" Target="http://www.ialathree.org/chapo/publications/documentspdf/doc_209_eng.pdf" TargetMode="External"/><Relationship Id="rId368" Type="http://schemas.openxmlformats.org/officeDocument/2006/relationships/hyperlink" Target="http://www.ialathree.org/chapo/publications/documentspdf/doc_267_eng.pdf" TargetMode="External"/><Relationship Id="rId369" Type="http://schemas.openxmlformats.org/officeDocument/2006/relationships/hyperlink" Target="http://www.ialathree.org/chapo/publications/documentspdf/doc_267_eng.pdf" TargetMode="External"/><Relationship Id="rId420" Type="http://schemas.openxmlformats.org/officeDocument/2006/relationships/image" Target="media/image267.jpeg"/><Relationship Id="rId421" Type="http://schemas.openxmlformats.org/officeDocument/2006/relationships/image" Target="media/image268.jpeg"/><Relationship Id="rId422" Type="http://schemas.openxmlformats.org/officeDocument/2006/relationships/image" Target="media/image269.jpeg"/><Relationship Id="rId423" Type="http://schemas.openxmlformats.org/officeDocument/2006/relationships/image" Target="media/image270.jpeg"/><Relationship Id="rId424" Type="http://schemas.openxmlformats.org/officeDocument/2006/relationships/image" Target="media/image271.jpeg"/><Relationship Id="rId425" Type="http://schemas.openxmlformats.org/officeDocument/2006/relationships/image" Target="media/image272.jpeg"/><Relationship Id="rId426" Type="http://schemas.openxmlformats.org/officeDocument/2006/relationships/image" Target="media/image273.jpeg"/><Relationship Id="rId427" Type="http://schemas.openxmlformats.org/officeDocument/2006/relationships/image" Target="media/image274.jpeg"/><Relationship Id="rId428" Type="http://schemas.openxmlformats.org/officeDocument/2006/relationships/image" Target="media/image275.jpeg"/><Relationship Id="rId429" Type="http://schemas.openxmlformats.org/officeDocument/2006/relationships/image" Target="media/image276.jpeg"/><Relationship Id="rId140" Type="http://schemas.openxmlformats.org/officeDocument/2006/relationships/hyperlink" Target="http://www.ialathree.org/chapo/publications/documentspdf/doc_60_eng.pdf" TargetMode="External"/><Relationship Id="rId141" Type="http://schemas.openxmlformats.org/officeDocument/2006/relationships/hyperlink" Target="http://www.ialathree.org/chapo/publications/documentspdf/doc_94_eng.pdf" TargetMode="External"/><Relationship Id="rId142" Type="http://schemas.openxmlformats.org/officeDocument/2006/relationships/image" Target="media/image116.jpeg"/><Relationship Id="rId143" Type="http://schemas.openxmlformats.org/officeDocument/2006/relationships/hyperlink" Target="http://www.ialathree.org/chapo/publications/documentspdf/doc_228_eng.pdf" TargetMode="External"/><Relationship Id="rId144" Type="http://schemas.openxmlformats.org/officeDocument/2006/relationships/hyperlink" Target="http://www.ialathree.org/chapo/publications/documentspdf/doc_228_eng.pdf" TargetMode="External"/><Relationship Id="rId145" Type="http://schemas.openxmlformats.org/officeDocument/2006/relationships/hyperlink" Target="http://www.ialathree.org/chapo/publications/documentspdf/doc_47_eng.pdf" TargetMode="External"/><Relationship Id="rId146" Type="http://schemas.openxmlformats.org/officeDocument/2006/relationships/image" Target="media/image117.jpeg"/><Relationship Id="rId147" Type="http://schemas.openxmlformats.org/officeDocument/2006/relationships/image" Target="media/image118.jpeg"/><Relationship Id="rId148" Type="http://schemas.openxmlformats.org/officeDocument/2006/relationships/image" Target="media/image119.jpeg"/><Relationship Id="rId149" Type="http://schemas.openxmlformats.org/officeDocument/2006/relationships/image" Target="media/image120.jpeg"/><Relationship Id="rId200" Type="http://schemas.openxmlformats.org/officeDocument/2006/relationships/hyperlink" Target="http://www.ialathree.org/chapo/publications/documentspdf/doc_60_eng.pdf" TargetMode="External"/><Relationship Id="rId201" Type="http://schemas.openxmlformats.org/officeDocument/2006/relationships/hyperlink" Target="http://www.ialathree.org/chapo/publications/documentspdf/doc_94_eng.pdf" TargetMode="External"/><Relationship Id="rId202" Type="http://schemas.openxmlformats.org/officeDocument/2006/relationships/image" Target="media/image147.jpeg"/><Relationship Id="rId203" Type="http://schemas.openxmlformats.org/officeDocument/2006/relationships/image" Target="media/image148.jpeg"/><Relationship Id="rId204" Type="http://schemas.openxmlformats.org/officeDocument/2006/relationships/hyperlink" Target="http://www.ialathree.org/chapo/publications/documentspdf/doc_248_eng.pdf" TargetMode="External"/><Relationship Id="rId205" Type="http://schemas.openxmlformats.org/officeDocument/2006/relationships/image" Target="media/image149.jpeg"/><Relationship Id="rId206" Type="http://schemas.openxmlformats.org/officeDocument/2006/relationships/image" Target="media/image150.jpeg"/><Relationship Id="rId207" Type="http://schemas.openxmlformats.org/officeDocument/2006/relationships/image" Target="media/image151.jpeg"/><Relationship Id="rId208" Type="http://schemas.openxmlformats.org/officeDocument/2006/relationships/image" Target="media/image152.jpeg"/><Relationship Id="rId209" Type="http://schemas.openxmlformats.org/officeDocument/2006/relationships/image" Target="media/image153.jpeg"/><Relationship Id="rId370" Type="http://schemas.openxmlformats.org/officeDocument/2006/relationships/image" Target="media/image230.jpeg"/><Relationship Id="rId371" Type="http://schemas.openxmlformats.org/officeDocument/2006/relationships/hyperlink" Target="http://www.ialathree.org/chapo/publications/documentspdf/doc_165_eng.pdf" TargetMode="External"/><Relationship Id="rId372" Type="http://schemas.openxmlformats.org/officeDocument/2006/relationships/hyperlink" Target="http://www.ialathree.org/chapo/publications/documentspdf/doc_274_eng.pdf" TargetMode="External"/><Relationship Id="rId373" Type="http://schemas.openxmlformats.org/officeDocument/2006/relationships/hyperlink" Target="http://www.ialathree.org/chapo/publications/documentspdf/doc_184_eng.pdf" TargetMode="External"/><Relationship Id="rId374" Type="http://schemas.openxmlformats.org/officeDocument/2006/relationships/image" Target="media/image231.jpeg"/><Relationship Id="rId375" Type="http://schemas.openxmlformats.org/officeDocument/2006/relationships/image" Target="media/image232.jpeg"/><Relationship Id="rId376" Type="http://schemas.openxmlformats.org/officeDocument/2006/relationships/image" Target="media/image233.jpeg"/><Relationship Id="rId377" Type="http://schemas.openxmlformats.org/officeDocument/2006/relationships/image" Target="media/image234.jpeg"/><Relationship Id="rId378" Type="http://schemas.openxmlformats.org/officeDocument/2006/relationships/hyperlink" Target="http://www.ialathree.org/chapo/publications/documentspdf/doc_252_eng.pdf" TargetMode="External"/><Relationship Id="rId379" Type="http://schemas.openxmlformats.org/officeDocument/2006/relationships/hyperlink" Target="http://www.ialathree.org/chapo/publications/documentspdf/doc_184_eng.pdf" TargetMode="External"/><Relationship Id="rId430" Type="http://schemas.openxmlformats.org/officeDocument/2006/relationships/image" Target="media/image277.jpeg"/><Relationship Id="rId431" Type="http://schemas.openxmlformats.org/officeDocument/2006/relationships/image" Target="media/image278.jpeg"/><Relationship Id="rId432" Type="http://schemas.openxmlformats.org/officeDocument/2006/relationships/image" Target="media/image279.jpeg"/><Relationship Id="rId433" Type="http://schemas.openxmlformats.org/officeDocument/2006/relationships/image" Target="media/image280.jpeg"/><Relationship Id="rId434" Type="http://schemas.openxmlformats.org/officeDocument/2006/relationships/image" Target="media/image281.jpeg"/><Relationship Id="rId435" Type="http://schemas.openxmlformats.org/officeDocument/2006/relationships/image" Target="media/image282.jpeg"/><Relationship Id="rId436" Type="http://schemas.openxmlformats.org/officeDocument/2006/relationships/image" Target="media/image283.jpeg"/><Relationship Id="rId437" Type="http://schemas.openxmlformats.org/officeDocument/2006/relationships/image" Target="media/image284.jpeg"/><Relationship Id="rId438" Type="http://schemas.openxmlformats.org/officeDocument/2006/relationships/image" Target="media/image285.jpeg"/><Relationship Id="rId439" Type="http://schemas.openxmlformats.org/officeDocument/2006/relationships/image" Target="media/image286.jpeg"/><Relationship Id="rId150" Type="http://schemas.openxmlformats.org/officeDocument/2006/relationships/image" Target="media/image121.jpeg"/><Relationship Id="rId151" Type="http://schemas.openxmlformats.org/officeDocument/2006/relationships/image" Target="media/image122.jpeg"/><Relationship Id="rId152" Type="http://schemas.openxmlformats.org/officeDocument/2006/relationships/image" Target="media/image123.jpeg"/><Relationship Id="rId153" Type="http://schemas.openxmlformats.org/officeDocument/2006/relationships/image" Target="media/image124.jpeg"/><Relationship Id="rId154" Type="http://schemas.openxmlformats.org/officeDocument/2006/relationships/hyperlink" Target="http://www.ialathree.org/chapo/publications/documentspdf/doc_22_eng.pdf" TargetMode="External"/><Relationship Id="rId155" Type="http://schemas.openxmlformats.org/officeDocument/2006/relationships/image" Target="media/image125.jpeg"/><Relationship Id="rId156" Type="http://schemas.openxmlformats.org/officeDocument/2006/relationships/hyperlink" Target="http://www.ialathree.org/chapo/publications/documentspdf/doc_14_eng.pdf" TargetMode="External"/><Relationship Id="rId157" Type="http://schemas.openxmlformats.org/officeDocument/2006/relationships/image" Target="media/image126.jpeg"/><Relationship Id="rId158" Type="http://schemas.openxmlformats.org/officeDocument/2006/relationships/image" Target="media/image127.jpeg"/><Relationship Id="rId159" Type="http://schemas.openxmlformats.org/officeDocument/2006/relationships/image" Target="media/image128.jpeg"/><Relationship Id="rId210" Type="http://schemas.openxmlformats.org/officeDocument/2006/relationships/hyperlink" Target="http://www.ialathree.org/chapo/publications/documentspdf/doc_257_eng.pdf" TargetMode="External"/><Relationship Id="rId211" Type="http://schemas.openxmlformats.org/officeDocument/2006/relationships/image" Target="media/image154.jpeg"/><Relationship Id="rId212" Type="http://schemas.openxmlformats.org/officeDocument/2006/relationships/image" Target="media/image155.jpeg"/><Relationship Id="rId213" Type="http://schemas.openxmlformats.org/officeDocument/2006/relationships/hyperlink" Target="http://www.ialathree.org/chapo/publications/documentspdf/doc_273_eng.pdf" TargetMode="External"/><Relationship Id="rId214" Type="http://schemas.openxmlformats.org/officeDocument/2006/relationships/hyperlink" Target="http://www.ialathree.org/chapo/publications/documentspdf/doc_257_eng.pdf" TargetMode="External"/><Relationship Id="rId215" Type="http://schemas.openxmlformats.org/officeDocument/2006/relationships/hyperlink" Target="http://www.navcen.uscg.gov/" TargetMode="External"/><Relationship Id="rId216" Type="http://schemas.openxmlformats.org/officeDocument/2006/relationships/hyperlink" Target="http://europa.eu/" TargetMode="External"/><Relationship Id="rId217" Type="http://schemas.openxmlformats.org/officeDocument/2006/relationships/hyperlink" Target="http://europa.eu/" TargetMode="External"/><Relationship Id="rId218" Type="http://schemas.openxmlformats.org/officeDocument/2006/relationships/hyperlink" Target="http://www.iala-aism.org/" TargetMode="External"/><Relationship Id="rId219" Type="http://schemas.openxmlformats.org/officeDocument/2006/relationships/hyperlink" Target="http://www.navcen.uscg.gov/" TargetMode="External"/><Relationship Id="rId380" Type="http://schemas.openxmlformats.org/officeDocument/2006/relationships/hyperlink" Target="http://www.ialathree.org/chapo/publications/documentspdf/doc_251_eng.pdf" TargetMode="External"/><Relationship Id="rId381" Type="http://schemas.openxmlformats.org/officeDocument/2006/relationships/image" Target="media/image235.jpeg"/><Relationship Id="rId382" Type="http://schemas.openxmlformats.org/officeDocument/2006/relationships/image" Target="media/image236.jpeg"/><Relationship Id="rId383" Type="http://schemas.openxmlformats.org/officeDocument/2006/relationships/image" Target="media/image237.jpeg"/><Relationship Id="rId384" Type="http://schemas.openxmlformats.org/officeDocument/2006/relationships/image" Target="media/image238.jpeg"/><Relationship Id="rId385" Type="http://schemas.openxmlformats.org/officeDocument/2006/relationships/hyperlink" Target="http://www.ialathree.org/chapo/publications/documentspdf/doc_80_eng.pdf" TargetMode="External"/><Relationship Id="rId386" Type="http://schemas.openxmlformats.org/officeDocument/2006/relationships/image" Target="media/image239.jpeg"/><Relationship Id="rId387" Type="http://schemas.openxmlformats.org/officeDocument/2006/relationships/hyperlink" Target="http://www.ialathree.org/chapo/publications/documentspdf/doc_105_eng.pdf" TargetMode="External"/><Relationship Id="rId388" Type="http://schemas.openxmlformats.org/officeDocument/2006/relationships/image" Target="media/image240.jpeg"/><Relationship Id="rId389" Type="http://schemas.openxmlformats.org/officeDocument/2006/relationships/image" Target="media/image241.jpeg"/><Relationship Id="rId440" Type="http://schemas.openxmlformats.org/officeDocument/2006/relationships/image" Target="media/image287.jpeg"/><Relationship Id="rId441" Type="http://schemas.openxmlformats.org/officeDocument/2006/relationships/image" Target="media/image288.jpeg"/><Relationship Id="rId442" Type="http://schemas.openxmlformats.org/officeDocument/2006/relationships/image" Target="media/image289.jpeg"/><Relationship Id="rId443" Type="http://schemas.openxmlformats.org/officeDocument/2006/relationships/image" Target="media/image290.jpeg"/><Relationship Id="rId444" Type="http://schemas.openxmlformats.org/officeDocument/2006/relationships/image" Target="media/image291.jpeg"/><Relationship Id="rId445" Type="http://schemas.openxmlformats.org/officeDocument/2006/relationships/image" Target="media/image292.jpeg"/><Relationship Id="rId446" Type="http://schemas.openxmlformats.org/officeDocument/2006/relationships/image" Target="media/image293.jpeg"/><Relationship Id="rId447" Type="http://schemas.openxmlformats.org/officeDocument/2006/relationships/image" Target="media/image294.jpeg"/><Relationship Id="rId448" Type="http://schemas.openxmlformats.org/officeDocument/2006/relationships/image" Target="media/image295.jpeg"/><Relationship Id="rId449" Type="http://schemas.openxmlformats.org/officeDocument/2006/relationships/image" Target="media/image296.jpeg"/><Relationship Id="rId10" Type="http://schemas.openxmlformats.org/officeDocument/2006/relationships/image" Target="media/image5.jpeg"/><Relationship Id="rId11" Type="http://schemas.openxmlformats.org/officeDocument/2006/relationships/image" Target="media/image6.jpeg"/><Relationship Id="rId12" Type="http://schemas.openxmlformats.org/officeDocument/2006/relationships/image" Target="media/image7.jpeg"/><Relationship Id="rId13" Type="http://schemas.openxmlformats.org/officeDocument/2006/relationships/image" Target="media/image8.jpeg"/><Relationship Id="rId14" Type="http://schemas.openxmlformats.org/officeDocument/2006/relationships/image" Target="media/image9.jpeg"/><Relationship Id="rId15" Type="http://schemas.openxmlformats.org/officeDocument/2006/relationships/image" Target="media/image10.jpeg"/><Relationship Id="rId16" Type="http://schemas.openxmlformats.org/officeDocument/2006/relationships/image" Target="media/image11.jpeg"/><Relationship Id="rId17" Type="http://schemas.openxmlformats.org/officeDocument/2006/relationships/image" Target="media/image12.jpeg"/><Relationship Id="rId18" Type="http://schemas.openxmlformats.org/officeDocument/2006/relationships/image" Target="media/image13.jpeg"/><Relationship Id="rId19" Type="http://schemas.openxmlformats.org/officeDocument/2006/relationships/image" Target="media/image14.jpeg"/><Relationship Id="rId160" Type="http://schemas.openxmlformats.org/officeDocument/2006/relationships/image" Target="media/image129.jpeg"/><Relationship Id="rId161" Type="http://schemas.openxmlformats.org/officeDocument/2006/relationships/hyperlink" Target="http://www.ialathree.org/chapo/publications/documentspdf/doc_22_eng.pdf" TargetMode="External"/><Relationship Id="rId162" Type="http://schemas.openxmlformats.org/officeDocument/2006/relationships/hyperlink" Target="http://www.ialathree.org/chapo/publications/documentspdf/doc_154_eng.pdf" TargetMode="External"/><Relationship Id="rId163" Type="http://schemas.openxmlformats.org/officeDocument/2006/relationships/hyperlink" Target="http://www.ialathree.org/chapo/publications/documentspdf/doc_167_eng.pdf" TargetMode="External"/><Relationship Id="rId164" Type="http://schemas.openxmlformats.org/officeDocument/2006/relationships/hyperlink" Target="http://www.ialathree.org/chapo/publications/documentspdf/doc_76_eng.pdf" TargetMode="External"/><Relationship Id="rId165" Type="http://schemas.openxmlformats.org/officeDocument/2006/relationships/hyperlink" Target="http://www.ialathree.org/chapo/publications/documentspdf/doc_155_eng.pdf" TargetMode="External"/><Relationship Id="rId166" Type="http://schemas.openxmlformats.org/officeDocument/2006/relationships/image" Target="media/image130.jpeg"/><Relationship Id="rId167" Type="http://schemas.openxmlformats.org/officeDocument/2006/relationships/hyperlink" Target="http://www.ialathree.org/chapo/publications/documentspdf/doc_157_eng.pdf" TargetMode="External"/><Relationship Id="rId168" Type="http://schemas.openxmlformats.org/officeDocument/2006/relationships/hyperlink" Target="http://www.ialathree.org/chapo/publications/documentspdf/doc_215_eng.pdf" TargetMode="External"/><Relationship Id="rId169" Type="http://schemas.openxmlformats.org/officeDocument/2006/relationships/hyperlink" Target="http://www.ialathree.org/chapo/publications/documentspdf/doc_85_eng.pdf" TargetMode="External"/><Relationship Id="rId220" Type="http://schemas.openxmlformats.org/officeDocument/2006/relationships/hyperlink" Target="http://www.ialathree.org/chapo/publications/documentspdf/doc_59_eng.pdf" TargetMode="External"/><Relationship Id="rId221" Type="http://schemas.openxmlformats.org/officeDocument/2006/relationships/hyperlink" Target="http://www.ialathree.org/chapo/publications/documentspdf/doc_221_eng.pdf" TargetMode="External"/><Relationship Id="rId222" Type="http://schemas.openxmlformats.org/officeDocument/2006/relationships/hyperlink" Target="http://www.navcen.uscg.gov/" TargetMode="External"/><Relationship Id="rId223" Type="http://schemas.openxmlformats.org/officeDocument/2006/relationships/hyperlink" Target="http://www.egnos-pro.esa.int/" TargetMode="External"/><Relationship Id="rId224" Type="http://schemas.openxmlformats.org/officeDocument/2006/relationships/hyperlink" Target="http://www.kasc.go.jp/_english/msas_01.htm" TargetMode="External"/><Relationship Id="rId225" Type="http://schemas.openxmlformats.org/officeDocument/2006/relationships/image" Target="media/image156.jpeg"/><Relationship Id="rId226" Type="http://schemas.openxmlformats.org/officeDocument/2006/relationships/image" Target="media/image157.jpeg"/><Relationship Id="rId227" Type="http://schemas.openxmlformats.org/officeDocument/2006/relationships/hyperlink" Target="http://www.ialathree.org/chapo/publications/documentspdf/doc_84_eng.pdf" TargetMode="External"/><Relationship Id="rId228" Type="http://schemas.openxmlformats.org/officeDocument/2006/relationships/hyperlink" Target="http://www.ialathree.org/chapo/publications/documentspdf/doc_39_eng.pdf" TargetMode="External"/><Relationship Id="rId229" Type="http://schemas.openxmlformats.org/officeDocument/2006/relationships/hyperlink" Target="http://www.ialathree.org/chapo/publications/documentspdf/doc_48_eng.pdf" TargetMode="External"/><Relationship Id="rId390" Type="http://schemas.openxmlformats.org/officeDocument/2006/relationships/image" Target="media/image242.jpeg"/><Relationship Id="rId391" Type="http://schemas.openxmlformats.org/officeDocument/2006/relationships/image" Target="media/image243.jpeg"/><Relationship Id="rId392" Type="http://schemas.openxmlformats.org/officeDocument/2006/relationships/image" Target="media/image244.jpeg"/><Relationship Id="rId393" Type="http://schemas.openxmlformats.org/officeDocument/2006/relationships/image" Target="media/image245.jpeg"/><Relationship Id="rId394" Type="http://schemas.openxmlformats.org/officeDocument/2006/relationships/image" Target="media/image246.jpeg"/><Relationship Id="rId395" Type="http://schemas.openxmlformats.org/officeDocument/2006/relationships/hyperlink" Target="http://www.ialathree.org/chapo/publications/documentspdf/doc_266_eng.pdf" TargetMode="External"/><Relationship Id="rId396" Type="http://schemas.openxmlformats.org/officeDocument/2006/relationships/hyperlink" Target="http://www.ialathree.org/chapo/publications/documentspdf/doc_266_eng.pdf" TargetMode="External"/><Relationship Id="rId397" Type="http://schemas.openxmlformats.org/officeDocument/2006/relationships/hyperlink" Target="http://www.ialathree.org/chapo/publications/documentspdf/doc_249_eng.pdf" TargetMode="External"/><Relationship Id="rId398" Type="http://schemas.openxmlformats.org/officeDocument/2006/relationships/hyperlink" Target="http://www.ialathree.org/chapo/publications/documentspdf/doc_250_eng.pdf" TargetMode="External"/><Relationship Id="rId399" Type="http://schemas.openxmlformats.org/officeDocument/2006/relationships/image" Target="media/image247.jpeg"/><Relationship Id="rId450" Type="http://schemas.openxmlformats.org/officeDocument/2006/relationships/image" Target="media/image297.jpeg"/><Relationship Id="rId451" Type="http://schemas.openxmlformats.org/officeDocument/2006/relationships/image" Target="media/image298.jpeg"/><Relationship Id="rId452" Type="http://schemas.openxmlformats.org/officeDocument/2006/relationships/image" Target="media/image299.jpeg"/><Relationship Id="rId453" Type="http://schemas.openxmlformats.org/officeDocument/2006/relationships/image" Target="media/image300.jpeg"/><Relationship Id="rId454" Type="http://schemas.openxmlformats.org/officeDocument/2006/relationships/image" Target="media/image301.jpeg"/><Relationship Id="rId455" Type="http://schemas.openxmlformats.org/officeDocument/2006/relationships/image" Target="media/image302.jpeg"/><Relationship Id="rId456" Type="http://schemas.openxmlformats.org/officeDocument/2006/relationships/image" Target="media/image303.jpeg"/><Relationship Id="rId457" Type="http://schemas.openxmlformats.org/officeDocument/2006/relationships/image" Target="media/image304.jpeg"/><Relationship Id="rId458" Type="http://schemas.openxmlformats.org/officeDocument/2006/relationships/image" Target="media/image30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35</Pages>
  <Words>59536</Words>
  <Characters>339357</Characters>
  <Application>Microsoft Macintosh Word</Application>
  <DocSecurity>0</DocSecurity>
  <Lines>2827</Lines>
  <Paragraphs>796</Paragraphs>
  <ScaleCrop>false</ScaleCrop>
  <Company/>
  <LinksUpToDate>false</LinksUpToDate>
  <CharactersWithSpaces>398097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Mike Hadley (Home)</cp:lastModifiedBy>
  <cp:revision>4</cp:revision>
  <dcterms:created xsi:type="dcterms:W3CDTF">2012-04-27T14:29:00Z</dcterms:created>
  <dcterms:modified xsi:type="dcterms:W3CDTF">2012-06-03T09:09:00Z</dcterms:modified>
</cp:coreProperties>
</file>